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drawings/drawing1.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drawings/drawing2.xml" ContentType="application/vnd.openxmlformats-officedocument.drawingml.chartshapes+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drawings/drawing3.xml" ContentType="application/vnd.openxmlformats-officedocument.drawingml.chartshapes+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21.xml" ContentType="application/vnd.openxmlformats-officedocument.drawingml.chart+xml"/>
  <Override PartName="/word/drawings/drawing4.xml" ContentType="application/vnd.openxmlformats-officedocument.drawingml.chartshapes+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28.xml" ContentType="application/vnd.openxmlformats-officedocument.drawingml.chart+xml"/>
  <Override PartName="/word/charts/chart29.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81" w:rightFromText="181" w:vertAnchor="page" w:tblpY="76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6"/>
        <w:gridCol w:w="1926"/>
        <w:gridCol w:w="1916"/>
      </w:tblGrid>
      <w:tr w:rsidR="00140010" w14:paraId="0D65509B" w14:textId="77777777" w:rsidTr="00140010">
        <w:trPr>
          <w:trHeight w:val="447"/>
        </w:trPr>
        <w:bookmarkStart w:id="0" w:name="_Hlk491252018" w:displacedByCustomXml="next"/>
        <w:sdt>
          <w:sdtPr>
            <w:rPr>
              <w:lang w:val="en-GB"/>
            </w:rPr>
            <w:alias w:val="Form.PrimaryProduct.ProductLogo"/>
            <w:tag w:val="{&quot;templafy&quot;:{&quot;id&quot;:&quot;ece92d50-e26d-4afa-bd66-d61b8b4b8d09&quot;}}"/>
            <w:id w:val="1469702226"/>
            <w:picture/>
          </w:sdtPr>
          <w:sdtContent>
            <w:tc>
              <w:tcPr>
                <w:tcW w:w="1926" w:type="dxa"/>
              </w:tcPr>
              <w:p w14:paraId="32B1F7B3" w14:textId="77777777" w:rsidR="00140010" w:rsidRDefault="00140010" w:rsidP="00140010">
                <w:pPr>
                  <w:rPr>
                    <w:lang w:val="en-GB"/>
                  </w:rPr>
                </w:pPr>
                <w:r>
                  <w:rPr>
                    <w:noProof/>
                    <w:lang w:val="en-GB"/>
                  </w:rPr>
                  <w:drawing>
                    <wp:inline distT="0" distB="0" distL="0" distR="0" wp14:anchorId="7A64048F" wp14:editId="6A0FCCDF">
                      <wp:extent cx="1080000" cy="1080000"/>
                      <wp:effectExtent l="0" t="0" r="0" b="0"/>
                      <wp:docPr id="1243263576" name="Picture 23"/>
                      <wp:cNvGraphicFramePr/>
                      <a:graphic xmlns:a="http://schemas.openxmlformats.org/drawingml/2006/main">
                        <a:graphicData uri="http://schemas.openxmlformats.org/drawingml/2006/picture">
                          <pic:pic xmlns:pic="http://schemas.openxmlformats.org/drawingml/2006/picture">
                            <pic:nvPicPr>
                              <pic:cNvPr id="1243263576" name="Picture 23"/>
                              <pic:cNvPicPr/>
                            </pic:nvPicPr>
                            <pic:blipFill>
                              <a:blip r:embed="rId13"/>
                              <a:srcRect/>
                              <a:stretch/>
                            </pic:blipFill>
                            <pic:spPr>
                              <a:xfrm>
                                <a:off x="0" y="0"/>
                                <a:ext cx="1080000" cy="1080000"/>
                              </a:xfrm>
                              <a:prstGeom prst="rect">
                                <a:avLst/>
                              </a:prstGeom>
                            </pic:spPr>
                          </pic:pic>
                        </a:graphicData>
                      </a:graphic>
                    </wp:inline>
                  </w:drawing>
                </w:r>
              </w:p>
            </w:tc>
          </w:sdtContent>
        </w:sdt>
        <w:sdt>
          <w:sdtPr>
            <w:rPr>
              <w:lang w:val="en-GB"/>
            </w:rPr>
            <w:alias w:val="Form.SecondaryProduct.ProductLogo"/>
            <w:tag w:val="{&quot;templafy&quot;:{&quot;id&quot;:&quot;3154bd17-1467-4462-8868-043c2d2c5146&quot;}}"/>
            <w:id w:val="1277527739"/>
            <w:picture/>
          </w:sdtPr>
          <w:sdtContent>
            <w:tc>
              <w:tcPr>
                <w:tcW w:w="1926" w:type="dxa"/>
              </w:tcPr>
              <w:p w14:paraId="707855CE" w14:textId="77777777" w:rsidR="00140010" w:rsidRDefault="00140010" w:rsidP="00140010">
                <w:pPr>
                  <w:rPr>
                    <w:lang w:val="en-GB"/>
                  </w:rPr>
                </w:pPr>
                <w:r>
                  <w:rPr>
                    <w:noProof/>
                    <w:lang w:val="en-GB"/>
                  </w:rPr>
                  <w:drawing>
                    <wp:inline distT="0" distB="0" distL="0" distR="0" wp14:anchorId="7B3368A4" wp14:editId="7E424F6A">
                      <wp:extent cx="1080000" cy="1080000"/>
                      <wp:effectExtent l="0" t="0" r="0" b="0"/>
                      <wp:docPr id="31259046" name="Picture 2"/>
                      <wp:cNvGraphicFramePr/>
                      <a:graphic xmlns:a="http://schemas.openxmlformats.org/drawingml/2006/main">
                        <a:graphicData uri="http://schemas.openxmlformats.org/drawingml/2006/picture">
                          <pic:pic xmlns:pic="http://schemas.openxmlformats.org/drawingml/2006/picture">
                            <pic:nvPicPr>
                              <pic:cNvPr id="31259046" name="Picture 2"/>
                              <pic:cNvPicPr/>
                            </pic:nvPicPr>
                            <pic:blipFill>
                              <a:blip r:embed="rId13"/>
                              <a:srcRect/>
                              <a:stretch/>
                            </pic:blipFill>
                            <pic:spPr>
                              <a:xfrm>
                                <a:off x="0" y="0"/>
                                <a:ext cx="1080000" cy="1080000"/>
                              </a:xfrm>
                              <a:prstGeom prst="rect">
                                <a:avLst/>
                              </a:prstGeom>
                            </pic:spPr>
                          </pic:pic>
                        </a:graphicData>
                      </a:graphic>
                    </wp:inline>
                  </w:drawing>
                </w:r>
              </w:p>
            </w:tc>
          </w:sdtContent>
        </w:sdt>
        <w:sdt>
          <w:sdtPr>
            <w:rPr>
              <w:lang w:val="en-GB"/>
            </w:rPr>
            <w:alias w:val="Form.TertiaryProduct.ProductLogo"/>
            <w:tag w:val="{&quot;templafy&quot;:{&quot;id&quot;:&quot;88e8a3fa-a3f1-44fa-8297-f87f9e843c0f&quot;}}"/>
            <w:id w:val="-964971627"/>
            <w:picture/>
          </w:sdtPr>
          <w:sdtContent>
            <w:tc>
              <w:tcPr>
                <w:tcW w:w="1871" w:type="dxa"/>
              </w:tcPr>
              <w:p w14:paraId="5380C07D" w14:textId="77777777" w:rsidR="00140010" w:rsidRDefault="00140010" w:rsidP="00140010">
                <w:pPr>
                  <w:rPr>
                    <w:lang w:val="en-GB"/>
                  </w:rPr>
                </w:pPr>
                <w:r>
                  <w:rPr>
                    <w:noProof/>
                    <w:lang w:val="en-GB"/>
                  </w:rPr>
                  <w:drawing>
                    <wp:inline distT="0" distB="0" distL="0" distR="0" wp14:anchorId="50ED8ED1" wp14:editId="448CC4C3">
                      <wp:extent cx="1080000" cy="1080000"/>
                      <wp:effectExtent l="0" t="0" r="0" b="0"/>
                      <wp:docPr id="1150736117" name="Picture 26"/>
                      <wp:cNvGraphicFramePr/>
                      <a:graphic xmlns:a="http://schemas.openxmlformats.org/drawingml/2006/main">
                        <a:graphicData uri="http://schemas.openxmlformats.org/drawingml/2006/picture">
                          <pic:pic xmlns:pic="http://schemas.openxmlformats.org/drawingml/2006/picture">
                            <pic:nvPicPr>
                              <pic:cNvPr id="1150736117" name="Picture 26"/>
                              <pic:cNvPicPr/>
                            </pic:nvPicPr>
                            <pic:blipFill>
                              <a:blip r:embed="rId13"/>
                              <a:srcRect/>
                              <a:stretch/>
                            </pic:blipFill>
                            <pic:spPr>
                              <a:xfrm>
                                <a:off x="0" y="0"/>
                                <a:ext cx="1080000" cy="1080000"/>
                              </a:xfrm>
                              <a:prstGeom prst="rect">
                                <a:avLst/>
                              </a:prstGeom>
                            </pic:spPr>
                          </pic:pic>
                        </a:graphicData>
                      </a:graphic>
                    </wp:inline>
                  </w:drawing>
                </w:r>
              </w:p>
            </w:tc>
          </w:sdtContent>
        </w:sdt>
      </w:tr>
    </w:tbl>
    <w:p w14:paraId="02D211F2" w14:textId="77777777" w:rsidR="00F32A0A" w:rsidRDefault="005A3183" w:rsidP="00F32A0A">
      <w:r>
        <w:rPr>
          <w:noProof/>
        </w:rPr>
        <mc:AlternateContent>
          <mc:Choice Requires="wps">
            <w:drawing>
              <wp:anchor distT="0" distB="0" distL="114300" distR="114300" simplePos="0" relativeHeight="251658241" behindDoc="1" locked="0" layoutInCell="1" allowOverlap="1" wp14:anchorId="676548B3" wp14:editId="36429076">
                <wp:simplePos x="0" y="0"/>
                <wp:positionH relativeFrom="page">
                  <wp:align>right</wp:align>
                </wp:positionH>
                <wp:positionV relativeFrom="page">
                  <wp:align>top</wp:align>
                </wp:positionV>
                <wp:extent cx="1900080" cy="106870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900080" cy="10687050"/>
                        </a:xfrm>
                        <a:prstGeom prst="rect">
                          <a:avLst/>
                        </a:prstGeom>
                        <a:noFill/>
                      </wps:spPr>
                      <wps:txbx>
                        <w:txbxContent>
                          <w:sdt>
                            <w:sdtPr>
                              <w:rPr>
                                <w:noProof/>
                              </w:rPr>
                              <w:alias w:val="Form.ChooseBrand.WordCover"/>
                              <w:tag w:val="{&quot;templafy&quot;:{&quot;id&quot;:&quot;742a95c0-cf12-42cf-ba88-491cef921921&quot;}}"/>
                              <w:id w:val="1476414862"/>
                              <w:picture/>
                            </w:sdtPr>
                            <w:sdtContent>
                              <w:p w14:paraId="6F25C594" w14:textId="1E9D650C" w:rsidR="004C20C8" w:rsidRDefault="00662D20" w:rsidP="004C20C8">
                                <w:pPr>
                                  <w:spacing w:before="0"/>
                                </w:pPr>
                                <w:r>
                                  <w:rPr>
                                    <w:noProof/>
                                  </w:rPr>
                                  <w:drawing>
                                    <wp:inline distT="0" distB="0" distL="0" distR="0" wp14:anchorId="173A2ED1" wp14:editId="6D983C1D">
                                      <wp:extent cx="7560310" cy="10685702"/>
                                      <wp:effectExtent l="0" t="0" r="2540" b="1905"/>
                                      <wp:docPr id="522298552" name="Picture 1" descr="Immagine che contiene testo, schermata, Blu elettrico, Elementi grafici&#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522298552" name="Picture 1" descr="Immagine che contiene testo, schermata, Blu elettrico, Elementi grafici&#10;&#10;Il contenuto generato dall'IA potrebbe non essere corretto."/>
                                              <pic:cNvPicPr/>
                                            </pic:nvPicPr>
                                            <pic:blipFill>
                                              <a:blip r:embed="rId14">
                                                <a:extLst>
                                                  <a:ext uri="{28A0092B-C50C-407E-A947-70E740481C1C}">
                                                    <a14:useLocalDpi xmlns:a14="http://schemas.microsoft.com/office/drawing/2010/main" val="0"/>
                                                  </a:ext>
                                                </a:extLst>
                                              </a:blip>
                                              <a:stretch>
                                                <a:fillRect/>
                                              </a:stretch>
                                            </pic:blipFill>
                                            <pic:spPr>
                                              <a:xfrm>
                                                <a:off x="0" y="0"/>
                                                <a:ext cx="7560310" cy="10685702"/>
                                              </a:xfrm>
                                              <a:prstGeom prst="rect">
                                                <a:avLst/>
                                              </a:prstGeom>
                                            </pic:spPr>
                                          </pic:pic>
                                        </a:graphicData>
                                      </a:graphic>
                                    </wp:inline>
                                  </w:drawing>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100000</wp14:pctWidth>
                </wp14:sizeRelH>
                <wp14:sizeRelV relativeFrom="page">
                  <wp14:pctHeight>0</wp14:pctHeight>
                </wp14:sizeRelV>
              </wp:anchor>
            </w:drawing>
          </mc:Choice>
          <mc:Fallback>
            <w:pict>
              <v:shapetype w14:anchorId="676548B3" id="_x0000_t202" coordsize="21600,21600" o:spt="202" path="m,l,21600r21600,l21600,xe">
                <v:stroke joinstyle="miter"/>
                <v:path gradientshapeok="t" o:connecttype="rect"/>
              </v:shapetype>
              <v:shape id="Text Box 6" o:spid="_x0000_s1026" type="#_x0000_t202" style="position:absolute;left:0;text-align:left;margin-left:98.4pt;margin-top:0;width:149.6pt;height:841.5pt;z-index:-251658239;visibility:visible;mso-wrap-style:square;mso-width-percent:1000;mso-height-percent:0;mso-wrap-distance-left:9pt;mso-wrap-distance-top:0;mso-wrap-distance-right:9pt;mso-wrap-distance-bottom:0;mso-position-horizontal:right;mso-position-horizontal-relative:page;mso-position-vertical:top;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" filled="f" stroked="f">
                <v:textbox inset="0,0,0,0">
                  <w:txbxContent>
                    <w:sdt>
                      <w:sdtPr>
                        <w:rPr>
                          <w:noProof/>
                        </w:rPr>
                        <w:alias w:val="Form.ChooseBrand.WordCover"/>
                        <w:tag w:val="{&quot;templafy&quot;:{&quot;id&quot;:&quot;742a95c0-cf12-42cf-ba88-491cef921921&quot;}}"/>
                        <w:id w:val="1476414862"/>
                        <w:picture/>
                      </w:sdtPr>
                      <w:sdtContent>
                        <w:p w14:paraId="6F25C594" w14:textId="1E9D650C" w:rsidR="004C20C8" w:rsidRDefault="00662D20" w:rsidP="004C20C8">
                          <w:pPr>
                            <w:spacing w:before="0"/>
                          </w:pPr>
                          <w:r>
                            <w:rPr>
                              <w:noProof/>
                            </w:rPr>
                            <w:drawing>
                              <wp:inline distT="0" distB="0" distL="0" distR="0" wp14:anchorId="173A2ED1" wp14:editId="6D983C1D">
                                <wp:extent cx="7560310" cy="10685702"/>
                                <wp:effectExtent l="0" t="0" r="2540" b="1905"/>
                                <wp:docPr id="522298552" name="Picture 1" descr="Immagine che contiene testo, schermata, Blu elettrico, Elementi grafici&#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522298552" name="Picture 1" descr="Immagine che contiene testo, schermata, Blu elettrico, Elementi grafici&#10;&#10;Il contenuto generato dall'IA potrebbe non essere corretto."/>
                                        <pic:cNvPicPr/>
                                      </pic:nvPicPr>
                                      <pic:blipFill>
                                        <a:blip r:embed="rId14">
                                          <a:extLst>
                                            <a:ext uri="{28A0092B-C50C-407E-A947-70E740481C1C}">
                                              <a14:useLocalDpi xmlns:a14="http://schemas.microsoft.com/office/drawing/2010/main" val="0"/>
                                            </a:ext>
                                          </a:extLst>
                                        </a:blip>
                                        <a:stretch>
                                          <a:fillRect/>
                                        </a:stretch>
                                      </pic:blipFill>
                                      <pic:spPr>
                                        <a:xfrm>
                                          <a:off x="0" y="0"/>
                                          <a:ext cx="7560310" cy="10685702"/>
                                        </a:xfrm>
                                        <a:prstGeom prst="rect">
                                          <a:avLst/>
                                        </a:prstGeom>
                                      </pic:spPr>
                                    </pic:pic>
                                  </a:graphicData>
                                </a:graphic>
                              </wp:inline>
                            </w:drawing>
                          </w:r>
                        </w:p>
                      </w:sdtContent>
                    </w:sdt>
                  </w:txbxContent>
                </v:textbox>
                <w10:wrap anchorx="page" anchory="page"/>
              </v:shape>
            </w:pict>
          </mc:Fallback>
        </mc:AlternateContent>
      </w:r>
      <w:r w:rsidR="00834FE4">
        <w:rPr>
          <w:noProof/>
        </w:rPr>
        <mc:AlternateContent>
          <mc:Choice Requires="wps">
            <w:drawing>
              <wp:anchor distT="0" distB="0" distL="114300" distR="114300" simplePos="0" relativeHeight="251658242" behindDoc="1" locked="1" layoutInCell="1" allowOverlap="1" wp14:anchorId="0CC6AC8B" wp14:editId="3CD60279">
                <wp:simplePos x="0" y="0"/>
                <wp:positionH relativeFrom="page">
                  <wp:posOffset>495300</wp:posOffset>
                </wp:positionH>
                <wp:positionV relativeFrom="margin">
                  <wp:posOffset>8256270</wp:posOffset>
                </wp:positionV>
                <wp:extent cx="6742430" cy="718185"/>
                <wp:effectExtent l="0" t="0" r="1270" b="5715"/>
                <wp:wrapNone/>
                <wp:docPr id="1" name="BottomCoverShape"/>
                <wp:cNvGraphicFramePr/>
                <a:graphic xmlns:a="http://schemas.openxmlformats.org/drawingml/2006/main">
                  <a:graphicData uri="http://schemas.microsoft.com/office/word/2010/wordprocessingShape">
                    <wps:wsp>
                      <wps:cNvSpPr/>
                      <wps:spPr>
                        <a:xfrm>
                          <a:off x="0" y="0"/>
                          <a:ext cx="6742430" cy="718185"/>
                        </a:xfrm>
                        <a:prstGeom prst="rect">
                          <a:avLst/>
                        </a:prstGeom>
                        <a:solidFill>
                          <a:srgbClr val="FFFFFF"/>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08519" id="BottomCoverShape" o:spid="_x0000_s1026" style="position:absolute;margin-left:39pt;margin-top:650.1pt;width:530.9pt;height:56.5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" stroked="f" strokeweight=".25pt">
                <v:textbox inset="0,0,0,0"/>
                <w10:wrap anchorx="page" anchory="margin"/>
                <w10:anchorlock/>
              </v:rect>
            </w:pict>
          </mc:Fallback>
        </mc:AlternateContent>
      </w:r>
      <w:bookmarkEnd w:id="0"/>
    </w:p>
    <w:p w14:paraId="500716E7" w14:textId="77777777" w:rsidR="00ED021B" w:rsidRDefault="00D71A92" w:rsidP="00F32A0A">
      <w:r>
        <w:rPr>
          <w:noProof/>
        </w:rPr>
        <mc:AlternateContent>
          <mc:Choice Requires="wps">
            <w:drawing>
              <wp:anchor distT="0" distB="0" distL="114300" distR="114300" simplePos="0" relativeHeight="251658243" behindDoc="0" locked="0" layoutInCell="1" allowOverlap="1" wp14:anchorId="7929BBB6" wp14:editId="51133A90">
                <wp:simplePos x="0" y="0"/>
                <wp:positionH relativeFrom="column">
                  <wp:align>left</wp:align>
                </wp:positionH>
                <wp:positionV relativeFrom="page">
                  <wp:posOffset>6120765</wp:posOffset>
                </wp:positionV>
                <wp:extent cx="6300000" cy="100728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6300000" cy="1007280"/>
                        </a:xfrm>
                        <a:prstGeom prst="rect">
                          <a:avLst/>
                        </a:prstGeom>
                        <a:noFill/>
                      </wps:spPr>
                      <wps:txbx>
                        <w:txbxContent>
                          <w:sdt>
                            <w:sdtPr>
                              <w:alias w:val="Form.DocumentTitle"/>
                              <w:tag w:val="{&quot;templafy&quot;:{&quot;id&quot;:&quot;556381b9-91d6-49a4-8f17-3da6796aff56&quot;}}"/>
                              <w:id w:val="-1599024577"/>
                            </w:sdtPr>
                            <w:sdtContent>
                              <w:p w14:paraId="4E0E4C77" w14:textId="4A8819DB" w:rsidR="009301F3" w:rsidRDefault="00E81676">
                                <w:pPr>
                                  <w:pStyle w:val="DocTitle"/>
                                  <w:jc w:val="left"/>
                                </w:pPr>
                                <w:r>
                                  <w:t>Default Study 2024</w:t>
                                </w:r>
                                <w:r w:rsidR="00AB4A5D">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9BBB6" id="Text Box 14" o:spid="_x0000_s1027" type="#_x0000_t202" style="position:absolute;left:0;text-align:left;margin-left:0;margin-top:481.95pt;width:496.05pt;height:79.3pt;z-index:251658243;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" filled="f" stroked="f">
                <v:textbox inset="0,0,0,0">
                  <w:txbxContent>
                    <w:sdt>
                      <w:sdtPr>
                        <w:alias w:val="Form.DocumentTitle"/>
                        <w:tag w:val="{&quot;templafy&quot;:{&quot;id&quot;:&quot;556381b9-91d6-49a4-8f17-3da6796aff56&quot;}}"/>
                        <w:id w:val="-1599024577"/>
                      </w:sdtPr>
                      <w:sdtEndPr/>
                      <w:sdtContent>
                        <w:p w14:paraId="4E0E4C77" w14:textId="4A8819DB" w:rsidR="009301F3" w:rsidRDefault="00E81676">
                          <w:pPr>
                            <w:pStyle w:val="DocTitle"/>
                            <w:jc w:val="left"/>
                          </w:pPr>
                          <w:r>
                            <w:t>Default Study 2024</w:t>
                          </w:r>
                          <w:r w:rsidR="00AB4A5D">
                            <w:t xml:space="preserve"> </w:t>
                          </w:r>
                        </w:p>
                      </w:sdtContent>
                    </w:sdt>
                  </w:txbxContent>
                </v:textbox>
                <w10:wrap anchory="page"/>
              </v:shape>
            </w:pict>
          </mc:Fallback>
        </mc:AlternateContent>
      </w:r>
    </w:p>
    <w:p w14:paraId="7916115F" w14:textId="1703B005" w:rsidR="00D93BC7" w:rsidRDefault="00D71A92" w:rsidP="00436C18">
      <w:pPr>
        <w:sectPr w:rsidR="00D93BC7" w:rsidSect="00FE7714">
          <w:pgSz w:w="11906" w:h="16838" w:code="9"/>
          <w:pgMar w:top="4536" w:right="1134" w:bottom="57" w:left="851" w:header="709" w:footer="57" w:gutter="0"/>
          <w:cols w:space="708"/>
          <w:docGrid w:linePitch="360"/>
        </w:sectPr>
      </w:pPr>
      <w:r>
        <w:rPr>
          <w:noProof/>
        </w:rPr>
        <mc:AlternateContent>
          <mc:Choice Requires="wps">
            <w:drawing>
              <wp:anchor distT="0" distB="0" distL="114300" distR="114300" simplePos="0" relativeHeight="251658244" behindDoc="0" locked="0" layoutInCell="1" allowOverlap="1" wp14:anchorId="0CEFAE4A" wp14:editId="5BD2EED5">
                <wp:simplePos x="0" y="0"/>
                <wp:positionH relativeFrom="column">
                  <wp:align>left</wp:align>
                </wp:positionH>
                <wp:positionV relativeFrom="page">
                  <wp:posOffset>7129145</wp:posOffset>
                </wp:positionV>
                <wp:extent cx="6300000" cy="143964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6300000" cy="1439640"/>
                        </a:xfrm>
                        <a:prstGeom prst="rect">
                          <a:avLst/>
                        </a:prstGeom>
                        <a:noFill/>
                      </wps:spPr>
                      <wps:txbx>
                        <w:txbxContent>
                          <w:sdt>
                            <w:sdtPr>
                              <w:alias w:val="Form.DocumentSubtitle"/>
                              <w:tag w:val="{&quot;templafy&quot;:{&quot;id&quot;:&quot;02f70eca-9e81-4672-878f-0057985bcfff&quot;}}"/>
                              <w:id w:val="1139145091"/>
                            </w:sdtPr>
                            <w:sdtContent>
                              <w:p w14:paraId="6ED5931D" w14:textId="2316A6A7" w:rsidR="009301F3" w:rsidRPr="00AB4A5D" w:rsidRDefault="00E81676">
                                <w:pPr>
                                  <w:pStyle w:val="DocSubTitle"/>
                                  <w:rPr>
                                    <w:color w:val="002E5A" w:themeColor="text1"/>
                                    <w:sz w:val="22"/>
                                    <w:lang w:val="it-IT"/>
                                  </w:rPr>
                                </w:pPr>
                                <w:proofErr w:type="spellStart"/>
                                <w:r w:rsidRPr="00E81676">
                                  <w:rPr>
                                    <w:lang w:val="it-IT"/>
                                  </w:rPr>
                                  <w:t>Italian</w:t>
                                </w:r>
                                <w:proofErr w:type="spellEnd"/>
                                <w:r w:rsidRPr="00E81676">
                                  <w:rPr>
                                    <w:lang w:val="it-IT"/>
                                  </w:rPr>
                                  <w:t xml:space="preserve"> non-</w:t>
                                </w:r>
                                <w:proofErr w:type="spellStart"/>
                                <w:r w:rsidRPr="00E81676">
                                  <w:rPr>
                                    <w:lang w:val="it-IT"/>
                                  </w:rPr>
                                  <w:t>financial</w:t>
                                </w:r>
                                <w:proofErr w:type="spellEnd"/>
                                <w:r w:rsidRPr="00E81676">
                                  <w:rPr>
                                    <w:lang w:val="it-IT"/>
                                  </w:rPr>
                                  <w:t xml:space="preserve"> </w:t>
                                </w:r>
                                <w:proofErr w:type="spellStart"/>
                                <w:r w:rsidRPr="00E81676">
                                  <w:rPr>
                                    <w:lang w:val="it-IT"/>
                                  </w:rPr>
                                  <w:t>corporates</w:t>
                                </w:r>
                                <w:proofErr w:type="spellEnd"/>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FAE4A" id="Text Box 16" o:spid="_x0000_s1028" type="#_x0000_t202" style="position:absolute;left:0;text-align:left;margin-left:0;margin-top:561.35pt;width:496.05pt;height:113.35pt;z-index:251658244;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" filled="f" stroked="f">
                <v:textbox inset="0,0,0,0">
                  <w:txbxContent>
                    <w:sdt>
                      <w:sdtPr>
                        <w:alias w:val="Form.DocumentSubtitle"/>
                        <w:tag w:val="{&quot;templafy&quot;:{&quot;id&quot;:&quot;02f70eca-9e81-4672-878f-0057985bcfff&quot;}}"/>
                        <w:id w:val="1139145091"/>
                      </w:sdtPr>
                      <w:sdtContent>
                        <w:p w14:paraId="6ED5931D" w14:textId="2316A6A7" w:rsidR="009301F3" w:rsidRPr="00AB4A5D" w:rsidRDefault="00E81676">
                          <w:pPr>
                            <w:pStyle w:val="DocSubTitle"/>
                            <w:rPr>
                              <w:color w:val="002E5A" w:themeColor="text1"/>
                              <w:sz w:val="22"/>
                              <w:lang w:val="it-IT"/>
                            </w:rPr>
                          </w:pPr>
                          <w:proofErr w:type="spellStart"/>
                          <w:r w:rsidRPr="00E81676">
                            <w:rPr>
                              <w:lang w:val="it-IT"/>
                            </w:rPr>
                            <w:t>Italian</w:t>
                          </w:r>
                          <w:proofErr w:type="spellEnd"/>
                          <w:r w:rsidRPr="00E81676">
                            <w:rPr>
                              <w:lang w:val="it-IT"/>
                            </w:rPr>
                            <w:t xml:space="preserve"> non-</w:t>
                          </w:r>
                          <w:proofErr w:type="spellStart"/>
                          <w:r w:rsidRPr="00E81676">
                            <w:rPr>
                              <w:lang w:val="it-IT"/>
                            </w:rPr>
                            <w:t>financial</w:t>
                          </w:r>
                          <w:proofErr w:type="spellEnd"/>
                          <w:r w:rsidRPr="00E81676">
                            <w:rPr>
                              <w:lang w:val="it-IT"/>
                            </w:rPr>
                            <w:t xml:space="preserve"> </w:t>
                          </w:r>
                          <w:proofErr w:type="spellStart"/>
                          <w:r w:rsidRPr="00E81676">
                            <w:rPr>
                              <w:lang w:val="it-IT"/>
                            </w:rPr>
                            <w:t>corporates</w:t>
                          </w:r>
                          <w:proofErr w:type="spellEnd"/>
                        </w:p>
                      </w:sdtContent>
                    </w:sdt>
                  </w:txbxContent>
                </v:textbox>
                <w10:wrap anchory="page"/>
              </v:shape>
            </w:pict>
          </mc:Fallback>
        </mc:AlternateContent>
      </w:r>
      <w:r w:rsidR="00BD29E4">
        <w:rPr>
          <w:noProof/>
        </w:rPr>
        <mc:AlternateContent>
          <mc:Choice Requires="wps">
            <w:drawing>
              <wp:anchor distT="0" distB="0" distL="114300" distR="114300" simplePos="0" relativeHeight="251658245" behindDoc="0" locked="0" layoutInCell="1" allowOverlap="1" wp14:anchorId="699FACBD" wp14:editId="2DB2AAF9">
                <wp:simplePos x="0" y="0"/>
                <wp:positionH relativeFrom="column">
                  <wp:align>left</wp:align>
                </wp:positionH>
                <wp:positionV relativeFrom="page">
                  <wp:posOffset>8929370</wp:posOffset>
                </wp:positionV>
                <wp:extent cx="6300000" cy="17532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6300000" cy="175320"/>
                        </a:xfrm>
                        <a:prstGeom prst="rect">
                          <a:avLst/>
                        </a:prstGeom>
                        <a:noFill/>
                      </wps:spPr>
                      <wps:txbx>
                        <w:txbxContent>
                          <w:sdt>
                            <w:sdtPr>
                              <w:rPr>
                                <w:vanish/>
                              </w:rPr>
                              <w:alias w:val="Form.IncidentNumber"/>
                              <w:tag w:val="{&quot;templafy&quot;:{&quot;id&quot;:&quot;813a12b1-2046-4012-817b-a5c6114648f3&quot;}}"/>
                              <w:id w:val="1168059561"/>
                            </w:sdtPr>
                            <w:sdtContent>
                              <w:p w14:paraId="6402844D" w14:textId="77777777" w:rsidR="009301F3" w:rsidRDefault="00A06CAE">
                                <w:pPr>
                                  <w:pStyle w:val="DocIssue"/>
                                  <w:rPr>
                                    <w:vanish/>
                                  </w:rPr>
                                </w:pPr>
                                <w:r>
                                  <w:rPr>
                                    <w:vanish/>
                                  </w:rPr>
                                  <w:t xml:space="preserve"> </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99FACBD" id="Text Box 17" o:spid="_x0000_s1030" type="#_x0000_t202" style="position:absolute;left:0;text-align:left;margin-left:0;margin-top:703.1pt;width:496.05pt;height:13.8pt;z-index:251658245;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" filled="f" stroked="f">
                <v:textbox style="mso-fit-shape-to-text:t" inset="0,0,0,0">
                  <w:txbxContent>
                    <w:sdt>
                      <w:sdtPr>
                        <w:rPr>
                          <w:vanish/>
                        </w:rPr>
                        <w:alias w:val="Form.IncidentNumber"/>
                        <w:tag w:val="{&quot;templafy&quot;:{&quot;id&quot;:&quot;813a12b1-2046-4012-817b-a5c6114648f3&quot;}}"/>
                        <w:id w:val="1168059561"/>
                      </w:sdtPr>
                      <w:sdtEndPr/>
                      <w:sdtContent>
                        <w:p w14:paraId="6402844D" w14:textId="77777777" w:rsidR="009301F3" w:rsidRDefault="00A06CAE">
                          <w:pPr>
                            <w:pStyle w:val="DocIssue"/>
                            <w:rPr>
                              <w:vanish/>
                            </w:rPr>
                          </w:pPr>
                          <w:r>
                            <w:rPr>
                              <w:vanish/>
                            </w:rPr>
                            <w:t xml:space="preserve"> </w:t>
                          </w:r>
                        </w:p>
                      </w:sdtContent>
                    </w:sdt>
                  </w:txbxContent>
                </v:textbox>
                <w10:wrap anchory="page"/>
              </v:shape>
            </w:pict>
          </mc:Fallback>
        </mc:AlternateContent>
      </w:r>
      <w:r w:rsidR="00BB324F">
        <w:rPr>
          <w:noProof/>
        </w:rPr>
        <mc:AlternateContent>
          <mc:Choice Requires="wps">
            <w:drawing>
              <wp:anchor distT="0" distB="0" distL="114300" distR="114300" simplePos="0" relativeHeight="251658248" behindDoc="0" locked="0" layoutInCell="1" allowOverlap="1" wp14:anchorId="3A55E3E8" wp14:editId="0C14FFC5">
                <wp:simplePos x="0" y="0"/>
                <wp:positionH relativeFrom="column">
                  <wp:align>left</wp:align>
                </wp:positionH>
                <wp:positionV relativeFrom="page">
                  <wp:posOffset>9361170</wp:posOffset>
                </wp:positionV>
                <wp:extent cx="6300000" cy="17532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6300000" cy="175320"/>
                        </a:xfrm>
                        <a:prstGeom prst="rect">
                          <a:avLst/>
                        </a:prstGeom>
                        <a:noFill/>
                      </wps:spPr>
                      <wps:txbx>
                        <w:txbxContent>
                          <w:sdt>
                            <w:sdtPr>
                              <w:rPr>
                                <w:vanish/>
                              </w:rPr>
                              <w:alias w:val="Form.DocumentVersion"/>
                              <w:tag w:val="{&quot;templafy&quot;:{&quot;id&quot;:&quot;fc2dd324-876b-493c-a90b-18a220677b71&quot;}}"/>
                              <w:id w:val="2141069156"/>
                            </w:sdtPr>
                            <w:sdtContent>
                              <w:p w14:paraId="728E910C" w14:textId="77777777" w:rsidR="009301F3" w:rsidRDefault="00A06CAE">
                                <w:pPr>
                                  <w:pStyle w:val="DocVersion"/>
                                  <w:rPr>
                                    <w:vanish/>
                                  </w:rPr>
                                </w:pPr>
                                <w:r>
                                  <w:rPr>
                                    <w:vanish/>
                                  </w:rPr>
                                  <w:t xml:space="preserve"> </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A55E3E8" id="Text Box 21" o:spid="_x0000_s1031" type="#_x0000_t202" style="position:absolute;left:0;text-align:left;margin-left:0;margin-top:737.1pt;width:496.05pt;height:13.8pt;z-index:251658248;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" filled="f" stroked="f">
                <v:textbox style="mso-fit-shape-to-text:t" inset="0,0,0,0">
                  <w:txbxContent>
                    <w:sdt>
                      <w:sdtPr>
                        <w:rPr>
                          <w:vanish/>
                        </w:rPr>
                        <w:alias w:val="Form.DocumentVersion"/>
                        <w:tag w:val="{&quot;templafy&quot;:{&quot;id&quot;:&quot;fc2dd324-876b-493c-a90b-18a220677b71&quot;}}"/>
                        <w:id w:val="2141069156"/>
                      </w:sdtPr>
                      <w:sdtEndPr/>
                      <w:sdtContent>
                        <w:p w14:paraId="728E910C" w14:textId="77777777" w:rsidR="009301F3" w:rsidRDefault="00A06CAE">
                          <w:pPr>
                            <w:pStyle w:val="DocVersion"/>
                            <w:rPr>
                              <w:vanish/>
                            </w:rPr>
                          </w:pPr>
                          <w:r>
                            <w:rPr>
                              <w:vanish/>
                            </w:rPr>
                            <w:t xml:space="preserve"> </w:t>
                          </w:r>
                        </w:p>
                      </w:sdtContent>
                    </w:sdt>
                  </w:txbxContent>
                </v:textbox>
                <w10:wrap anchory="page"/>
              </v:shape>
            </w:pict>
          </mc:Fallback>
        </mc:AlternateContent>
      </w:r>
      <w:r w:rsidR="00BB324F">
        <w:rPr>
          <w:noProof/>
        </w:rPr>
        <mc:AlternateContent>
          <mc:Choice Requires="wps">
            <w:drawing>
              <wp:anchor distT="0" distB="0" distL="114300" distR="114300" simplePos="0" relativeHeight="251658247" behindDoc="0" locked="0" layoutInCell="1" allowOverlap="1" wp14:anchorId="1CA4DCCB" wp14:editId="7BB7225F">
                <wp:simplePos x="0" y="0"/>
                <wp:positionH relativeFrom="column">
                  <wp:align>left</wp:align>
                </wp:positionH>
                <wp:positionV relativeFrom="page">
                  <wp:posOffset>9145270</wp:posOffset>
                </wp:positionV>
                <wp:extent cx="6300000" cy="19188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6300000" cy="191880"/>
                        </a:xfrm>
                        <a:prstGeom prst="rect">
                          <a:avLst/>
                        </a:prstGeom>
                        <a:noFill/>
                      </wps:spPr>
                      <wps:txbx>
                        <w:txbxContent>
                          <w:sdt>
                            <w:sdtPr>
                              <w:rPr>
                                <w:vanish/>
                              </w:rPr>
                              <w:alias w:val="Form.IncidentDate"/>
                              <w:tag w:val="{&quot;templafy&quot;:{&quot;id&quot;:&quot;e08c41bb-4509-4602-b80f-f301c2e02cdd&quot;}}"/>
                              <w:id w:val="-1473674590"/>
                              <w:showingPlcHdr/>
                            </w:sdtPr>
                            <w:sdtContent>
                              <w:p w14:paraId="008E601B" w14:textId="77777777" w:rsidR="00BB324F" w:rsidRDefault="00BB324F" w:rsidP="00BB324F">
                                <w:pPr>
                                  <w:pStyle w:val="DocIncidentDate"/>
                                  <w:rPr>
                                    <w:vanish/>
                                  </w:rPr>
                                </w:pPr>
                                <w:r w:rsidRPr="00A13FE2">
                                  <w:rPr>
                                    <w:vanish/>
                                  </w:rPr>
                                  <w:t>Click or tap here to enter text.</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CA4DCCB" id="Text Box 20" o:spid="_x0000_s1032" type="#_x0000_t202" style="position:absolute;left:0;text-align:left;margin-left:0;margin-top:720.1pt;width:496.05pt;height:15.1pt;z-index:251658247;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" filled="f" stroked="f">
                <v:textbox style="mso-fit-shape-to-text:t" inset="0,0,0,0">
                  <w:txbxContent>
                    <w:sdt>
                      <w:sdtPr>
                        <w:rPr>
                          <w:vanish/>
                        </w:rPr>
                        <w:alias w:val="Form.IncidentDate"/>
                        <w:tag w:val="{&quot;templafy&quot;:{&quot;id&quot;:&quot;e08c41bb-4509-4602-b80f-f301c2e02cdd&quot;}}"/>
                        <w:id w:val="-1473674590"/>
                        <w:showingPlcHdr/>
                      </w:sdtPr>
                      <w:sdtEndPr/>
                      <w:sdtContent>
                        <w:p w14:paraId="008E601B" w14:textId="77777777" w:rsidR="00BB324F" w:rsidRDefault="00BB324F" w:rsidP="00BB324F">
                          <w:pPr>
                            <w:pStyle w:val="DocIncidentDate"/>
                            <w:rPr>
                              <w:vanish/>
                            </w:rPr>
                          </w:pPr>
                          <w:r w:rsidRPr="00A13FE2">
                            <w:rPr>
                              <w:vanish/>
                            </w:rPr>
                            <w:t>Click or tap here to enter text.</w:t>
                          </w:r>
                        </w:p>
                      </w:sdtContent>
                    </w:sdt>
                  </w:txbxContent>
                </v:textbox>
                <w10:wrap anchory="page"/>
              </v:shape>
            </w:pict>
          </mc:Fallback>
        </mc:AlternateContent>
      </w:r>
      <w:r w:rsidR="00BD29E4">
        <w:rPr>
          <w:noProof/>
        </w:rPr>
        <mc:AlternateContent>
          <mc:Choice Requires="wps">
            <w:drawing>
              <wp:anchor distT="0" distB="0" distL="114300" distR="114300" simplePos="0" relativeHeight="251658246" behindDoc="0" locked="0" layoutInCell="1" allowOverlap="1" wp14:anchorId="3BAE936B" wp14:editId="335A41EB">
                <wp:simplePos x="0" y="0"/>
                <wp:positionH relativeFrom="column">
                  <wp:align>left</wp:align>
                </wp:positionH>
                <wp:positionV relativeFrom="page">
                  <wp:posOffset>8569325</wp:posOffset>
                </wp:positionV>
                <wp:extent cx="6300000" cy="33156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6300000" cy="331560"/>
                        </a:xfrm>
                        <a:prstGeom prst="rect">
                          <a:avLst/>
                        </a:prstGeom>
                        <a:noFill/>
                      </wps:spPr>
                      <wps:txbx>
                        <w:txbxContent>
                          <w:sdt>
                            <w:sdtPr>
                              <w:rPr>
                                <w:vanish/>
                              </w:rPr>
                              <w:alias w:val="Form.DocumentType"/>
                              <w:tag w:val="{&quot;templafy&quot;:{&quot;id&quot;:&quot;c4de2898-773a-4e48-9a2c-5fb7f7cf97a0&quot;}}"/>
                              <w:id w:val="938033087"/>
                            </w:sdtPr>
                            <w:sdtContent>
                              <w:p w14:paraId="18253139" w14:textId="77777777" w:rsidR="009301F3" w:rsidRDefault="00A06CAE">
                                <w:pPr>
                                  <w:pStyle w:val="DocType"/>
                                  <w:rPr>
                                    <w:vanish/>
                                  </w:rPr>
                                </w:pPr>
                                <w:r>
                                  <w:rPr>
                                    <w:vanish/>
                                  </w:rPr>
                                  <w:t xml:space="preserve"> </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BAE936B" id="Text Box 19" o:spid="_x0000_s1033" type="#_x0000_t202" style="position:absolute;left:0;text-align:left;margin-left:0;margin-top:674.75pt;width:496.05pt;height:26.1pt;z-index:251658246;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" filled="f" stroked="f">
                <v:textbox style="mso-fit-shape-to-text:t" inset="0,0,0,0">
                  <w:txbxContent>
                    <w:sdt>
                      <w:sdtPr>
                        <w:rPr>
                          <w:vanish/>
                        </w:rPr>
                        <w:alias w:val="Form.DocumentType"/>
                        <w:tag w:val="{&quot;templafy&quot;:{&quot;id&quot;:&quot;c4de2898-773a-4e48-9a2c-5fb7f7cf97a0&quot;}}"/>
                        <w:id w:val="938033087"/>
                      </w:sdtPr>
                      <w:sdtEndPr/>
                      <w:sdtContent>
                        <w:p w14:paraId="18253139" w14:textId="77777777" w:rsidR="009301F3" w:rsidRDefault="00A06CAE">
                          <w:pPr>
                            <w:pStyle w:val="DocType"/>
                            <w:rPr>
                              <w:vanish/>
                            </w:rPr>
                          </w:pPr>
                          <w:r>
                            <w:rPr>
                              <w:vanish/>
                            </w:rPr>
                            <w:t xml:space="preserve"> </w:t>
                          </w:r>
                        </w:p>
                      </w:sdtContent>
                    </w:sdt>
                  </w:txbxContent>
                </v:textbox>
                <w10:wrap anchory="page"/>
              </v:shape>
            </w:pict>
          </mc:Fallback>
        </mc:AlternateContent>
      </w:r>
    </w:p>
    <w:p w14:paraId="5EA5599A" w14:textId="77777777" w:rsidR="006E38DC" w:rsidRPr="00DE2749" w:rsidRDefault="007D763E" w:rsidP="00D77C76">
      <w:pPr>
        <w:pStyle w:val="StyleDisclaimerBold"/>
      </w:pPr>
      <w:r w:rsidRPr="00DE2749">
        <w:lastRenderedPageBreak/>
        <w:t>Legal Notices</w:t>
      </w:r>
    </w:p>
    <w:p w14:paraId="086B5EF6" w14:textId="77777777" w:rsidR="006E38DC" w:rsidRDefault="00C365F5" w:rsidP="00DE2749">
      <w:pPr>
        <w:pStyle w:val="Disclaimer"/>
      </w:pPr>
      <w:r w:rsidRPr="00397A30">
        <w:t xml:space="preserve">No part of this document may be copied, reproduced or translated without the prior written consent of </w:t>
      </w:r>
      <w:r w:rsidR="00A06CAE">
        <w:t xml:space="preserve">Cerved Rating Agency </w:t>
      </w:r>
      <w:r w:rsidRPr="00397A30">
        <w:t>and its affiliates</w:t>
      </w:r>
      <w:r w:rsidR="00A06CAE">
        <w:t xml:space="preserve">. </w:t>
      </w:r>
      <w:r w:rsidRPr="00397A30">
        <w:t xml:space="preserve">The information contained in this document may be amended by </w:t>
      </w:r>
      <w:sdt>
        <w:sdtPr>
          <w:alias w:val="Form.Entity.EntityAbbreviation"/>
          <w:tag w:val="{&quot;templafy&quot;:{&quot;id&quot;:&quot;f679913b-388d-4ec3-b13c-3446c607fe78&quot;}}"/>
          <w:id w:val="-1479765185"/>
          <w:placeholder>
            <w:docPart w:val="B599F1CB01774B78884C1CBEFD6D799F"/>
          </w:placeholder>
        </w:sdtPr>
        <w:sdtContent>
          <w:r w:rsidR="005754D0">
            <w:t>Cerved Rating Agency</w:t>
          </w:r>
        </w:sdtContent>
      </w:sdt>
      <w:r w:rsidRPr="00397A30">
        <w:t xml:space="preserve"> without notice</w:t>
      </w:r>
      <w:r w:rsidR="007D763E">
        <w:t>.</w:t>
      </w:r>
    </w:p>
    <w:p w14:paraId="1A26BA11" w14:textId="3FCF790C" w:rsidR="006E38DC" w:rsidRPr="00E8198B" w:rsidRDefault="007D763E" w:rsidP="00E8198B">
      <w:pPr>
        <w:pStyle w:val="StyleDisclaimerBold"/>
      </w:pPr>
      <w:r w:rsidRPr="00DE2749">
        <w:t xml:space="preserve">© </w:t>
      </w:r>
      <w:r w:rsidR="00C25667">
        <w:t xml:space="preserve">Copyright </w:t>
      </w:r>
      <w:r w:rsidR="00A06CAE">
        <w:t>Cerved Rating Agency</w:t>
      </w:r>
      <w:r w:rsidRPr="00DE2749">
        <w:t xml:space="preserve"> </w:t>
      </w:r>
      <w:r w:rsidR="00505DBE">
        <w:fldChar w:fldCharType="begin"/>
      </w:r>
      <w:r w:rsidR="00505DBE">
        <w:instrText xml:space="preserve"> DATE  \@ "YYYY"  \* MERGEFORMAT </w:instrText>
      </w:r>
      <w:r w:rsidR="00505DBE">
        <w:fldChar w:fldCharType="separate"/>
      </w:r>
      <w:r w:rsidR="00662D20">
        <w:rPr>
          <w:noProof/>
        </w:rPr>
        <w:t>2025</w:t>
      </w:r>
      <w:r w:rsidR="00505DBE">
        <w:fldChar w:fldCharType="end"/>
      </w:r>
      <w:r w:rsidRPr="00E8198B">
        <w:t>. All Rights Reserved.</w:t>
      </w:r>
    </w:p>
    <w:p w14:paraId="5ABCE894" w14:textId="77777777" w:rsidR="006E38DC" w:rsidRDefault="007D763E" w:rsidP="00DE2749">
      <w:pPr>
        <w:pStyle w:val="Disclaimer"/>
      </w:pPr>
      <w:r>
        <w:t>All company, product, and service names are acknowledged.</w:t>
      </w:r>
    </w:p>
    <w:bookmarkStart w:id="1" w:name="_Hlk508101533" w:displacedByCustomXml="next"/>
    <w:bookmarkStart w:id="2" w:name="_Hlk508101444" w:displacedByCustomXml="next"/>
    <w:bookmarkStart w:id="3" w:name="_Toc465954398" w:displacedByCustomXml="next"/>
    <w:bookmarkStart w:id="4" w:name="_Toc473728608" w:displacedByCustomXml="next"/>
    <w:sdt>
      <w:sdtPr>
        <w:rPr>
          <w:rFonts w:eastAsiaTheme="minorEastAsia" w:cstheme="minorBidi"/>
          <w:b/>
          <w:bCs/>
          <w:color w:val="002E5A" w:themeColor="text1"/>
          <w:sz w:val="22"/>
          <w:szCs w:val="22"/>
        </w:rPr>
        <w:alias w:val="table_of_contents"/>
        <w:tag w:val="table_of_contents"/>
        <w:id w:val="-694144558"/>
        <w:placeholder>
          <w:docPart w:val="0529C9911A094F58BE65F4D03088267E"/>
        </w:placeholder>
      </w:sdtPr>
      <w:sdtEndPr>
        <w:rPr>
          <w:b w:val="0"/>
          <w:bCs w:val="0"/>
          <w:noProof/>
          <w:color w:val="002E5A" w:themeColor="text2"/>
          <w:lang w:val="en-GB"/>
        </w:rPr>
      </w:sdtEndPr>
      <w:sdtContent>
        <w:p w14:paraId="1C335DC5" w14:textId="6A1197F8" w:rsidR="00BD468C" w:rsidRDefault="000123F0">
          <w:pPr>
            <w:pStyle w:val="SecHeader"/>
          </w:pPr>
          <w:r>
            <w:t>Table of contents</w:t>
          </w:r>
        </w:p>
        <w:p w14:paraId="09058095" w14:textId="4761CBCF" w:rsidR="0024061B" w:rsidRDefault="00BD468C">
          <w:pPr>
            <w:pStyle w:val="Sommario1"/>
            <w:rPr>
              <w:rFonts w:asciiTheme="minorHAnsi" w:hAnsiTheme="minorHAnsi"/>
              <w:color w:val="auto"/>
              <w:kern w:val="2"/>
              <w:sz w:val="24"/>
              <w:szCs w:val="24"/>
              <w:lang w:val="it-IT" w:eastAsia="it-IT"/>
              <w14:ligatures w14:val="standardContextual"/>
            </w:rPr>
          </w:pPr>
          <w:r>
            <w:rPr>
              <w:rFonts w:asciiTheme="majorHAnsi" w:hAnsiTheme="majorHAnsi"/>
              <w:color w:val="E4543E"/>
              <w:lang w:val="en-GB"/>
            </w:rPr>
            <w:fldChar w:fldCharType="begin"/>
          </w:r>
          <w:r>
            <w:rPr>
              <w:rFonts w:asciiTheme="majorHAnsi" w:hAnsiTheme="majorHAnsi"/>
              <w:color w:val="E4543E"/>
              <w:lang w:val="en-GB"/>
            </w:rPr>
            <w:instrText xml:space="preserve"> TOC \o "1-3" \h \z \u </w:instrText>
          </w:r>
          <w:r>
            <w:rPr>
              <w:rFonts w:asciiTheme="majorHAnsi" w:hAnsiTheme="majorHAnsi"/>
              <w:color w:val="E4543E"/>
              <w:lang w:val="en-GB"/>
            </w:rPr>
            <w:fldChar w:fldCharType="separate"/>
          </w:r>
          <w:hyperlink w:anchor="_Toc167131713" w:history="1">
            <w:r w:rsidR="0024061B" w:rsidRPr="004873E2">
              <w:rPr>
                <w:rStyle w:val="Collegamentoipertestuale"/>
                <w:lang w:val="en-GB"/>
              </w:rPr>
              <w:t>Executive summary</w:t>
            </w:r>
            <w:r w:rsidR="0024061B">
              <w:rPr>
                <w:webHidden/>
              </w:rPr>
              <w:tab/>
            </w:r>
            <w:r w:rsidR="0024061B">
              <w:rPr>
                <w:webHidden/>
              </w:rPr>
              <w:fldChar w:fldCharType="begin"/>
            </w:r>
            <w:r w:rsidR="0024061B">
              <w:rPr>
                <w:webHidden/>
              </w:rPr>
              <w:instrText xml:space="preserve"> PAGEREF _Toc167131713 \h </w:instrText>
            </w:r>
            <w:r w:rsidR="0024061B">
              <w:rPr>
                <w:webHidden/>
              </w:rPr>
            </w:r>
            <w:r w:rsidR="0024061B">
              <w:rPr>
                <w:webHidden/>
              </w:rPr>
              <w:fldChar w:fldCharType="separate"/>
            </w:r>
            <w:r w:rsidR="0024061B">
              <w:rPr>
                <w:webHidden/>
              </w:rPr>
              <w:t>4</w:t>
            </w:r>
            <w:r w:rsidR="0024061B">
              <w:rPr>
                <w:webHidden/>
              </w:rPr>
              <w:fldChar w:fldCharType="end"/>
            </w:r>
          </w:hyperlink>
        </w:p>
        <w:p w14:paraId="33227D57" w14:textId="030DAEA2" w:rsidR="0024061B" w:rsidRDefault="0024061B">
          <w:pPr>
            <w:pStyle w:val="Sommario1"/>
            <w:rPr>
              <w:rFonts w:asciiTheme="minorHAnsi" w:hAnsiTheme="minorHAnsi"/>
              <w:color w:val="auto"/>
              <w:kern w:val="2"/>
              <w:sz w:val="24"/>
              <w:szCs w:val="24"/>
              <w:lang w:val="it-IT" w:eastAsia="it-IT"/>
              <w14:ligatures w14:val="standardContextual"/>
            </w:rPr>
          </w:pPr>
          <w:hyperlink w:anchor="_Toc167131714" w:history="1">
            <w:r w:rsidRPr="004873E2">
              <w:rPr>
                <w:rStyle w:val="Collegamentoipertestuale"/>
                <w:lang w:val="en-GB"/>
              </w:rPr>
              <w:t>Introduction</w:t>
            </w:r>
            <w:r>
              <w:rPr>
                <w:webHidden/>
              </w:rPr>
              <w:tab/>
            </w:r>
            <w:r>
              <w:rPr>
                <w:webHidden/>
              </w:rPr>
              <w:fldChar w:fldCharType="begin"/>
            </w:r>
            <w:r>
              <w:rPr>
                <w:webHidden/>
              </w:rPr>
              <w:instrText xml:space="preserve"> PAGEREF _Toc167131714 \h </w:instrText>
            </w:r>
            <w:r>
              <w:rPr>
                <w:webHidden/>
              </w:rPr>
            </w:r>
            <w:r>
              <w:rPr>
                <w:webHidden/>
              </w:rPr>
              <w:fldChar w:fldCharType="separate"/>
            </w:r>
            <w:r>
              <w:rPr>
                <w:webHidden/>
              </w:rPr>
              <w:t>5</w:t>
            </w:r>
            <w:r>
              <w:rPr>
                <w:webHidden/>
              </w:rPr>
              <w:fldChar w:fldCharType="end"/>
            </w:r>
          </w:hyperlink>
        </w:p>
        <w:p w14:paraId="4D2F48B3" w14:textId="7E7B9650" w:rsidR="0024061B" w:rsidRDefault="0024061B">
          <w:pPr>
            <w:pStyle w:val="Sommario1"/>
            <w:rPr>
              <w:rFonts w:asciiTheme="minorHAnsi" w:hAnsiTheme="minorHAnsi"/>
              <w:color w:val="auto"/>
              <w:kern w:val="2"/>
              <w:sz w:val="24"/>
              <w:szCs w:val="24"/>
              <w:lang w:val="it-IT" w:eastAsia="it-IT"/>
              <w14:ligatures w14:val="standardContextual"/>
            </w:rPr>
          </w:pPr>
          <w:hyperlink w:anchor="_Toc167131715" w:history="1">
            <w:r w:rsidRPr="004873E2">
              <w:rPr>
                <w:rStyle w:val="Collegamentoipertestuale"/>
                <w:lang w:val="en-GB"/>
              </w:rPr>
              <w:t>Default Study</w:t>
            </w:r>
            <w:r>
              <w:rPr>
                <w:webHidden/>
              </w:rPr>
              <w:tab/>
            </w:r>
            <w:r>
              <w:rPr>
                <w:webHidden/>
              </w:rPr>
              <w:fldChar w:fldCharType="begin"/>
            </w:r>
            <w:r>
              <w:rPr>
                <w:webHidden/>
              </w:rPr>
              <w:instrText xml:space="preserve"> PAGEREF _Toc167131715 \h </w:instrText>
            </w:r>
            <w:r>
              <w:rPr>
                <w:webHidden/>
              </w:rPr>
            </w:r>
            <w:r>
              <w:rPr>
                <w:webHidden/>
              </w:rPr>
              <w:fldChar w:fldCharType="separate"/>
            </w:r>
            <w:r>
              <w:rPr>
                <w:webHidden/>
              </w:rPr>
              <w:t>6</w:t>
            </w:r>
            <w:r>
              <w:rPr>
                <w:webHidden/>
              </w:rPr>
              <w:fldChar w:fldCharType="end"/>
            </w:r>
          </w:hyperlink>
        </w:p>
        <w:p w14:paraId="2A04C98E" w14:textId="7E860D9E" w:rsidR="0024061B" w:rsidRDefault="0024061B">
          <w:pPr>
            <w:pStyle w:val="Sommario2"/>
            <w:rPr>
              <w:rFonts w:asciiTheme="minorHAnsi" w:hAnsiTheme="minorHAnsi"/>
              <w:color w:val="auto"/>
              <w:kern w:val="2"/>
              <w:sz w:val="24"/>
              <w:szCs w:val="24"/>
              <w:lang w:val="it-IT" w:eastAsia="it-IT"/>
              <w14:ligatures w14:val="standardContextual"/>
            </w:rPr>
          </w:pPr>
          <w:hyperlink w:anchor="_Toc167131716" w:history="1">
            <w:r w:rsidRPr="004873E2">
              <w:rPr>
                <w:rStyle w:val="Collegamentoipertestuale"/>
                <w:lang w:val="en-GB"/>
              </w:rPr>
              <w:t>The characteristics of the portfolio’s rated entities</w:t>
            </w:r>
            <w:r>
              <w:rPr>
                <w:webHidden/>
              </w:rPr>
              <w:tab/>
            </w:r>
            <w:r>
              <w:rPr>
                <w:webHidden/>
              </w:rPr>
              <w:fldChar w:fldCharType="begin"/>
            </w:r>
            <w:r>
              <w:rPr>
                <w:webHidden/>
              </w:rPr>
              <w:instrText xml:space="preserve"> PAGEREF _Toc167131716 \h </w:instrText>
            </w:r>
            <w:r>
              <w:rPr>
                <w:webHidden/>
              </w:rPr>
            </w:r>
            <w:r>
              <w:rPr>
                <w:webHidden/>
              </w:rPr>
              <w:fldChar w:fldCharType="separate"/>
            </w:r>
            <w:r>
              <w:rPr>
                <w:webHidden/>
              </w:rPr>
              <w:t>6</w:t>
            </w:r>
            <w:r>
              <w:rPr>
                <w:webHidden/>
              </w:rPr>
              <w:fldChar w:fldCharType="end"/>
            </w:r>
          </w:hyperlink>
        </w:p>
        <w:p w14:paraId="14B50DDA" w14:textId="6C6E1FC3" w:rsidR="0024061B" w:rsidRDefault="0024061B">
          <w:pPr>
            <w:pStyle w:val="Sommario3"/>
            <w:rPr>
              <w:rFonts w:asciiTheme="minorHAnsi" w:hAnsiTheme="minorHAnsi"/>
              <w:color w:val="auto"/>
              <w:kern w:val="2"/>
              <w:sz w:val="24"/>
              <w:szCs w:val="24"/>
              <w:lang w:val="it-IT" w:eastAsia="it-IT"/>
              <w14:ligatures w14:val="standardContextual"/>
            </w:rPr>
          </w:pPr>
          <w:hyperlink w:anchor="_Toc167131717" w:history="1">
            <w:r w:rsidRPr="004873E2">
              <w:rPr>
                <w:rStyle w:val="Collegamentoipertestuale"/>
                <w:lang w:val="en-GB"/>
              </w:rPr>
              <w:t>Breakdown of rated entities by size</w:t>
            </w:r>
            <w:r>
              <w:rPr>
                <w:webHidden/>
              </w:rPr>
              <w:tab/>
            </w:r>
            <w:r>
              <w:rPr>
                <w:webHidden/>
              </w:rPr>
              <w:fldChar w:fldCharType="begin"/>
            </w:r>
            <w:r>
              <w:rPr>
                <w:webHidden/>
              </w:rPr>
              <w:instrText xml:space="preserve"> PAGEREF _Toc167131717 \h </w:instrText>
            </w:r>
            <w:r>
              <w:rPr>
                <w:webHidden/>
              </w:rPr>
            </w:r>
            <w:r>
              <w:rPr>
                <w:webHidden/>
              </w:rPr>
              <w:fldChar w:fldCharType="separate"/>
            </w:r>
            <w:r>
              <w:rPr>
                <w:webHidden/>
              </w:rPr>
              <w:t>6</w:t>
            </w:r>
            <w:r>
              <w:rPr>
                <w:webHidden/>
              </w:rPr>
              <w:fldChar w:fldCharType="end"/>
            </w:r>
          </w:hyperlink>
        </w:p>
        <w:p w14:paraId="00E11FB1" w14:textId="1C882F3A" w:rsidR="0024061B" w:rsidRDefault="0024061B">
          <w:pPr>
            <w:pStyle w:val="Sommario3"/>
            <w:rPr>
              <w:rFonts w:asciiTheme="minorHAnsi" w:hAnsiTheme="minorHAnsi"/>
              <w:color w:val="auto"/>
              <w:kern w:val="2"/>
              <w:sz w:val="24"/>
              <w:szCs w:val="24"/>
              <w:lang w:val="it-IT" w:eastAsia="it-IT"/>
              <w14:ligatures w14:val="standardContextual"/>
            </w:rPr>
          </w:pPr>
          <w:hyperlink w:anchor="_Toc167131718" w:history="1">
            <w:r w:rsidRPr="004873E2">
              <w:rPr>
                <w:rStyle w:val="Collegamentoipertestuale"/>
                <w:lang w:val="en-GB"/>
              </w:rPr>
              <w:t>Breakdown of rated entities by legal form</w:t>
            </w:r>
            <w:r>
              <w:rPr>
                <w:webHidden/>
              </w:rPr>
              <w:tab/>
            </w:r>
            <w:r>
              <w:rPr>
                <w:webHidden/>
              </w:rPr>
              <w:fldChar w:fldCharType="begin"/>
            </w:r>
            <w:r>
              <w:rPr>
                <w:webHidden/>
              </w:rPr>
              <w:instrText xml:space="preserve"> PAGEREF _Toc167131718 \h </w:instrText>
            </w:r>
            <w:r>
              <w:rPr>
                <w:webHidden/>
              </w:rPr>
            </w:r>
            <w:r>
              <w:rPr>
                <w:webHidden/>
              </w:rPr>
              <w:fldChar w:fldCharType="separate"/>
            </w:r>
            <w:r>
              <w:rPr>
                <w:webHidden/>
              </w:rPr>
              <w:t>8</w:t>
            </w:r>
            <w:r>
              <w:rPr>
                <w:webHidden/>
              </w:rPr>
              <w:fldChar w:fldCharType="end"/>
            </w:r>
          </w:hyperlink>
        </w:p>
        <w:p w14:paraId="57898551" w14:textId="6CFFEAFD" w:rsidR="0024061B" w:rsidRDefault="0024061B">
          <w:pPr>
            <w:pStyle w:val="Sommario3"/>
            <w:rPr>
              <w:rFonts w:asciiTheme="minorHAnsi" w:hAnsiTheme="minorHAnsi"/>
              <w:color w:val="auto"/>
              <w:kern w:val="2"/>
              <w:sz w:val="24"/>
              <w:szCs w:val="24"/>
              <w:lang w:val="it-IT" w:eastAsia="it-IT"/>
              <w14:ligatures w14:val="standardContextual"/>
            </w:rPr>
          </w:pPr>
          <w:hyperlink w:anchor="_Toc167131719" w:history="1">
            <w:r w:rsidRPr="004873E2">
              <w:rPr>
                <w:rStyle w:val="Collegamentoipertestuale"/>
                <w:lang w:val="en-GB"/>
              </w:rPr>
              <w:t>Breakdown of rated entities by industry</w:t>
            </w:r>
            <w:r>
              <w:rPr>
                <w:webHidden/>
              </w:rPr>
              <w:tab/>
            </w:r>
            <w:r>
              <w:rPr>
                <w:webHidden/>
              </w:rPr>
              <w:fldChar w:fldCharType="begin"/>
            </w:r>
            <w:r>
              <w:rPr>
                <w:webHidden/>
              </w:rPr>
              <w:instrText xml:space="preserve"> PAGEREF _Toc167131719 \h </w:instrText>
            </w:r>
            <w:r>
              <w:rPr>
                <w:webHidden/>
              </w:rPr>
            </w:r>
            <w:r>
              <w:rPr>
                <w:webHidden/>
              </w:rPr>
              <w:fldChar w:fldCharType="separate"/>
            </w:r>
            <w:r>
              <w:rPr>
                <w:webHidden/>
              </w:rPr>
              <w:t>9</w:t>
            </w:r>
            <w:r>
              <w:rPr>
                <w:webHidden/>
              </w:rPr>
              <w:fldChar w:fldCharType="end"/>
            </w:r>
          </w:hyperlink>
        </w:p>
        <w:p w14:paraId="51CC6139" w14:textId="085A6587" w:rsidR="0024061B" w:rsidRDefault="0024061B">
          <w:pPr>
            <w:pStyle w:val="Sommario2"/>
            <w:rPr>
              <w:rFonts w:asciiTheme="minorHAnsi" w:hAnsiTheme="minorHAnsi"/>
              <w:color w:val="auto"/>
              <w:kern w:val="2"/>
              <w:sz w:val="24"/>
              <w:szCs w:val="24"/>
              <w:lang w:val="it-IT" w:eastAsia="it-IT"/>
              <w14:ligatures w14:val="standardContextual"/>
            </w:rPr>
          </w:pPr>
          <w:hyperlink w:anchor="_Toc167131720" w:history="1">
            <w:r w:rsidRPr="004873E2">
              <w:rPr>
                <w:rStyle w:val="Collegamentoipertestuale"/>
                <w:lang w:val="en-GB"/>
              </w:rPr>
              <w:t>Rating distribution of rated entities</w:t>
            </w:r>
            <w:r>
              <w:rPr>
                <w:webHidden/>
              </w:rPr>
              <w:tab/>
            </w:r>
            <w:r>
              <w:rPr>
                <w:webHidden/>
              </w:rPr>
              <w:fldChar w:fldCharType="begin"/>
            </w:r>
            <w:r>
              <w:rPr>
                <w:webHidden/>
              </w:rPr>
              <w:instrText xml:space="preserve"> PAGEREF _Toc167131720 \h </w:instrText>
            </w:r>
            <w:r>
              <w:rPr>
                <w:webHidden/>
              </w:rPr>
            </w:r>
            <w:r>
              <w:rPr>
                <w:webHidden/>
              </w:rPr>
              <w:fldChar w:fldCharType="separate"/>
            </w:r>
            <w:r>
              <w:rPr>
                <w:webHidden/>
              </w:rPr>
              <w:t>11</w:t>
            </w:r>
            <w:r>
              <w:rPr>
                <w:webHidden/>
              </w:rPr>
              <w:fldChar w:fldCharType="end"/>
            </w:r>
          </w:hyperlink>
        </w:p>
        <w:p w14:paraId="28BAA31F" w14:textId="59D278B2" w:rsidR="0024061B" w:rsidRDefault="0024061B">
          <w:pPr>
            <w:pStyle w:val="Sommario2"/>
            <w:rPr>
              <w:rFonts w:asciiTheme="minorHAnsi" w:hAnsiTheme="minorHAnsi"/>
              <w:color w:val="auto"/>
              <w:kern w:val="2"/>
              <w:sz w:val="24"/>
              <w:szCs w:val="24"/>
              <w:lang w:val="it-IT" w:eastAsia="it-IT"/>
              <w14:ligatures w14:val="standardContextual"/>
            </w:rPr>
          </w:pPr>
          <w:hyperlink w:anchor="_Toc167131721" w:history="1">
            <w:r w:rsidRPr="004873E2">
              <w:rPr>
                <w:rStyle w:val="Collegamentoipertestuale"/>
                <w:lang w:val="en-GB"/>
              </w:rPr>
              <w:t>Default rates on 1-year time horizon</w:t>
            </w:r>
            <w:r>
              <w:rPr>
                <w:webHidden/>
              </w:rPr>
              <w:tab/>
            </w:r>
            <w:r>
              <w:rPr>
                <w:webHidden/>
              </w:rPr>
              <w:fldChar w:fldCharType="begin"/>
            </w:r>
            <w:r>
              <w:rPr>
                <w:webHidden/>
              </w:rPr>
              <w:instrText xml:space="preserve"> PAGEREF _Toc167131721 \h </w:instrText>
            </w:r>
            <w:r>
              <w:rPr>
                <w:webHidden/>
              </w:rPr>
            </w:r>
            <w:r>
              <w:rPr>
                <w:webHidden/>
              </w:rPr>
              <w:fldChar w:fldCharType="separate"/>
            </w:r>
            <w:r>
              <w:rPr>
                <w:webHidden/>
              </w:rPr>
              <w:t>14</w:t>
            </w:r>
            <w:r>
              <w:rPr>
                <w:webHidden/>
              </w:rPr>
              <w:fldChar w:fldCharType="end"/>
            </w:r>
          </w:hyperlink>
        </w:p>
        <w:p w14:paraId="1B10A6D1" w14:textId="3216CB32" w:rsidR="0024061B" w:rsidRDefault="0024061B">
          <w:pPr>
            <w:pStyle w:val="Sommario2"/>
            <w:rPr>
              <w:rFonts w:asciiTheme="minorHAnsi" w:hAnsiTheme="minorHAnsi"/>
              <w:color w:val="auto"/>
              <w:kern w:val="2"/>
              <w:sz w:val="24"/>
              <w:szCs w:val="24"/>
              <w:lang w:val="it-IT" w:eastAsia="it-IT"/>
              <w14:ligatures w14:val="standardContextual"/>
            </w:rPr>
          </w:pPr>
          <w:hyperlink w:anchor="_Toc167131722" w:history="1">
            <w:r w:rsidRPr="004873E2">
              <w:rPr>
                <w:rStyle w:val="Collegamentoipertestuale"/>
                <w:lang w:val="en-GB"/>
              </w:rPr>
              <w:t>Model performance on the 1-year time horizon</w:t>
            </w:r>
            <w:r>
              <w:rPr>
                <w:webHidden/>
              </w:rPr>
              <w:tab/>
            </w:r>
            <w:r>
              <w:rPr>
                <w:webHidden/>
              </w:rPr>
              <w:fldChar w:fldCharType="begin"/>
            </w:r>
            <w:r>
              <w:rPr>
                <w:webHidden/>
              </w:rPr>
              <w:instrText xml:space="preserve"> PAGEREF _Toc167131722 \h </w:instrText>
            </w:r>
            <w:r>
              <w:rPr>
                <w:webHidden/>
              </w:rPr>
            </w:r>
            <w:r>
              <w:rPr>
                <w:webHidden/>
              </w:rPr>
              <w:fldChar w:fldCharType="separate"/>
            </w:r>
            <w:r>
              <w:rPr>
                <w:webHidden/>
              </w:rPr>
              <w:t>22</w:t>
            </w:r>
            <w:r>
              <w:rPr>
                <w:webHidden/>
              </w:rPr>
              <w:fldChar w:fldCharType="end"/>
            </w:r>
          </w:hyperlink>
        </w:p>
        <w:p w14:paraId="68DC6F7F" w14:textId="16B019A6" w:rsidR="0024061B" w:rsidRDefault="0024061B">
          <w:pPr>
            <w:pStyle w:val="Sommario2"/>
            <w:rPr>
              <w:rFonts w:asciiTheme="minorHAnsi" w:hAnsiTheme="minorHAnsi"/>
              <w:color w:val="auto"/>
              <w:kern w:val="2"/>
              <w:sz w:val="24"/>
              <w:szCs w:val="24"/>
              <w:lang w:val="it-IT" w:eastAsia="it-IT"/>
              <w14:ligatures w14:val="standardContextual"/>
            </w:rPr>
          </w:pPr>
          <w:hyperlink w:anchor="_Toc167131723" w:history="1">
            <w:r w:rsidRPr="004873E2">
              <w:rPr>
                <w:rStyle w:val="Collegamentoipertestuale"/>
                <w:lang w:val="en-GB"/>
              </w:rPr>
              <w:t>Default Study for multiple time horizon: the cumulative default rates</w:t>
            </w:r>
            <w:r>
              <w:rPr>
                <w:webHidden/>
              </w:rPr>
              <w:tab/>
            </w:r>
            <w:r>
              <w:rPr>
                <w:webHidden/>
              </w:rPr>
              <w:fldChar w:fldCharType="begin"/>
            </w:r>
            <w:r>
              <w:rPr>
                <w:webHidden/>
              </w:rPr>
              <w:instrText xml:space="preserve"> PAGEREF _Toc167131723 \h </w:instrText>
            </w:r>
            <w:r>
              <w:rPr>
                <w:webHidden/>
              </w:rPr>
            </w:r>
            <w:r>
              <w:rPr>
                <w:webHidden/>
              </w:rPr>
              <w:fldChar w:fldCharType="separate"/>
            </w:r>
            <w:r>
              <w:rPr>
                <w:webHidden/>
              </w:rPr>
              <w:t>23</w:t>
            </w:r>
            <w:r>
              <w:rPr>
                <w:webHidden/>
              </w:rPr>
              <w:fldChar w:fldCharType="end"/>
            </w:r>
          </w:hyperlink>
        </w:p>
        <w:p w14:paraId="6BAE5797" w14:textId="5FA25CEF" w:rsidR="0024061B" w:rsidRDefault="0024061B">
          <w:pPr>
            <w:pStyle w:val="Sommario2"/>
            <w:rPr>
              <w:rFonts w:asciiTheme="minorHAnsi" w:hAnsiTheme="minorHAnsi"/>
              <w:color w:val="auto"/>
              <w:kern w:val="2"/>
              <w:sz w:val="24"/>
              <w:szCs w:val="24"/>
              <w:lang w:val="it-IT" w:eastAsia="it-IT"/>
              <w14:ligatures w14:val="standardContextual"/>
            </w:rPr>
          </w:pPr>
          <w:hyperlink w:anchor="_Toc167131724" w:history="1">
            <w:r w:rsidRPr="004873E2">
              <w:rPr>
                <w:rStyle w:val="Collegamentoipertestuale"/>
                <w:lang w:val="en-GB"/>
              </w:rPr>
              <w:t>Model performance on 5-year time horizon</w:t>
            </w:r>
            <w:r>
              <w:rPr>
                <w:webHidden/>
              </w:rPr>
              <w:tab/>
            </w:r>
            <w:r>
              <w:rPr>
                <w:webHidden/>
              </w:rPr>
              <w:fldChar w:fldCharType="begin"/>
            </w:r>
            <w:r>
              <w:rPr>
                <w:webHidden/>
              </w:rPr>
              <w:instrText xml:space="preserve"> PAGEREF _Toc167131724 \h </w:instrText>
            </w:r>
            <w:r>
              <w:rPr>
                <w:webHidden/>
              </w:rPr>
            </w:r>
            <w:r>
              <w:rPr>
                <w:webHidden/>
              </w:rPr>
              <w:fldChar w:fldCharType="separate"/>
            </w:r>
            <w:r>
              <w:rPr>
                <w:webHidden/>
              </w:rPr>
              <w:t>38</w:t>
            </w:r>
            <w:r>
              <w:rPr>
                <w:webHidden/>
              </w:rPr>
              <w:fldChar w:fldCharType="end"/>
            </w:r>
          </w:hyperlink>
        </w:p>
        <w:p w14:paraId="1A6330BF" w14:textId="10A7136B" w:rsidR="0024061B" w:rsidRDefault="0024061B">
          <w:pPr>
            <w:pStyle w:val="Sommario2"/>
            <w:rPr>
              <w:rFonts w:asciiTheme="minorHAnsi" w:hAnsiTheme="minorHAnsi"/>
              <w:color w:val="auto"/>
              <w:kern w:val="2"/>
              <w:sz w:val="24"/>
              <w:szCs w:val="24"/>
              <w:lang w:val="it-IT" w:eastAsia="it-IT"/>
              <w14:ligatures w14:val="standardContextual"/>
            </w:rPr>
          </w:pPr>
          <w:hyperlink w:anchor="_Toc167131725" w:history="1">
            <w:r w:rsidRPr="004873E2">
              <w:rPr>
                <w:rStyle w:val="Collegamentoipertestuale"/>
                <w:lang w:val="en-GB"/>
              </w:rPr>
              <w:t>Focus on SMEs</w:t>
            </w:r>
            <w:r>
              <w:rPr>
                <w:webHidden/>
              </w:rPr>
              <w:tab/>
            </w:r>
            <w:r>
              <w:rPr>
                <w:webHidden/>
              </w:rPr>
              <w:fldChar w:fldCharType="begin"/>
            </w:r>
            <w:r>
              <w:rPr>
                <w:webHidden/>
              </w:rPr>
              <w:instrText xml:space="preserve"> PAGEREF _Toc167131725 \h </w:instrText>
            </w:r>
            <w:r>
              <w:rPr>
                <w:webHidden/>
              </w:rPr>
            </w:r>
            <w:r>
              <w:rPr>
                <w:webHidden/>
              </w:rPr>
              <w:fldChar w:fldCharType="separate"/>
            </w:r>
            <w:r>
              <w:rPr>
                <w:webHidden/>
              </w:rPr>
              <w:t>40</w:t>
            </w:r>
            <w:r>
              <w:rPr>
                <w:webHidden/>
              </w:rPr>
              <w:fldChar w:fldCharType="end"/>
            </w:r>
          </w:hyperlink>
        </w:p>
        <w:p w14:paraId="6A51D0A6" w14:textId="28BB3289" w:rsidR="0024061B" w:rsidRDefault="0024061B">
          <w:pPr>
            <w:pStyle w:val="Sommario3"/>
            <w:rPr>
              <w:rFonts w:asciiTheme="minorHAnsi" w:hAnsiTheme="minorHAnsi"/>
              <w:color w:val="auto"/>
              <w:kern w:val="2"/>
              <w:sz w:val="24"/>
              <w:szCs w:val="24"/>
              <w:lang w:val="it-IT" w:eastAsia="it-IT"/>
              <w14:ligatures w14:val="standardContextual"/>
            </w:rPr>
          </w:pPr>
          <w:hyperlink w:anchor="_Toc167131726" w:history="1">
            <w:r w:rsidRPr="004873E2">
              <w:rPr>
                <w:rStyle w:val="Collegamentoipertestuale"/>
                <w:lang w:val="en-GB"/>
              </w:rPr>
              <w:t>Rating distribution of Small and Medium rated entities</w:t>
            </w:r>
            <w:r>
              <w:rPr>
                <w:webHidden/>
              </w:rPr>
              <w:tab/>
            </w:r>
            <w:r>
              <w:rPr>
                <w:webHidden/>
              </w:rPr>
              <w:fldChar w:fldCharType="begin"/>
            </w:r>
            <w:r>
              <w:rPr>
                <w:webHidden/>
              </w:rPr>
              <w:instrText xml:space="preserve"> PAGEREF _Toc167131726 \h </w:instrText>
            </w:r>
            <w:r>
              <w:rPr>
                <w:webHidden/>
              </w:rPr>
            </w:r>
            <w:r>
              <w:rPr>
                <w:webHidden/>
              </w:rPr>
              <w:fldChar w:fldCharType="separate"/>
            </w:r>
            <w:r>
              <w:rPr>
                <w:webHidden/>
              </w:rPr>
              <w:t>40</w:t>
            </w:r>
            <w:r>
              <w:rPr>
                <w:webHidden/>
              </w:rPr>
              <w:fldChar w:fldCharType="end"/>
            </w:r>
          </w:hyperlink>
        </w:p>
        <w:p w14:paraId="5FBE5229" w14:textId="613657A3" w:rsidR="0024061B" w:rsidRDefault="0024061B">
          <w:pPr>
            <w:pStyle w:val="Sommario3"/>
            <w:rPr>
              <w:rFonts w:asciiTheme="minorHAnsi" w:hAnsiTheme="minorHAnsi"/>
              <w:color w:val="auto"/>
              <w:kern w:val="2"/>
              <w:sz w:val="24"/>
              <w:szCs w:val="24"/>
              <w:lang w:val="it-IT" w:eastAsia="it-IT"/>
              <w14:ligatures w14:val="standardContextual"/>
            </w:rPr>
          </w:pPr>
          <w:hyperlink w:anchor="_Toc167131727" w:history="1">
            <w:r w:rsidRPr="004873E2">
              <w:rPr>
                <w:rStyle w:val="Collegamentoipertestuale"/>
                <w:lang w:val="en-GB"/>
              </w:rPr>
              <w:t>Cumulative Default Rates</w:t>
            </w:r>
            <w:r>
              <w:rPr>
                <w:webHidden/>
              </w:rPr>
              <w:tab/>
            </w:r>
            <w:r>
              <w:rPr>
                <w:webHidden/>
              </w:rPr>
              <w:fldChar w:fldCharType="begin"/>
            </w:r>
            <w:r>
              <w:rPr>
                <w:webHidden/>
              </w:rPr>
              <w:instrText xml:space="preserve"> PAGEREF _Toc167131727 \h </w:instrText>
            </w:r>
            <w:r>
              <w:rPr>
                <w:webHidden/>
              </w:rPr>
            </w:r>
            <w:r>
              <w:rPr>
                <w:webHidden/>
              </w:rPr>
              <w:fldChar w:fldCharType="separate"/>
            </w:r>
            <w:r>
              <w:rPr>
                <w:webHidden/>
              </w:rPr>
              <w:t>44</w:t>
            </w:r>
            <w:r>
              <w:rPr>
                <w:webHidden/>
              </w:rPr>
              <w:fldChar w:fldCharType="end"/>
            </w:r>
          </w:hyperlink>
        </w:p>
        <w:p w14:paraId="2362D147" w14:textId="5C893174" w:rsidR="0024061B" w:rsidRDefault="0024061B">
          <w:pPr>
            <w:pStyle w:val="Sommario3"/>
            <w:rPr>
              <w:rFonts w:asciiTheme="minorHAnsi" w:hAnsiTheme="minorHAnsi"/>
              <w:color w:val="auto"/>
              <w:kern w:val="2"/>
              <w:sz w:val="24"/>
              <w:szCs w:val="24"/>
              <w:lang w:val="it-IT" w:eastAsia="it-IT"/>
              <w14:ligatures w14:val="standardContextual"/>
            </w:rPr>
          </w:pPr>
          <w:hyperlink w:anchor="_Toc167131728" w:history="1">
            <w:r w:rsidRPr="004873E2">
              <w:rPr>
                <w:rStyle w:val="Collegamentoipertestuale"/>
                <w:lang w:val="en-GB"/>
              </w:rPr>
              <w:t>Model performance on SMEs for multiple time horizons</w:t>
            </w:r>
            <w:r>
              <w:rPr>
                <w:webHidden/>
              </w:rPr>
              <w:tab/>
            </w:r>
            <w:r>
              <w:rPr>
                <w:webHidden/>
              </w:rPr>
              <w:fldChar w:fldCharType="begin"/>
            </w:r>
            <w:r>
              <w:rPr>
                <w:webHidden/>
              </w:rPr>
              <w:instrText xml:space="preserve"> PAGEREF _Toc167131728 \h </w:instrText>
            </w:r>
            <w:r>
              <w:rPr>
                <w:webHidden/>
              </w:rPr>
            </w:r>
            <w:r>
              <w:rPr>
                <w:webHidden/>
              </w:rPr>
              <w:fldChar w:fldCharType="separate"/>
            </w:r>
            <w:r>
              <w:rPr>
                <w:webHidden/>
              </w:rPr>
              <w:t>45</w:t>
            </w:r>
            <w:r>
              <w:rPr>
                <w:webHidden/>
              </w:rPr>
              <w:fldChar w:fldCharType="end"/>
            </w:r>
          </w:hyperlink>
        </w:p>
        <w:p w14:paraId="2103573A" w14:textId="0F1FD2C3" w:rsidR="0024061B" w:rsidRDefault="0024061B">
          <w:pPr>
            <w:pStyle w:val="Sommario1"/>
            <w:rPr>
              <w:rFonts w:asciiTheme="minorHAnsi" w:hAnsiTheme="minorHAnsi"/>
              <w:color w:val="auto"/>
              <w:kern w:val="2"/>
              <w:sz w:val="24"/>
              <w:szCs w:val="24"/>
              <w:lang w:val="it-IT" w:eastAsia="it-IT"/>
              <w14:ligatures w14:val="standardContextual"/>
            </w:rPr>
          </w:pPr>
          <w:hyperlink w:anchor="_Toc167131729" w:history="1">
            <w:r w:rsidRPr="004873E2">
              <w:rPr>
                <w:rStyle w:val="Collegamentoipertestuale"/>
                <w:lang w:val="en-GB"/>
              </w:rPr>
              <w:t>Transition matrix</w:t>
            </w:r>
            <w:r>
              <w:rPr>
                <w:webHidden/>
              </w:rPr>
              <w:tab/>
            </w:r>
            <w:r>
              <w:rPr>
                <w:webHidden/>
              </w:rPr>
              <w:fldChar w:fldCharType="begin"/>
            </w:r>
            <w:r>
              <w:rPr>
                <w:webHidden/>
              </w:rPr>
              <w:instrText xml:space="preserve"> PAGEREF _Toc167131729 \h </w:instrText>
            </w:r>
            <w:r>
              <w:rPr>
                <w:webHidden/>
              </w:rPr>
            </w:r>
            <w:r>
              <w:rPr>
                <w:webHidden/>
              </w:rPr>
              <w:fldChar w:fldCharType="separate"/>
            </w:r>
            <w:r>
              <w:rPr>
                <w:webHidden/>
              </w:rPr>
              <w:t>47</w:t>
            </w:r>
            <w:r>
              <w:rPr>
                <w:webHidden/>
              </w:rPr>
              <w:fldChar w:fldCharType="end"/>
            </w:r>
          </w:hyperlink>
        </w:p>
        <w:p w14:paraId="18361C06" w14:textId="3E6E1B68" w:rsidR="0024061B" w:rsidRDefault="0024061B">
          <w:pPr>
            <w:pStyle w:val="Sommario1"/>
            <w:rPr>
              <w:rFonts w:asciiTheme="minorHAnsi" w:hAnsiTheme="minorHAnsi"/>
              <w:color w:val="auto"/>
              <w:kern w:val="2"/>
              <w:sz w:val="24"/>
              <w:szCs w:val="24"/>
              <w:lang w:val="it-IT" w:eastAsia="it-IT"/>
              <w14:ligatures w14:val="standardContextual"/>
            </w:rPr>
          </w:pPr>
          <w:hyperlink w:anchor="_Toc167131730" w:history="1">
            <w:r w:rsidRPr="004873E2">
              <w:rPr>
                <w:rStyle w:val="Collegamentoipertestuale"/>
                <w:lang w:val="en-GB"/>
              </w:rPr>
              <w:t>List of annexes</w:t>
            </w:r>
            <w:r>
              <w:rPr>
                <w:webHidden/>
              </w:rPr>
              <w:tab/>
            </w:r>
            <w:r>
              <w:rPr>
                <w:webHidden/>
              </w:rPr>
              <w:fldChar w:fldCharType="begin"/>
            </w:r>
            <w:r>
              <w:rPr>
                <w:webHidden/>
              </w:rPr>
              <w:instrText xml:space="preserve"> PAGEREF _Toc167131730 \h </w:instrText>
            </w:r>
            <w:r>
              <w:rPr>
                <w:webHidden/>
              </w:rPr>
            </w:r>
            <w:r>
              <w:rPr>
                <w:webHidden/>
              </w:rPr>
              <w:fldChar w:fldCharType="separate"/>
            </w:r>
            <w:r>
              <w:rPr>
                <w:webHidden/>
              </w:rPr>
              <w:t>50</w:t>
            </w:r>
            <w:r>
              <w:rPr>
                <w:webHidden/>
              </w:rPr>
              <w:fldChar w:fldCharType="end"/>
            </w:r>
          </w:hyperlink>
        </w:p>
        <w:p w14:paraId="6EDDBE63" w14:textId="3D1F515D" w:rsidR="0024061B" w:rsidRDefault="0024061B">
          <w:pPr>
            <w:pStyle w:val="Sommario2"/>
            <w:rPr>
              <w:rFonts w:asciiTheme="minorHAnsi" w:hAnsiTheme="minorHAnsi"/>
              <w:color w:val="auto"/>
              <w:kern w:val="2"/>
              <w:sz w:val="24"/>
              <w:szCs w:val="24"/>
              <w:lang w:val="it-IT" w:eastAsia="it-IT"/>
              <w14:ligatures w14:val="standardContextual"/>
            </w:rPr>
          </w:pPr>
          <w:hyperlink w:anchor="_Toc167131731" w:history="1">
            <w:r w:rsidRPr="004873E2">
              <w:rPr>
                <w:rStyle w:val="Collegamentoipertestuale"/>
                <w:lang w:val="en-GB"/>
              </w:rPr>
              <w:t>Annex 1: Cerved Rating Agency Rating scale</w:t>
            </w:r>
            <w:r>
              <w:rPr>
                <w:webHidden/>
              </w:rPr>
              <w:tab/>
            </w:r>
            <w:r>
              <w:rPr>
                <w:webHidden/>
              </w:rPr>
              <w:fldChar w:fldCharType="begin"/>
            </w:r>
            <w:r>
              <w:rPr>
                <w:webHidden/>
              </w:rPr>
              <w:instrText xml:space="preserve"> PAGEREF _Toc167131731 \h </w:instrText>
            </w:r>
            <w:r>
              <w:rPr>
                <w:webHidden/>
              </w:rPr>
            </w:r>
            <w:r>
              <w:rPr>
                <w:webHidden/>
              </w:rPr>
              <w:fldChar w:fldCharType="separate"/>
            </w:r>
            <w:r>
              <w:rPr>
                <w:webHidden/>
              </w:rPr>
              <w:t>50</w:t>
            </w:r>
            <w:r>
              <w:rPr>
                <w:webHidden/>
              </w:rPr>
              <w:fldChar w:fldCharType="end"/>
            </w:r>
          </w:hyperlink>
        </w:p>
        <w:p w14:paraId="4BDDBC3F" w14:textId="3A1EF4A5" w:rsidR="0024061B" w:rsidRDefault="0024061B">
          <w:pPr>
            <w:pStyle w:val="Sommario2"/>
            <w:rPr>
              <w:rFonts w:asciiTheme="minorHAnsi" w:hAnsiTheme="minorHAnsi"/>
              <w:color w:val="auto"/>
              <w:kern w:val="2"/>
              <w:sz w:val="24"/>
              <w:szCs w:val="24"/>
              <w:lang w:val="it-IT" w:eastAsia="it-IT"/>
              <w14:ligatures w14:val="standardContextual"/>
            </w:rPr>
          </w:pPr>
          <w:hyperlink w:anchor="_Toc167131732" w:history="1">
            <w:r w:rsidRPr="004873E2">
              <w:rPr>
                <w:rStyle w:val="Collegamentoipertestuale"/>
                <w:lang w:val="en-GB"/>
              </w:rPr>
              <w:t>Annex 2: Cerved Rating Agency default definition</w:t>
            </w:r>
            <w:r>
              <w:rPr>
                <w:webHidden/>
              </w:rPr>
              <w:tab/>
            </w:r>
            <w:r>
              <w:rPr>
                <w:webHidden/>
              </w:rPr>
              <w:fldChar w:fldCharType="begin"/>
            </w:r>
            <w:r>
              <w:rPr>
                <w:webHidden/>
              </w:rPr>
              <w:instrText xml:space="preserve"> PAGEREF _Toc167131732 \h </w:instrText>
            </w:r>
            <w:r>
              <w:rPr>
                <w:webHidden/>
              </w:rPr>
            </w:r>
            <w:r>
              <w:rPr>
                <w:webHidden/>
              </w:rPr>
              <w:fldChar w:fldCharType="separate"/>
            </w:r>
            <w:r>
              <w:rPr>
                <w:webHidden/>
              </w:rPr>
              <w:t>51</w:t>
            </w:r>
            <w:r>
              <w:rPr>
                <w:webHidden/>
              </w:rPr>
              <w:fldChar w:fldCharType="end"/>
            </w:r>
          </w:hyperlink>
        </w:p>
        <w:p w14:paraId="148BA677" w14:textId="13AE9A88" w:rsidR="0024061B" w:rsidRDefault="0024061B">
          <w:pPr>
            <w:pStyle w:val="Sommario2"/>
            <w:rPr>
              <w:rFonts w:asciiTheme="minorHAnsi" w:hAnsiTheme="minorHAnsi"/>
              <w:color w:val="auto"/>
              <w:kern w:val="2"/>
              <w:sz w:val="24"/>
              <w:szCs w:val="24"/>
              <w:lang w:val="it-IT" w:eastAsia="it-IT"/>
              <w14:ligatures w14:val="standardContextual"/>
            </w:rPr>
          </w:pPr>
          <w:hyperlink w:anchor="_Toc167131733" w:history="1">
            <w:r w:rsidRPr="004873E2">
              <w:rPr>
                <w:rStyle w:val="Collegamentoipertestuale"/>
                <w:lang w:val="en-GB"/>
              </w:rPr>
              <w:t>Annex 3: Static pool approach</w:t>
            </w:r>
            <w:r>
              <w:rPr>
                <w:webHidden/>
              </w:rPr>
              <w:tab/>
            </w:r>
            <w:r>
              <w:rPr>
                <w:webHidden/>
              </w:rPr>
              <w:fldChar w:fldCharType="begin"/>
            </w:r>
            <w:r>
              <w:rPr>
                <w:webHidden/>
              </w:rPr>
              <w:instrText xml:space="preserve"> PAGEREF _Toc167131733 \h </w:instrText>
            </w:r>
            <w:r>
              <w:rPr>
                <w:webHidden/>
              </w:rPr>
            </w:r>
            <w:r>
              <w:rPr>
                <w:webHidden/>
              </w:rPr>
              <w:fldChar w:fldCharType="separate"/>
            </w:r>
            <w:r>
              <w:rPr>
                <w:webHidden/>
              </w:rPr>
              <w:t>52</w:t>
            </w:r>
            <w:r>
              <w:rPr>
                <w:webHidden/>
              </w:rPr>
              <w:fldChar w:fldCharType="end"/>
            </w:r>
          </w:hyperlink>
        </w:p>
        <w:p w14:paraId="4C7DD415" w14:textId="05BB7966" w:rsidR="0024061B" w:rsidRDefault="0024061B">
          <w:pPr>
            <w:pStyle w:val="Sommario2"/>
            <w:rPr>
              <w:rFonts w:asciiTheme="minorHAnsi" w:hAnsiTheme="minorHAnsi"/>
              <w:color w:val="auto"/>
              <w:kern w:val="2"/>
              <w:sz w:val="24"/>
              <w:szCs w:val="24"/>
              <w:lang w:val="it-IT" w:eastAsia="it-IT"/>
              <w14:ligatures w14:val="standardContextual"/>
            </w:rPr>
          </w:pPr>
          <w:hyperlink w:anchor="_Toc167131734" w:history="1">
            <w:r w:rsidRPr="004873E2">
              <w:rPr>
                <w:rStyle w:val="Collegamentoipertestuale"/>
                <w:lang w:val="en-GB"/>
              </w:rPr>
              <w:t>Annex 4: CAP curve and Accuracy Ratio (Gini Index)</w:t>
            </w:r>
            <w:r>
              <w:rPr>
                <w:webHidden/>
              </w:rPr>
              <w:tab/>
            </w:r>
            <w:r>
              <w:rPr>
                <w:webHidden/>
              </w:rPr>
              <w:fldChar w:fldCharType="begin"/>
            </w:r>
            <w:r>
              <w:rPr>
                <w:webHidden/>
              </w:rPr>
              <w:instrText xml:space="preserve"> PAGEREF _Toc167131734 \h </w:instrText>
            </w:r>
            <w:r>
              <w:rPr>
                <w:webHidden/>
              </w:rPr>
            </w:r>
            <w:r>
              <w:rPr>
                <w:webHidden/>
              </w:rPr>
              <w:fldChar w:fldCharType="separate"/>
            </w:r>
            <w:r>
              <w:rPr>
                <w:webHidden/>
              </w:rPr>
              <w:t>53</w:t>
            </w:r>
            <w:r>
              <w:rPr>
                <w:webHidden/>
              </w:rPr>
              <w:fldChar w:fldCharType="end"/>
            </w:r>
          </w:hyperlink>
        </w:p>
        <w:p w14:paraId="123E13F5" w14:textId="2BF39B00" w:rsidR="0024061B" w:rsidRDefault="0024061B">
          <w:pPr>
            <w:pStyle w:val="Sommario1"/>
            <w:rPr>
              <w:rFonts w:asciiTheme="minorHAnsi" w:hAnsiTheme="minorHAnsi"/>
              <w:color w:val="auto"/>
              <w:kern w:val="2"/>
              <w:sz w:val="24"/>
              <w:szCs w:val="24"/>
              <w:lang w:val="it-IT" w:eastAsia="it-IT"/>
              <w14:ligatures w14:val="standardContextual"/>
            </w:rPr>
          </w:pPr>
          <w:hyperlink w:anchor="_Toc167131735" w:history="1">
            <w:r w:rsidRPr="004873E2">
              <w:rPr>
                <w:rStyle w:val="Collegamentoipertestuale"/>
                <w:lang w:val="en-GB"/>
              </w:rPr>
              <w:t>List of exhibits</w:t>
            </w:r>
            <w:r>
              <w:rPr>
                <w:webHidden/>
              </w:rPr>
              <w:tab/>
            </w:r>
            <w:r>
              <w:rPr>
                <w:webHidden/>
              </w:rPr>
              <w:fldChar w:fldCharType="begin"/>
            </w:r>
            <w:r>
              <w:rPr>
                <w:webHidden/>
              </w:rPr>
              <w:instrText xml:space="preserve"> PAGEREF _Toc167131735 \h </w:instrText>
            </w:r>
            <w:r>
              <w:rPr>
                <w:webHidden/>
              </w:rPr>
            </w:r>
            <w:r>
              <w:rPr>
                <w:webHidden/>
              </w:rPr>
              <w:fldChar w:fldCharType="separate"/>
            </w:r>
            <w:r>
              <w:rPr>
                <w:webHidden/>
              </w:rPr>
              <w:t>54</w:t>
            </w:r>
            <w:r>
              <w:rPr>
                <w:webHidden/>
              </w:rPr>
              <w:fldChar w:fldCharType="end"/>
            </w:r>
          </w:hyperlink>
        </w:p>
        <w:p w14:paraId="3184A9E9" w14:textId="729047D0" w:rsidR="00BD468C" w:rsidRPr="00BD468C" w:rsidRDefault="00BD468C" w:rsidP="008F4CCB">
          <w:pPr>
            <w:tabs>
              <w:tab w:val="right" w:leader="dot" w:pos="8931"/>
              <w:tab w:val="right" w:leader="dot" w:pos="9356"/>
              <w:tab w:val="right" w:leader="dot" w:pos="9639"/>
            </w:tabs>
            <w:rPr>
              <w:noProof/>
              <w:lang w:val="en-GB"/>
            </w:rPr>
          </w:pPr>
          <w:r>
            <w:rPr>
              <w:noProof/>
              <w:lang w:val="en-GB"/>
            </w:rPr>
            <w:fldChar w:fldCharType="end"/>
          </w:r>
        </w:p>
      </w:sdtContent>
    </w:sdt>
    <w:bookmarkEnd w:id="1" w:displacedByCustomXml="next"/>
    <w:bookmarkEnd w:id="2" w:displacedByCustomXml="next"/>
    <w:bookmarkEnd w:id="3" w:displacedByCustomXml="next"/>
    <w:bookmarkEnd w:id="4" w:displacedByCustomXml="next"/>
    <w:sdt>
      <w:sdtPr>
        <w:rPr>
          <w:rFonts w:eastAsiaTheme="minorHAnsi"/>
          <w:b w:val="0"/>
          <w:noProof/>
          <w:color w:val="33A1AB" w:themeColor="accent2"/>
          <w:sz w:val="20"/>
        </w:rPr>
        <w:alias w:val="Back_cover_page"/>
        <w:tag w:val="Back_cover_page"/>
        <w:id w:val="-229931569"/>
        <w15:appearance w15:val="hidden"/>
      </w:sdtPr>
      <w:sdtContent>
        <w:p w14:paraId="1392AABC" w14:textId="7F80E95C" w:rsidR="00B81C79" w:rsidRPr="00B81C79" w:rsidRDefault="00B81C79" w:rsidP="00B81C79">
          <w:pPr>
            <w:pStyle w:val="BodyHeading"/>
          </w:pPr>
        </w:p>
        <w:p w14:paraId="1077C4C3" w14:textId="77777777" w:rsidR="004101BF" w:rsidRPr="00510624" w:rsidRDefault="004101BF" w:rsidP="004101BF">
          <w:pPr>
            <w:pStyle w:val="Titolo1"/>
            <w:rPr>
              <w:lang w:val="en-GB"/>
            </w:rPr>
          </w:pPr>
          <w:bookmarkStart w:id="5" w:name="_Toc130806392"/>
          <w:bookmarkStart w:id="6" w:name="_Toc167131713"/>
          <w:r w:rsidRPr="00BD0924">
            <w:rPr>
              <w:lang w:val="en-GB"/>
            </w:rPr>
            <w:lastRenderedPageBreak/>
            <w:t>Executive summary</w:t>
          </w:r>
          <w:bookmarkEnd w:id="5"/>
          <w:bookmarkEnd w:id="6"/>
        </w:p>
        <w:p w14:paraId="5DC42A6E" w14:textId="3A16F16C" w:rsidR="004101BF" w:rsidRDefault="004101BF" w:rsidP="00E52C08">
          <w:pPr>
            <w:pStyle w:val="Bullet1"/>
          </w:pPr>
          <w:r>
            <w:t>Th</w:t>
          </w:r>
          <w:r w:rsidR="00E52C08">
            <w:t>e present document is</w:t>
          </w:r>
          <w:r>
            <w:t xml:space="preserve"> the </w:t>
          </w:r>
          <w:proofErr w:type="spellStart"/>
          <w:r w:rsidR="4AAE4630">
            <w:t>the</w:t>
          </w:r>
          <w:r w:rsidR="00F13178">
            <w:t>nth</w:t>
          </w:r>
          <w:proofErr w:type="spellEnd"/>
          <w:r>
            <w:t xml:space="preserve"> edition of the Cerved Rating Agency Default Study</w:t>
          </w:r>
          <w:r w:rsidR="00E52C08">
            <w:t xml:space="preserve">, </w:t>
          </w:r>
          <w:proofErr w:type="gramStart"/>
          <w:r w:rsidR="00E52C08">
            <w:t>a thorough</w:t>
          </w:r>
          <w:r>
            <w:t xml:space="preserve"> research</w:t>
          </w:r>
          <w:proofErr w:type="gramEnd"/>
          <w:r>
            <w:t xml:space="preserve"> </w:t>
          </w:r>
          <w:r w:rsidR="00497FEF">
            <w:t>focusing</w:t>
          </w:r>
          <w:r>
            <w:t xml:space="preserve"> on default rates, transitions, and Accuracy Ratios of Italian non-financial rated companies for the </w:t>
          </w:r>
          <w:r w:rsidR="00497FEF">
            <w:t>time</w:t>
          </w:r>
          <w:r w:rsidR="00B24C09">
            <w:t xml:space="preserve"> span which goes from</w:t>
          </w:r>
          <w:r>
            <w:t xml:space="preserve"> 2008 </w:t>
          </w:r>
          <w:r w:rsidR="00F24095">
            <w:t>to</w:t>
          </w:r>
          <w:r>
            <w:t xml:space="preserve"> 202</w:t>
          </w:r>
          <w:r w:rsidR="00497FEF">
            <w:t>3</w:t>
          </w:r>
          <w:r>
            <w:t>.</w:t>
          </w:r>
          <w:r w:rsidR="00341337">
            <w:t xml:space="preserve"> </w:t>
          </w:r>
          <w:r w:rsidR="00BD023A">
            <w:t xml:space="preserve">The study </w:t>
          </w:r>
          <w:r w:rsidR="004A3F43">
            <w:t>examines</w:t>
          </w:r>
          <w:r w:rsidR="00A410FC">
            <w:t xml:space="preserve"> the</w:t>
          </w:r>
          <w:r w:rsidR="00BD023A">
            <w:t xml:space="preserve"> </w:t>
          </w:r>
          <w:r w:rsidR="00341337">
            <w:t>529,990</w:t>
          </w:r>
          <w:r w:rsidR="004A3F43">
            <w:t xml:space="preserve"> entities </w:t>
          </w:r>
          <w:r w:rsidR="00511ABB">
            <w:t>which have been rated</w:t>
          </w:r>
          <w:r w:rsidR="004A3F43">
            <w:t xml:space="preserve"> by Cerved Rating Agency between 2008 and 2022 and the </w:t>
          </w:r>
          <w:r w:rsidR="005F4BF8">
            <w:t xml:space="preserve">related </w:t>
          </w:r>
          <w:r w:rsidR="00B82F08">
            <w:t>16,624 def</w:t>
          </w:r>
          <w:r w:rsidR="00A410FC">
            <w:t xml:space="preserve">ault events which </w:t>
          </w:r>
          <w:r w:rsidR="005F4BF8">
            <w:t xml:space="preserve">occurred to the rated </w:t>
          </w:r>
          <w:r w:rsidR="00F24095">
            <w:t>companies</w:t>
          </w:r>
          <w:r w:rsidR="005F4BF8">
            <w:t xml:space="preserve"> between 200</w:t>
          </w:r>
          <w:r w:rsidR="007071B0">
            <w:t>9 and 2023.</w:t>
          </w:r>
        </w:p>
        <w:p w14:paraId="4B3336B3" w14:textId="05BB9092" w:rsidR="001A71E5" w:rsidRPr="00BA4B19" w:rsidRDefault="00AF2A66" w:rsidP="00E52C08">
          <w:pPr>
            <w:pStyle w:val="Bullet1"/>
          </w:pPr>
          <w:r>
            <w:t xml:space="preserve">The </w:t>
          </w:r>
          <w:r w:rsidR="009735DD">
            <w:t>considered sample is for the most part comprised of small and medium enterprises (</w:t>
          </w:r>
          <w:r w:rsidR="00D94524">
            <w:t>60</w:t>
          </w:r>
          <w:r w:rsidR="00A53251">
            <w:t>.</w:t>
          </w:r>
          <w:r w:rsidR="00D94524">
            <w:t xml:space="preserve">3% of total companies, with the share reaching 65% </w:t>
          </w:r>
          <w:r w:rsidR="003F3DFC">
            <w:t>in</w:t>
          </w:r>
          <w:r w:rsidR="00D94524">
            <w:t xml:space="preserve"> the </w:t>
          </w:r>
          <w:r w:rsidR="00376A75">
            <w:t xml:space="preserve">2022 </w:t>
          </w:r>
          <w:r w:rsidR="00D94524">
            <w:t>portfolio</w:t>
          </w:r>
          <w:r w:rsidR="00376A75">
            <w:t>)</w:t>
          </w:r>
          <w:r w:rsidR="00FA578D">
            <w:t xml:space="preserve">. The second most relevant </w:t>
          </w:r>
          <w:r w:rsidR="00E0579A">
            <w:t xml:space="preserve">enterprise size </w:t>
          </w:r>
          <w:r w:rsidR="00C151C8">
            <w:t xml:space="preserve">is the </w:t>
          </w:r>
          <w:r w:rsidR="00B95F83">
            <w:t>micro</w:t>
          </w:r>
          <w:r w:rsidR="00C151C8">
            <w:t xml:space="preserve"> category (</w:t>
          </w:r>
          <w:r w:rsidR="00B95F83">
            <w:t>30</w:t>
          </w:r>
          <w:r w:rsidR="00A53251">
            <w:t xml:space="preserve">.6% of the overall sample), although in the past two years large companies </w:t>
          </w:r>
          <w:r w:rsidR="00E606D7">
            <w:t xml:space="preserve">surpassed </w:t>
          </w:r>
          <w:r w:rsidR="003F3DFC">
            <w:t>micro enterprises</w:t>
          </w:r>
          <w:r w:rsidR="00E606D7">
            <w:t xml:space="preserve"> in terms of relevan</w:t>
          </w:r>
          <w:r w:rsidR="003F3DFC">
            <w:t>c</w:t>
          </w:r>
          <w:r w:rsidR="00E606D7">
            <w:t>e (in the 2022 portfolio large companies stand at</w:t>
          </w:r>
          <w:r w:rsidR="004B02CE">
            <w:t xml:space="preserve"> 21.6%</w:t>
          </w:r>
          <w:r w:rsidR="003F3DFC">
            <w:t xml:space="preserve"> versus the 13.4% of </w:t>
          </w:r>
          <w:r w:rsidR="00E606D7">
            <w:t>micro</w:t>
          </w:r>
          <w:r w:rsidR="004B02CE">
            <w:t xml:space="preserve"> enterprises</w:t>
          </w:r>
          <w:r w:rsidR="003F3DFC">
            <w:t>)</w:t>
          </w:r>
          <w:r w:rsidR="00E67328">
            <w:t>.</w:t>
          </w:r>
        </w:p>
        <w:p w14:paraId="5FE4DAA4" w14:textId="2DFE589B" w:rsidR="004101BF" w:rsidRPr="000C56BA" w:rsidRDefault="000C4013" w:rsidP="000C4013">
          <w:pPr>
            <w:pStyle w:val="Bullet1"/>
          </w:pPr>
          <w:r w:rsidRPr="000C56BA">
            <w:t xml:space="preserve">In terms of </w:t>
          </w:r>
          <w:r w:rsidR="006317C8">
            <w:t>sector</w:t>
          </w:r>
          <w:r w:rsidRPr="000C56BA">
            <w:t xml:space="preserve">, most companies operate in manufacturing sectors (37%), </w:t>
          </w:r>
          <w:r w:rsidR="006317C8">
            <w:t>with</w:t>
          </w:r>
          <w:r w:rsidRPr="000C56BA">
            <w:t xml:space="preserve"> Wholesale (28%)</w:t>
          </w:r>
          <w:r w:rsidR="009B6F6E">
            <w:t xml:space="preserve"> the </w:t>
          </w:r>
          <w:r w:rsidR="007568DB">
            <w:t>second most represented sector</w:t>
          </w:r>
          <w:r w:rsidRPr="000C56BA">
            <w:t xml:space="preserve">. In </w:t>
          </w:r>
          <w:r w:rsidR="007568DB">
            <w:t>the</w:t>
          </w:r>
          <w:r w:rsidRPr="000C56BA">
            <w:t xml:space="preserve"> last years</w:t>
          </w:r>
          <w:r w:rsidR="007568DB">
            <w:t xml:space="preserve"> of </w:t>
          </w:r>
          <w:r w:rsidRPr="000C56BA">
            <w:t>observation</w:t>
          </w:r>
          <w:r w:rsidR="007568DB">
            <w:t>,</w:t>
          </w:r>
          <w:r w:rsidR="000C56BA" w:rsidRPr="000C56BA">
            <w:t xml:space="preserve"> </w:t>
          </w:r>
          <w:r w:rsidR="004101BF" w:rsidRPr="000C56BA">
            <w:t xml:space="preserve">Joint-Stock and Limited Liability companies </w:t>
          </w:r>
          <w:r w:rsidR="007568DB">
            <w:t>together</w:t>
          </w:r>
          <w:r w:rsidR="004101BF" w:rsidRPr="000C56BA">
            <w:t xml:space="preserve"> represent more than </w:t>
          </w:r>
          <w:r w:rsidR="000C56BA">
            <w:t>9</w:t>
          </w:r>
          <w:r w:rsidR="004101BF" w:rsidRPr="000C56BA">
            <w:t>0% of the portfolio.</w:t>
          </w:r>
        </w:p>
        <w:p w14:paraId="69A4A45C" w14:textId="2DEF5BB1" w:rsidR="004101BF" w:rsidRDefault="006D3696" w:rsidP="0063208E">
          <w:pPr>
            <w:pStyle w:val="Bullet1"/>
          </w:pPr>
          <w:r>
            <w:t>The average one-year</w:t>
          </w:r>
          <w:r w:rsidR="004101BF" w:rsidRPr="00BA4B19">
            <w:t xml:space="preserve"> default rate</w:t>
          </w:r>
          <w:r>
            <w:t xml:space="preserve"> </w:t>
          </w:r>
          <w:r w:rsidR="00A238BE">
            <w:t>for the overall portfolio is</w:t>
          </w:r>
          <w:r w:rsidR="004101BF" w:rsidRPr="00BA4B19">
            <w:t xml:space="preserve"> 3.</w:t>
          </w:r>
          <w:r w:rsidR="009612C2">
            <w:t>14</w:t>
          </w:r>
          <w:r w:rsidR="004101BF" w:rsidRPr="00BA4B19">
            <w:t>%</w:t>
          </w:r>
          <w:r w:rsidR="00D04D52">
            <w:t xml:space="preserve">, even though </w:t>
          </w:r>
          <w:r w:rsidR="005E7C8A">
            <w:t>risk var</w:t>
          </w:r>
          <w:r w:rsidR="008D62AA">
            <w:t>ies</w:t>
          </w:r>
          <w:r w:rsidR="005E7C8A">
            <w:t xml:space="preserve"> significantly </w:t>
          </w:r>
          <w:r w:rsidR="002A48F0">
            <w:t>by</w:t>
          </w:r>
          <w:r w:rsidR="005E7C8A">
            <w:t xml:space="preserve"> enterprise size. Indeed, </w:t>
          </w:r>
          <w:r w:rsidR="002A48F0">
            <w:t>l</w:t>
          </w:r>
          <w:r w:rsidR="005E7C8A">
            <w:t xml:space="preserve">arge enterprises are </w:t>
          </w:r>
          <w:r w:rsidR="00DD15C5">
            <w:t xml:space="preserve">the least risky, with an average </w:t>
          </w:r>
          <w:r w:rsidR="00B53C30">
            <w:t>default rate of 1.24%</w:t>
          </w:r>
          <w:r w:rsidR="000F37B9">
            <w:t>, followed by SMEs and micro enterprises (</w:t>
          </w:r>
          <w:r w:rsidR="003A7B25">
            <w:t>default rates of 2.72% and 4.52% respectively)</w:t>
          </w:r>
          <w:r w:rsidR="002A48F0">
            <w:t>.</w:t>
          </w:r>
        </w:p>
        <w:p w14:paraId="0A586031" w14:textId="1F81DD92" w:rsidR="00DF66AD" w:rsidRDefault="00110FB2" w:rsidP="008F5445">
          <w:pPr>
            <w:pStyle w:val="Bullet1"/>
            <w:rPr>
              <w:lang w:val="en-GB"/>
            </w:rPr>
          </w:pPr>
          <w:r>
            <w:t>T</w:t>
          </w:r>
          <w:r w:rsidR="00F9429B">
            <w:t xml:space="preserve">he </w:t>
          </w:r>
          <w:r w:rsidR="00E64206">
            <w:t xml:space="preserve">research </w:t>
          </w:r>
          <w:r w:rsidR="00B92532">
            <w:t>provide</w:t>
          </w:r>
          <w:r>
            <w:t>s</w:t>
          </w:r>
          <w:r w:rsidR="00B92532">
            <w:t xml:space="preserve"> evidence that the rating process adopted by Cerved Rating Agency </w:t>
          </w:r>
          <w:r w:rsidR="0018058E">
            <w:t>displays</w:t>
          </w:r>
          <w:r w:rsidR="00B92532">
            <w:t xml:space="preserve"> </w:t>
          </w:r>
          <w:r w:rsidR="00F9429B">
            <w:t>satisfactory levels of discriminatory power</w:t>
          </w:r>
          <w:r w:rsidR="00B92532">
            <w:t>,</w:t>
          </w:r>
          <w:r w:rsidR="00F9429B">
            <w:t xml:space="preserve"> </w:t>
          </w:r>
          <w:r w:rsidR="00B92532">
            <w:t xml:space="preserve">namely the </w:t>
          </w:r>
          <w:r w:rsidR="0093204B">
            <w:t>ability</w:t>
          </w:r>
          <w:r w:rsidR="00F45096">
            <w:t xml:space="preserve"> to differentiate between safe and risky companies</w:t>
          </w:r>
          <w:r w:rsidR="00497193">
            <w:t>.</w:t>
          </w:r>
          <w:r w:rsidR="006A3AFF">
            <w:t xml:space="preserve"> </w:t>
          </w:r>
          <w:r w:rsidR="008F5445">
            <w:t xml:space="preserve">Indeed, </w:t>
          </w:r>
          <w:r w:rsidR="001353D8" w:rsidRPr="001353D8">
            <w:t>95.09% of the defaults that have occurred over a 1</w:t>
          </w:r>
          <w:r w:rsidR="00B92F1B">
            <w:t>-</w:t>
          </w:r>
          <w:r w:rsidR="001353D8" w:rsidRPr="001353D8">
            <w:t xml:space="preserve">year horizon are in the </w:t>
          </w:r>
          <w:r w:rsidR="001353D8" w:rsidRPr="001353D8">
            <w:rPr>
              <w:i/>
              <w:iCs/>
            </w:rPr>
            <w:t>Speculative Grade</w:t>
          </w:r>
          <w:r w:rsidR="001353D8" w:rsidRPr="001353D8">
            <w:t xml:space="preserve"> segment and the average default rate is </w:t>
          </w:r>
          <w:r w:rsidR="001353D8">
            <w:t>5</w:t>
          </w:r>
          <w:r w:rsidR="001353D8" w:rsidRPr="001353D8">
            <w:t>.</w:t>
          </w:r>
          <w:r w:rsidR="001353D8">
            <w:t>92</w:t>
          </w:r>
          <w:r w:rsidR="001353D8" w:rsidRPr="001353D8">
            <w:t>%</w:t>
          </w:r>
          <w:r w:rsidR="001D0BC2">
            <w:t xml:space="preserve">, with the </w:t>
          </w:r>
          <w:r w:rsidR="001D0BC2" w:rsidRPr="001D0BC2">
            <w:rPr>
              <w:i/>
              <w:iCs/>
              <w:lang w:val="en-GB"/>
            </w:rPr>
            <w:t>Investment Grade</w:t>
          </w:r>
          <w:r w:rsidR="001D0BC2">
            <w:rPr>
              <w:lang w:val="en-GB"/>
            </w:rPr>
            <w:t xml:space="preserve"> segment registering </w:t>
          </w:r>
          <w:r w:rsidR="001D0BC2" w:rsidRPr="009166D4">
            <w:rPr>
              <w:lang w:val="en-GB"/>
            </w:rPr>
            <w:t>a</w:t>
          </w:r>
          <w:r w:rsidR="001D0BC2">
            <w:rPr>
              <w:lang w:val="en-GB"/>
            </w:rPr>
            <w:t>n extremely</w:t>
          </w:r>
          <w:r w:rsidR="001D0BC2" w:rsidRPr="009166D4">
            <w:rPr>
              <w:lang w:val="en-GB"/>
            </w:rPr>
            <w:t xml:space="preserve"> low default rate </w:t>
          </w:r>
          <w:r w:rsidR="001D0BC2">
            <w:rPr>
              <w:lang w:val="en-GB"/>
            </w:rPr>
            <w:t>of</w:t>
          </w:r>
          <w:r w:rsidR="001D0BC2" w:rsidRPr="009166D4">
            <w:rPr>
              <w:lang w:val="en-GB"/>
            </w:rPr>
            <w:t xml:space="preserve"> </w:t>
          </w:r>
          <w:r w:rsidR="001D0BC2" w:rsidRPr="001D0BC2">
            <w:rPr>
              <w:lang w:val="en-GB"/>
            </w:rPr>
            <w:t>0.31%</w:t>
          </w:r>
          <w:r w:rsidR="001D0BC2">
            <w:rPr>
              <w:lang w:val="en-GB"/>
            </w:rPr>
            <w:t xml:space="preserve">. </w:t>
          </w:r>
        </w:p>
        <w:p w14:paraId="5BE0659F" w14:textId="63353A37" w:rsidR="006A3AFF" w:rsidRDefault="006869FC" w:rsidP="008F5445">
          <w:pPr>
            <w:pStyle w:val="Bullet1"/>
            <w:rPr>
              <w:lang w:val="en-GB"/>
            </w:rPr>
          </w:pPr>
          <w:r>
            <w:rPr>
              <w:lang w:val="en-GB"/>
            </w:rPr>
            <w:t>On a more detailed level</w:t>
          </w:r>
          <w:r w:rsidR="00AB037D">
            <w:rPr>
              <w:lang w:val="en-GB"/>
            </w:rPr>
            <w:t xml:space="preserve">, </w:t>
          </w:r>
          <w:r w:rsidR="001C7B47">
            <w:rPr>
              <w:lang w:val="en-GB"/>
            </w:rPr>
            <w:t>w</w:t>
          </w:r>
          <w:r w:rsidR="001C7B47" w:rsidRPr="009166D4">
            <w:rPr>
              <w:lang w:val="en-GB"/>
            </w:rPr>
            <w:t xml:space="preserve">ithin the </w:t>
          </w:r>
          <w:r w:rsidR="001C7B47" w:rsidRPr="009166D4">
            <w:rPr>
              <w:i/>
              <w:lang w:val="en-GB"/>
            </w:rPr>
            <w:t>Investment Grade</w:t>
          </w:r>
          <w:r w:rsidR="001C7B47" w:rsidRPr="009166D4">
            <w:rPr>
              <w:lang w:val="en-GB"/>
            </w:rPr>
            <w:t xml:space="preserve"> segment, Cerved Rating Agency distinguishes </w:t>
          </w:r>
          <w:r>
            <w:rPr>
              <w:lang w:val="en-GB"/>
            </w:rPr>
            <w:t>between</w:t>
          </w:r>
          <w:r w:rsidR="001C7B47" w:rsidRPr="009166D4">
            <w:rPr>
              <w:lang w:val="en-GB"/>
            </w:rPr>
            <w:t xml:space="preserve"> </w:t>
          </w:r>
          <w:r>
            <w:rPr>
              <w:lang w:val="en-GB"/>
            </w:rPr>
            <w:t xml:space="preserve">a </w:t>
          </w:r>
          <w:r w:rsidR="001C7B47" w:rsidRPr="009166D4">
            <w:rPr>
              <w:i/>
              <w:lang w:val="en-GB"/>
            </w:rPr>
            <w:t>Safety Area</w:t>
          </w:r>
          <w:r w:rsidR="001C7B47" w:rsidRPr="009166D4">
            <w:rPr>
              <w:lang w:val="en-GB"/>
            </w:rPr>
            <w:t xml:space="preserve"> (comprising rating classes from A1.1 to A3.1) </w:t>
          </w:r>
          <w:r w:rsidR="00297EBB">
            <w:rPr>
              <w:lang w:val="en-GB"/>
            </w:rPr>
            <w:t xml:space="preserve">with an average default rate </w:t>
          </w:r>
          <w:r w:rsidR="00297EBB" w:rsidRPr="00FE60D2">
            <w:rPr>
              <w:lang w:val="en-GB"/>
            </w:rPr>
            <w:t>of</w:t>
          </w:r>
          <w:r w:rsidR="001C7B47" w:rsidRPr="00FE60D2">
            <w:rPr>
              <w:lang w:val="en-GB"/>
            </w:rPr>
            <w:t xml:space="preserve"> 0.06%</w:t>
          </w:r>
          <w:r w:rsidR="001C7B47" w:rsidRPr="009166D4">
            <w:rPr>
              <w:lang w:val="en-GB"/>
            </w:rPr>
            <w:t xml:space="preserve"> and a </w:t>
          </w:r>
          <w:r w:rsidR="001C7B47" w:rsidRPr="009166D4">
            <w:rPr>
              <w:i/>
              <w:lang w:val="en-GB"/>
            </w:rPr>
            <w:t>Solvency Area</w:t>
          </w:r>
          <w:r w:rsidR="001C7B47" w:rsidRPr="009166D4">
            <w:rPr>
              <w:lang w:val="en-GB"/>
            </w:rPr>
            <w:t xml:space="preserve"> (rating classes from B1.1 to B1.2) </w:t>
          </w:r>
          <w:r w:rsidR="00297EBB">
            <w:rPr>
              <w:lang w:val="en-GB"/>
            </w:rPr>
            <w:t>with an average default rate of</w:t>
          </w:r>
          <w:r w:rsidR="001C7B47" w:rsidRPr="009166D4">
            <w:rPr>
              <w:lang w:val="en-GB"/>
            </w:rPr>
            <w:t xml:space="preserve"> </w:t>
          </w:r>
          <w:r w:rsidR="001C7B47" w:rsidRPr="00FE60D2">
            <w:rPr>
              <w:lang w:val="en-GB"/>
            </w:rPr>
            <w:t>0.4</w:t>
          </w:r>
          <w:r w:rsidR="009D234C" w:rsidRPr="00FE60D2">
            <w:rPr>
              <w:lang w:val="en-GB"/>
            </w:rPr>
            <w:t>1</w:t>
          </w:r>
          <w:r w:rsidR="001C7B47" w:rsidRPr="00FE60D2">
            <w:rPr>
              <w:lang w:val="en-GB"/>
            </w:rPr>
            <w:t>%,</w:t>
          </w:r>
          <w:r w:rsidR="001C7B47" w:rsidRPr="009166D4">
            <w:rPr>
              <w:lang w:val="en-GB"/>
            </w:rPr>
            <w:t xml:space="preserve"> both </w:t>
          </w:r>
          <w:r w:rsidR="00737742">
            <w:rPr>
              <w:lang w:val="en-GB"/>
            </w:rPr>
            <w:t>of which</w:t>
          </w:r>
          <w:r w:rsidR="001C7B47" w:rsidRPr="009166D4">
            <w:rPr>
              <w:lang w:val="en-GB"/>
            </w:rPr>
            <w:t xml:space="preserve"> are significantly lower than the average for the entire portfolio of rated entities (3.</w:t>
          </w:r>
          <w:r w:rsidR="002E2E7E">
            <w:rPr>
              <w:lang w:val="en-GB"/>
            </w:rPr>
            <w:t>14</w:t>
          </w:r>
          <w:r w:rsidR="001C7B47" w:rsidRPr="009166D4">
            <w:rPr>
              <w:lang w:val="en-GB"/>
            </w:rPr>
            <w:t>%)</w:t>
          </w:r>
          <w:r w:rsidR="00B16006">
            <w:rPr>
              <w:lang w:val="en-GB"/>
            </w:rPr>
            <w:t>.</w:t>
          </w:r>
        </w:p>
        <w:p w14:paraId="0A57C967" w14:textId="4A6056D7" w:rsidR="00B16006" w:rsidRDefault="00B16006" w:rsidP="008F5445">
          <w:pPr>
            <w:pStyle w:val="Bullet1"/>
          </w:pPr>
          <w:r w:rsidRPr="00B16006">
            <w:t>Instead, in the speculative grade segment, Cerved</w:t>
          </w:r>
          <w:r w:rsidR="00FE60D2">
            <w:t xml:space="preserve"> Rating Agency</w:t>
          </w:r>
          <w:r w:rsidRPr="00B16006">
            <w:t xml:space="preserve"> </w:t>
          </w:r>
          <w:r w:rsidR="006B2FDA">
            <w:t xml:space="preserve">identifies </w:t>
          </w:r>
          <w:r w:rsidR="006B2FDA" w:rsidRPr="00B16006">
            <w:t>a</w:t>
          </w:r>
          <w:r w:rsidRPr="00B16006">
            <w:t xml:space="preserve"> </w:t>
          </w:r>
          <w:r w:rsidR="00D743E5" w:rsidRPr="00D743E5">
            <w:rPr>
              <w:i/>
              <w:iCs/>
            </w:rPr>
            <w:t>V</w:t>
          </w:r>
          <w:r w:rsidRPr="00D743E5">
            <w:rPr>
              <w:i/>
              <w:iCs/>
            </w:rPr>
            <w:t xml:space="preserve">ulnerability </w:t>
          </w:r>
          <w:r w:rsidR="00D743E5">
            <w:rPr>
              <w:i/>
              <w:iCs/>
            </w:rPr>
            <w:t>A</w:t>
          </w:r>
          <w:r w:rsidRPr="00D743E5">
            <w:rPr>
              <w:i/>
              <w:iCs/>
            </w:rPr>
            <w:t>rea</w:t>
          </w:r>
          <w:r w:rsidRPr="00B16006">
            <w:t xml:space="preserve"> (rating classes from B2.1 to B2.2) with an average default rate </w:t>
          </w:r>
          <w:r w:rsidRPr="00A73B23">
            <w:t>of 1.</w:t>
          </w:r>
          <w:r w:rsidR="00A73B23" w:rsidRPr="00A73B23">
            <w:t>77</w:t>
          </w:r>
          <w:r w:rsidRPr="00A73B23">
            <w:t xml:space="preserve">%, </w:t>
          </w:r>
          <w:r w:rsidRPr="00B16006">
            <w:t xml:space="preserve">and a </w:t>
          </w:r>
          <w:r w:rsidR="00FE60D2" w:rsidRPr="00D743E5">
            <w:rPr>
              <w:i/>
              <w:iCs/>
            </w:rPr>
            <w:t>R</w:t>
          </w:r>
          <w:r w:rsidRPr="00D743E5">
            <w:rPr>
              <w:i/>
              <w:iCs/>
            </w:rPr>
            <w:t xml:space="preserve">isk </w:t>
          </w:r>
          <w:r w:rsidR="00D743E5">
            <w:rPr>
              <w:i/>
              <w:iCs/>
            </w:rPr>
            <w:t>A</w:t>
          </w:r>
          <w:r w:rsidRPr="00D743E5">
            <w:rPr>
              <w:i/>
              <w:iCs/>
            </w:rPr>
            <w:t>rea</w:t>
          </w:r>
          <w:r w:rsidRPr="00B16006">
            <w:t xml:space="preserve"> (rating classes from C1.1 to C2.1) with a very high average default rate (15.</w:t>
          </w:r>
          <w:r w:rsidR="00A54ECF">
            <w:t>56</w:t>
          </w:r>
          <w:r w:rsidRPr="00B16006">
            <w:t>%)</w:t>
          </w:r>
          <w:r w:rsidR="00A54ECF">
            <w:t>.</w:t>
          </w:r>
        </w:p>
        <w:p w14:paraId="4F5A56BD" w14:textId="225ECB88" w:rsidR="00A54ECF" w:rsidRDefault="00870C5E" w:rsidP="008F5445">
          <w:pPr>
            <w:pStyle w:val="Bullet1"/>
          </w:pPr>
          <w:r>
            <w:t>The average Accuracy Ratio is more than satisfactory</w:t>
          </w:r>
          <w:r w:rsidR="00DC38A3">
            <w:t xml:space="preserve"> (</w:t>
          </w:r>
          <w:r w:rsidR="00893E6B">
            <w:t>roughly</w:t>
          </w:r>
          <w:r w:rsidR="00DC38A3">
            <w:t xml:space="preserve"> 78</w:t>
          </w:r>
          <w:r w:rsidR="00893E6B">
            <w:t>%)</w:t>
          </w:r>
          <w:r>
            <w:t xml:space="preserve">, </w:t>
          </w:r>
          <w:r w:rsidR="00712422">
            <w:t xml:space="preserve">with all rating classes stable over time. </w:t>
          </w:r>
          <w:r w:rsidR="00712422" w:rsidRPr="00521371">
            <w:t xml:space="preserve">Furthermore, </w:t>
          </w:r>
          <w:r w:rsidR="00736916" w:rsidRPr="00521371">
            <w:t>extending the analysis to a multi-year time horizon shows that Cerved Rating Agency’s rating model retains robust discriminatory power over the medium</w:t>
          </w:r>
          <w:r w:rsidR="00FD678F" w:rsidRPr="00521371">
            <w:t>-</w:t>
          </w:r>
          <w:r w:rsidR="00736916" w:rsidRPr="00521371">
            <w:t xml:space="preserve"> to long</w:t>
          </w:r>
          <w:r w:rsidR="00FD678F" w:rsidRPr="00521371">
            <w:t>-</w:t>
          </w:r>
          <w:r w:rsidR="00736916" w:rsidRPr="00521371">
            <w:t>term.</w:t>
          </w:r>
        </w:p>
        <w:p w14:paraId="05F0B56D" w14:textId="6880B956" w:rsidR="004101BF" w:rsidRPr="00510624" w:rsidRDefault="00F96C14" w:rsidP="004101BF">
          <w:pPr>
            <w:spacing w:line="240" w:lineRule="auto"/>
            <w:rPr>
              <w:rFonts w:asciiTheme="majorHAnsi" w:hAnsiTheme="majorHAnsi"/>
              <w:color w:val="1F85BB"/>
              <w:sz w:val="40"/>
              <w:szCs w:val="40"/>
              <w:lang w:val="en-GB"/>
            </w:rPr>
          </w:pPr>
          <w:r w:rsidRPr="00F96C14">
            <w:t>A focus on SMEs shows that the rating process of Cerved Rating Agency maintains a satisfactory performance also for this type of companies (the accuracy rate is almost 80%).</w:t>
          </w:r>
          <w:r w:rsidR="004101BF" w:rsidRPr="00510624">
            <w:rPr>
              <w:lang w:val="en-GB"/>
            </w:rPr>
            <w:br w:type="page"/>
          </w:r>
        </w:p>
        <w:p w14:paraId="7E6CBE88" w14:textId="77777777" w:rsidR="004101BF" w:rsidRPr="00510624" w:rsidRDefault="004101BF" w:rsidP="004101BF">
          <w:pPr>
            <w:pStyle w:val="Titolo1"/>
            <w:rPr>
              <w:lang w:val="en-GB"/>
            </w:rPr>
          </w:pPr>
          <w:bookmarkStart w:id="7" w:name="_Toc130806393"/>
          <w:bookmarkStart w:id="8" w:name="_Toc167131714"/>
          <w:r w:rsidRPr="00510624">
            <w:rPr>
              <w:lang w:val="en-GB"/>
            </w:rPr>
            <w:lastRenderedPageBreak/>
            <w:t>Introduction</w:t>
          </w:r>
          <w:bookmarkEnd w:id="7"/>
          <w:bookmarkEnd w:id="8"/>
        </w:p>
        <w:p w14:paraId="2CD6607E" w14:textId="2205DE6B" w:rsidR="004101BF" w:rsidRPr="00510624" w:rsidRDefault="004101BF" w:rsidP="004101BF">
          <w:pPr>
            <w:rPr>
              <w:lang w:val="en-GB"/>
            </w:rPr>
          </w:pPr>
          <w:r w:rsidRPr="00510624">
            <w:rPr>
              <w:lang w:val="en-GB"/>
            </w:rPr>
            <w:t xml:space="preserve">Cerved Rating Agency </w:t>
          </w:r>
          <w:r w:rsidR="00DA7D59">
            <w:rPr>
              <w:lang w:val="en-GB"/>
            </w:rPr>
            <w:t>is a</w:t>
          </w:r>
          <w:r w:rsidRPr="00510624">
            <w:rPr>
              <w:lang w:val="en-GB"/>
            </w:rPr>
            <w:t xml:space="preserve"> credit rating agency registered in Europe under EU Regulation no. 1060/2009. </w:t>
          </w:r>
          <w:r w:rsidR="00DA7D59">
            <w:rPr>
              <w:lang w:val="en-GB"/>
            </w:rPr>
            <w:t xml:space="preserve">The agency is committed </w:t>
          </w:r>
          <w:r w:rsidRPr="00510624">
            <w:rPr>
              <w:lang w:val="en-GB"/>
            </w:rPr>
            <w:t>to provid</w:t>
          </w:r>
          <w:r w:rsidR="00DA7D59">
            <w:rPr>
              <w:lang w:val="en-GB"/>
            </w:rPr>
            <w:t>ing</w:t>
          </w:r>
          <w:r w:rsidRPr="00510624">
            <w:rPr>
              <w:lang w:val="en-GB"/>
            </w:rPr>
            <w:t xml:space="preserve"> financial market participants with independent, reliable, timely and </w:t>
          </w:r>
          <w:r w:rsidR="00C450FF">
            <w:rPr>
              <w:lang w:val="en-GB"/>
            </w:rPr>
            <w:t>forward-looking</w:t>
          </w:r>
          <w:r w:rsidRPr="00510624">
            <w:rPr>
              <w:lang w:val="en-GB"/>
            </w:rPr>
            <w:t xml:space="preserve"> opinions </w:t>
          </w:r>
          <w:r w:rsidR="007E7C23">
            <w:rPr>
              <w:lang w:val="en-GB"/>
            </w:rPr>
            <w:t>on the</w:t>
          </w:r>
          <w:r w:rsidRPr="00510624">
            <w:rPr>
              <w:lang w:val="en-GB"/>
            </w:rPr>
            <w:t xml:space="preserve"> creditworthiness of corporate entities and their debt instruments.</w:t>
          </w:r>
        </w:p>
        <w:p w14:paraId="41ECC6BF" w14:textId="74A54FE4" w:rsidR="004101BF" w:rsidRPr="00510624" w:rsidRDefault="004101BF" w:rsidP="004101BF">
          <w:pPr>
            <w:rPr>
              <w:lang w:val="en-GB"/>
            </w:rPr>
          </w:pPr>
          <w:r w:rsidRPr="00510624">
            <w:rPr>
              <w:lang w:val="en-GB"/>
            </w:rPr>
            <w:t>Cerved</w:t>
          </w:r>
          <w:r>
            <w:rPr>
              <w:lang w:val="en-GB"/>
            </w:rPr>
            <w:t xml:space="preserve"> Rating Agency </w:t>
          </w:r>
          <w:r w:rsidR="004635EB">
            <w:rPr>
              <w:lang w:val="en-GB"/>
            </w:rPr>
            <w:t>is</w:t>
          </w:r>
          <w:r>
            <w:rPr>
              <w:lang w:val="en-GB"/>
            </w:rPr>
            <w:t xml:space="preserve"> recognis</w:t>
          </w:r>
          <w:r w:rsidRPr="00510624">
            <w:rPr>
              <w:lang w:val="en-GB"/>
            </w:rPr>
            <w:t>ed as an ECAI (External Credit Assessment Institution) since 2008</w:t>
          </w:r>
          <w:r w:rsidR="00C70EF7">
            <w:rPr>
              <w:lang w:val="en-GB"/>
            </w:rPr>
            <w:t xml:space="preserve">, </w:t>
          </w:r>
          <w:r w:rsidR="008778D0">
            <w:rPr>
              <w:lang w:val="en-GB"/>
            </w:rPr>
            <w:t>and</w:t>
          </w:r>
          <w:r w:rsidR="00C70EF7">
            <w:rPr>
              <w:lang w:val="en-GB"/>
            </w:rPr>
            <w:t xml:space="preserve"> </w:t>
          </w:r>
          <w:r w:rsidRPr="00510624">
            <w:rPr>
              <w:lang w:val="en-GB"/>
            </w:rPr>
            <w:t>its credit ratings</w:t>
          </w:r>
          <w:r w:rsidR="008778D0">
            <w:rPr>
              <w:lang w:val="en-GB"/>
            </w:rPr>
            <w:t xml:space="preserve"> are</w:t>
          </w:r>
          <w:r w:rsidRPr="00510624">
            <w:rPr>
              <w:lang w:val="en-GB"/>
            </w:rPr>
            <w:t xml:space="preserve"> used </w:t>
          </w:r>
          <w:r w:rsidR="00C70EF7">
            <w:rPr>
              <w:lang w:val="en-GB"/>
            </w:rPr>
            <w:t xml:space="preserve">extensively </w:t>
          </w:r>
          <w:r w:rsidRPr="00510624">
            <w:rPr>
              <w:lang w:val="en-GB"/>
            </w:rPr>
            <w:t>by Italian banks for regulatory purposes.</w:t>
          </w:r>
        </w:p>
        <w:p w14:paraId="6ADEBD00" w14:textId="1A812848" w:rsidR="004101BF" w:rsidRPr="00510624" w:rsidRDefault="004101BF" w:rsidP="004101BF">
          <w:pPr>
            <w:rPr>
              <w:lang w:val="en-GB"/>
            </w:rPr>
          </w:pPr>
          <w:r w:rsidRPr="00510624">
            <w:rPr>
              <w:lang w:val="en-GB"/>
            </w:rPr>
            <w:t xml:space="preserve">Headquartered in Milan, Cerved Rating Agency is fully owned </w:t>
          </w:r>
          <w:r w:rsidR="00894FEA">
            <w:rPr>
              <w:lang w:val="en-GB"/>
            </w:rPr>
            <w:t>b</w:t>
          </w:r>
          <w:r w:rsidRPr="00510624">
            <w:rPr>
              <w:lang w:val="en-GB"/>
            </w:rPr>
            <w:t xml:space="preserve">y Cerved </w:t>
          </w:r>
          <w:r>
            <w:rPr>
              <w:lang w:val="en-GB"/>
            </w:rPr>
            <w:t>Group,</w:t>
          </w:r>
          <w:r w:rsidR="00B90FD3">
            <w:rPr>
              <w:lang w:val="en-GB"/>
            </w:rPr>
            <w:t xml:space="preserve"> the</w:t>
          </w:r>
          <w:r>
            <w:rPr>
              <w:lang w:val="en-GB"/>
            </w:rPr>
            <w:t xml:space="preserve"> </w:t>
          </w:r>
          <w:r w:rsidRPr="00510624">
            <w:rPr>
              <w:lang w:val="en-GB"/>
            </w:rPr>
            <w:t xml:space="preserve">Italian </w:t>
          </w:r>
          <w:r>
            <w:rPr>
              <w:lang w:val="en-GB"/>
            </w:rPr>
            <w:t xml:space="preserve">market leader </w:t>
          </w:r>
          <w:r w:rsidR="00B90FD3">
            <w:rPr>
              <w:lang w:val="en-GB"/>
            </w:rPr>
            <w:t>in</w:t>
          </w:r>
          <w:r>
            <w:rPr>
              <w:lang w:val="en-GB"/>
            </w:rPr>
            <w:t xml:space="preserve"> </w:t>
          </w:r>
          <w:r w:rsidRPr="00510624">
            <w:rPr>
              <w:lang w:val="en-GB"/>
            </w:rPr>
            <w:t xml:space="preserve">business information. The Agency employs </w:t>
          </w:r>
          <w:r w:rsidR="008A7A42">
            <w:rPr>
              <w:lang w:val="en-GB"/>
            </w:rPr>
            <w:t xml:space="preserve">around </w:t>
          </w:r>
          <w:r w:rsidR="008A7A42" w:rsidRPr="008A7A42">
            <w:rPr>
              <w:lang w:val="en-GB"/>
            </w:rPr>
            <w:t>7</w:t>
          </w:r>
          <w:r w:rsidRPr="008A7A42">
            <w:rPr>
              <w:lang w:val="en-GB"/>
            </w:rPr>
            <w:t>0 credit</w:t>
          </w:r>
          <w:r w:rsidRPr="00510624">
            <w:rPr>
              <w:lang w:val="en-GB"/>
            </w:rPr>
            <w:t xml:space="preserve"> </w:t>
          </w:r>
          <w:r>
            <w:rPr>
              <w:lang w:val="en-GB"/>
            </w:rPr>
            <w:t xml:space="preserve">and ESG </w:t>
          </w:r>
          <w:r w:rsidRPr="00510624">
            <w:rPr>
              <w:lang w:val="en-GB"/>
            </w:rPr>
            <w:t>rating analysts.</w:t>
          </w:r>
        </w:p>
        <w:p w14:paraId="384A97E2" w14:textId="2E8DC667" w:rsidR="004101BF" w:rsidRPr="00510624" w:rsidRDefault="004101BF" w:rsidP="004101BF">
          <w:pPr>
            <w:rPr>
              <w:lang w:val="en-GB"/>
            </w:rPr>
          </w:pPr>
          <w:r w:rsidRPr="00510624">
            <w:rPr>
              <w:lang w:val="en-GB"/>
            </w:rPr>
            <w:t xml:space="preserve">Cerved Rating Agency issues credit ratings on non-financial </w:t>
          </w:r>
          <w:r>
            <w:rPr>
              <w:lang w:val="en-GB"/>
            </w:rPr>
            <w:t>companies</w:t>
          </w:r>
          <w:r w:rsidRPr="00510624">
            <w:rPr>
              <w:lang w:val="en-GB"/>
            </w:rPr>
            <w:t xml:space="preserve"> for</w:t>
          </w:r>
          <w:r w:rsidR="004F073B">
            <w:rPr>
              <w:lang w:val="en-GB"/>
            </w:rPr>
            <w:t xml:space="preserve"> either</w:t>
          </w:r>
          <w:r w:rsidRPr="00510624">
            <w:rPr>
              <w:lang w:val="en-GB"/>
            </w:rPr>
            <w:t xml:space="preserve"> "issuer-pays" or "investor-pays" businesses. Moreover, the Agency issues credit ratings on short and </w:t>
          </w:r>
          <w:r>
            <w:rPr>
              <w:lang w:val="en-GB"/>
            </w:rPr>
            <w:t>mid</w:t>
          </w:r>
          <w:r w:rsidRPr="00510624">
            <w:rPr>
              <w:lang w:val="en-GB"/>
            </w:rPr>
            <w:t>-long term debt instruments.</w:t>
          </w:r>
        </w:p>
        <w:p w14:paraId="55599080" w14:textId="6EF968E7" w:rsidR="004101BF" w:rsidRPr="00510624" w:rsidRDefault="00C40AFE" w:rsidP="004101BF">
          <w:pPr>
            <w:rPr>
              <w:lang w:val="en-GB"/>
            </w:rPr>
          </w:pPr>
          <w:r>
            <w:rPr>
              <w:lang w:val="en-GB"/>
            </w:rPr>
            <w:t xml:space="preserve">Exploiting </w:t>
          </w:r>
          <w:r w:rsidR="004F073B">
            <w:rPr>
              <w:lang w:val="en-GB"/>
            </w:rPr>
            <w:t>its</w:t>
          </w:r>
          <w:r>
            <w:rPr>
              <w:lang w:val="en-GB"/>
            </w:rPr>
            <w:t xml:space="preserve"> rather</w:t>
          </w:r>
          <w:r w:rsidR="004101BF" w:rsidRPr="00510624">
            <w:rPr>
              <w:lang w:val="en-GB"/>
            </w:rPr>
            <w:t xml:space="preserve"> vast portfolio of rated entities, Cerved Rating Agency perform</w:t>
          </w:r>
          <w:r>
            <w:rPr>
              <w:lang w:val="en-GB"/>
            </w:rPr>
            <w:t>s</w:t>
          </w:r>
          <w:r w:rsidR="004101BF" w:rsidRPr="00510624">
            <w:rPr>
              <w:lang w:val="en-GB"/>
            </w:rPr>
            <w:t xml:space="preserve"> s</w:t>
          </w:r>
          <w:r w:rsidR="004101BF">
            <w:rPr>
              <w:lang w:val="en-GB"/>
            </w:rPr>
            <w:t>tatistically significant analyse</w:t>
          </w:r>
          <w:r w:rsidR="004101BF" w:rsidRPr="00510624">
            <w:rPr>
              <w:lang w:val="en-GB"/>
            </w:rPr>
            <w:t xml:space="preserve">s. </w:t>
          </w:r>
          <w:r>
            <w:rPr>
              <w:lang w:val="en-GB"/>
            </w:rPr>
            <w:t>More specifically,</w:t>
          </w:r>
          <w:r w:rsidR="004101BF" w:rsidRPr="00510624">
            <w:rPr>
              <w:lang w:val="en-GB"/>
            </w:rPr>
            <w:t xml:space="preserve"> the</w:t>
          </w:r>
          <w:r w:rsidR="00146555">
            <w:rPr>
              <w:lang w:val="en-GB"/>
            </w:rPr>
            <w:t xml:space="preserve"> </w:t>
          </w:r>
          <w:r w:rsidR="004101BF" w:rsidRPr="00510624">
            <w:rPr>
              <w:lang w:val="en-GB"/>
            </w:rPr>
            <w:t xml:space="preserve">Default Study </w:t>
          </w:r>
          <w:r w:rsidR="00146555">
            <w:rPr>
              <w:lang w:val="en-GB"/>
            </w:rPr>
            <w:t>showcases</w:t>
          </w:r>
          <w:r w:rsidR="004101BF" w:rsidRPr="00510624">
            <w:rPr>
              <w:lang w:val="en-GB"/>
            </w:rPr>
            <w:t xml:space="preserve"> </w:t>
          </w:r>
          <w:r w:rsidR="00A05E8A">
            <w:rPr>
              <w:lang w:val="en-GB"/>
            </w:rPr>
            <w:t>the</w:t>
          </w:r>
          <w:r w:rsidR="004101BF" w:rsidRPr="00510624">
            <w:rPr>
              <w:lang w:val="en-GB"/>
            </w:rPr>
            <w:t xml:space="preserve"> historical performance of </w:t>
          </w:r>
          <w:r w:rsidR="00146555">
            <w:rPr>
              <w:lang w:val="en-GB"/>
            </w:rPr>
            <w:t>Cerved Rating Agency’s</w:t>
          </w:r>
          <w:r w:rsidR="004101BF" w:rsidRPr="00510624">
            <w:rPr>
              <w:lang w:val="en-GB"/>
            </w:rPr>
            <w:t xml:space="preserve"> credit ratings</w:t>
          </w:r>
          <w:r w:rsidR="00BA68FB">
            <w:rPr>
              <w:lang w:val="en-GB"/>
            </w:rPr>
            <w:t>,</w:t>
          </w:r>
          <w:r w:rsidR="004101BF" w:rsidRPr="00510624">
            <w:rPr>
              <w:lang w:val="en-GB"/>
            </w:rPr>
            <w:t xml:space="preserve"> contribut</w:t>
          </w:r>
          <w:r w:rsidR="00BA68FB">
            <w:rPr>
              <w:lang w:val="en-GB"/>
            </w:rPr>
            <w:t>ing</w:t>
          </w:r>
          <w:r w:rsidR="004101BF" w:rsidRPr="00510624">
            <w:rPr>
              <w:lang w:val="en-GB"/>
            </w:rPr>
            <w:t xml:space="preserve"> to the transparency of its rating process and facilitat</w:t>
          </w:r>
          <w:r w:rsidR="00BA68FB">
            <w:rPr>
              <w:lang w:val="en-GB"/>
            </w:rPr>
            <w:t>ing the</w:t>
          </w:r>
          <w:r w:rsidR="004101BF" w:rsidRPr="00510624">
            <w:rPr>
              <w:lang w:val="en-GB"/>
            </w:rPr>
            <w:t xml:space="preserve"> decision</w:t>
          </w:r>
          <w:r w:rsidR="00BA68FB">
            <w:rPr>
              <w:lang w:val="en-GB"/>
            </w:rPr>
            <w:t>-</w:t>
          </w:r>
          <w:r w:rsidR="004101BF" w:rsidRPr="00510624">
            <w:rPr>
              <w:lang w:val="en-GB"/>
            </w:rPr>
            <w:t>making</w:t>
          </w:r>
          <w:r w:rsidR="00BA68FB">
            <w:rPr>
              <w:lang w:val="en-GB"/>
            </w:rPr>
            <w:t xml:space="preserve"> of both</w:t>
          </w:r>
          <w:r w:rsidR="004101BF" w:rsidRPr="00510624">
            <w:rPr>
              <w:lang w:val="en-GB"/>
            </w:rPr>
            <w:t xml:space="preserve"> investors and regulators.</w:t>
          </w:r>
        </w:p>
        <w:p w14:paraId="4B6BFDCF" w14:textId="27C192EE" w:rsidR="004101BF" w:rsidRPr="00510624" w:rsidRDefault="004101BF" w:rsidP="004101BF">
          <w:pPr>
            <w:rPr>
              <w:lang w:val="en-GB"/>
            </w:rPr>
          </w:pPr>
          <w:r w:rsidRPr="00510624">
            <w:rPr>
              <w:lang w:val="en-GB"/>
            </w:rPr>
            <w:t xml:space="preserve">The data for the Default Study </w:t>
          </w:r>
          <w:r w:rsidR="00AD22F3">
            <w:rPr>
              <w:lang w:val="en-GB"/>
            </w:rPr>
            <w:t xml:space="preserve">relate to </w:t>
          </w:r>
          <w:r w:rsidRPr="00510624">
            <w:rPr>
              <w:lang w:val="en-GB"/>
            </w:rPr>
            <w:t>Cerved Rating Agency</w:t>
          </w:r>
          <w:r w:rsidR="00AD22F3">
            <w:rPr>
              <w:lang w:val="en-GB"/>
            </w:rPr>
            <w:t>’s</w:t>
          </w:r>
          <w:r w:rsidRPr="00510624">
            <w:rPr>
              <w:lang w:val="en-GB"/>
            </w:rPr>
            <w:t xml:space="preserve"> historical portfolios of rated entities, i.e. public ratings issued from 2008 to 20</w:t>
          </w:r>
          <w:r>
            <w:rPr>
              <w:lang w:val="en-GB"/>
            </w:rPr>
            <w:t>2</w:t>
          </w:r>
          <w:r w:rsidR="007C784D">
            <w:rPr>
              <w:lang w:val="en-GB"/>
            </w:rPr>
            <w:t>2</w:t>
          </w:r>
          <w:r w:rsidRPr="00510624">
            <w:rPr>
              <w:lang w:val="en-GB"/>
            </w:rPr>
            <w:t xml:space="preserve">, and </w:t>
          </w:r>
          <w:r w:rsidR="00237B4D">
            <w:rPr>
              <w:lang w:val="en-GB"/>
            </w:rPr>
            <w:t>the associated</w:t>
          </w:r>
          <w:r>
            <w:rPr>
              <w:lang w:val="en-GB"/>
            </w:rPr>
            <w:t xml:space="preserve"> </w:t>
          </w:r>
          <w:r w:rsidRPr="00510624">
            <w:rPr>
              <w:lang w:val="en-GB"/>
            </w:rPr>
            <w:t>observed default events from 2009 to 20</w:t>
          </w:r>
          <w:r>
            <w:rPr>
              <w:lang w:val="en-GB"/>
            </w:rPr>
            <w:t>2</w:t>
          </w:r>
          <w:r w:rsidR="00F13178">
            <w:rPr>
              <w:lang w:val="en-GB"/>
            </w:rPr>
            <w:t>3</w:t>
          </w:r>
          <w:r w:rsidRPr="00510624">
            <w:rPr>
              <w:lang w:val="en-GB"/>
            </w:rPr>
            <w:t xml:space="preserve">. The analysis includes a focus on Italian </w:t>
          </w:r>
          <w:r>
            <w:rPr>
              <w:lang w:val="en-GB"/>
            </w:rPr>
            <w:t xml:space="preserve">Small and Medium Enterprises (hereinafter also called </w:t>
          </w:r>
          <w:r w:rsidRPr="00510624">
            <w:rPr>
              <w:lang w:val="en-GB"/>
            </w:rPr>
            <w:t>SMEs</w:t>
          </w:r>
          <w:r>
            <w:rPr>
              <w:lang w:val="en-GB"/>
            </w:rPr>
            <w:t>)</w:t>
          </w:r>
          <w:r w:rsidRPr="00510624">
            <w:rPr>
              <w:lang w:val="en-GB"/>
            </w:rPr>
            <w:t>.</w:t>
          </w:r>
        </w:p>
        <w:p w14:paraId="08F4CE09" w14:textId="77777777" w:rsidR="004101BF" w:rsidRPr="00510624" w:rsidRDefault="004101BF" w:rsidP="004101BF">
          <w:pPr>
            <w:rPr>
              <w:lang w:val="en-GB"/>
            </w:rPr>
          </w:pPr>
        </w:p>
        <w:p w14:paraId="3290EEF6" w14:textId="77777777" w:rsidR="004101BF" w:rsidRPr="00510624" w:rsidRDefault="004101BF" w:rsidP="004101BF">
          <w:pPr>
            <w:spacing w:line="240" w:lineRule="auto"/>
            <w:rPr>
              <w:rFonts w:asciiTheme="majorHAnsi" w:hAnsiTheme="majorHAnsi"/>
              <w:color w:val="1F85BB"/>
              <w:sz w:val="40"/>
              <w:szCs w:val="40"/>
              <w:lang w:val="en-GB"/>
            </w:rPr>
          </w:pPr>
          <w:r w:rsidRPr="00510624">
            <w:rPr>
              <w:lang w:val="en-GB"/>
            </w:rPr>
            <w:br w:type="page"/>
          </w:r>
        </w:p>
        <w:p w14:paraId="7D2C15FA" w14:textId="77777777" w:rsidR="004101BF" w:rsidRPr="00FA752D" w:rsidRDefault="004101BF" w:rsidP="004101BF">
          <w:pPr>
            <w:pStyle w:val="Titolo1"/>
            <w:rPr>
              <w:lang w:val="en-GB"/>
            </w:rPr>
          </w:pPr>
          <w:bookmarkStart w:id="9" w:name="_Toc130806394"/>
          <w:bookmarkStart w:id="10" w:name="_Toc167131715"/>
          <w:r w:rsidRPr="00FA752D">
            <w:rPr>
              <w:lang w:val="en-GB"/>
            </w:rPr>
            <w:lastRenderedPageBreak/>
            <w:t>Default Study</w:t>
          </w:r>
          <w:bookmarkEnd w:id="9"/>
          <w:bookmarkEnd w:id="10"/>
        </w:p>
        <w:p w14:paraId="1F540405" w14:textId="2EE84361" w:rsidR="004101BF" w:rsidRPr="00FA752D" w:rsidRDefault="009D4E44" w:rsidP="004101BF">
          <w:pPr>
            <w:pStyle w:val="Titolo2"/>
            <w:rPr>
              <w:lang w:val="en-GB"/>
            </w:rPr>
          </w:pPr>
          <w:bookmarkStart w:id="11" w:name="_Toc130806395"/>
          <w:bookmarkStart w:id="12" w:name="_Toc167131716"/>
          <w:r>
            <w:rPr>
              <w:lang w:val="en-GB"/>
            </w:rPr>
            <w:t>The c</w:t>
          </w:r>
          <w:r w:rsidR="004101BF" w:rsidRPr="00FA752D">
            <w:rPr>
              <w:lang w:val="en-GB"/>
            </w:rPr>
            <w:t>haracteristics</w:t>
          </w:r>
          <w:bookmarkEnd w:id="11"/>
          <w:r>
            <w:rPr>
              <w:lang w:val="en-GB"/>
            </w:rPr>
            <w:t xml:space="preserve"> of the portfolio’s rated entities</w:t>
          </w:r>
          <w:bookmarkEnd w:id="12"/>
        </w:p>
        <w:p w14:paraId="752AF261" w14:textId="65DE3B3B" w:rsidR="004101BF" w:rsidRPr="0032337D" w:rsidRDefault="004101BF" w:rsidP="004101BF">
          <w:pPr>
            <w:rPr>
              <w:rFonts w:cs="Segoe UI"/>
              <w:lang w:val="en-GB"/>
            </w:rPr>
          </w:pPr>
          <w:r w:rsidRPr="0032337D">
            <w:rPr>
              <w:rFonts w:cs="Segoe UI"/>
              <w:lang w:val="en-GB"/>
            </w:rPr>
            <w:t xml:space="preserve">The Default Study analyses historical portfolios </w:t>
          </w:r>
          <w:r w:rsidR="00A45CC1">
            <w:rPr>
              <w:rFonts w:cs="Segoe UI"/>
              <w:lang w:val="en-GB"/>
            </w:rPr>
            <w:t>of</w:t>
          </w:r>
          <w:r w:rsidR="00AE2F7F">
            <w:rPr>
              <w:rFonts w:cs="Segoe UI"/>
              <w:lang w:val="en-GB"/>
            </w:rPr>
            <w:t xml:space="preserve"> Cerved Rating Agency’s</w:t>
          </w:r>
          <w:r w:rsidRPr="0032337D">
            <w:rPr>
              <w:rFonts w:cs="Segoe UI"/>
              <w:lang w:val="en-GB"/>
            </w:rPr>
            <w:t xml:space="preserve"> public ratings issued from 2008 to 20</w:t>
          </w:r>
          <w:r>
            <w:rPr>
              <w:rFonts w:cs="Segoe UI"/>
              <w:lang w:val="en-GB"/>
            </w:rPr>
            <w:t>2</w:t>
          </w:r>
          <w:r w:rsidR="0038068F">
            <w:rPr>
              <w:rFonts w:cs="Segoe UI"/>
              <w:lang w:val="en-GB"/>
            </w:rPr>
            <w:t>2</w:t>
          </w:r>
          <w:r w:rsidRPr="0032337D">
            <w:rPr>
              <w:rFonts w:cs="Segoe UI"/>
              <w:lang w:val="en-GB"/>
            </w:rPr>
            <w:t xml:space="preserve"> and</w:t>
          </w:r>
          <w:r w:rsidR="00AE2F7F">
            <w:rPr>
              <w:rFonts w:cs="Segoe UI"/>
              <w:lang w:val="en-GB"/>
            </w:rPr>
            <w:t xml:space="preserve"> the</w:t>
          </w:r>
          <w:r w:rsidRPr="0032337D">
            <w:rPr>
              <w:rFonts w:cs="Segoe UI"/>
              <w:lang w:val="en-GB"/>
            </w:rPr>
            <w:t xml:space="preserve"> default</w:t>
          </w:r>
          <w:r w:rsidR="00AE2F7F">
            <w:rPr>
              <w:rFonts w:cs="Segoe UI"/>
              <w:lang w:val="en-GB"/>
            </w:rPr>
            <w:t>s</w:t>
          </w:r>
          <w:r w:rsidRPr="0032337D">
            <w:rPr>
              <w:rFonts w:cs="Segoe UI"/>
              <w:lang w:val="en-GB"/>
            </w:rPr>
            <w:t xml:space="preserve"> observed from 2009 </w:t>
          </w:r>
          <w:r w:rsidR="00EA2FE5">
            <w:rPr>
              <w:rFonts w:cs="Segoe UI"/>
              <w:lang w:val="en-GB"/>
            </w:rPr>
            <w:t>up until</w:t>
          </w:r>
          <w:r w:rsidRPr="0032337D">
            <w:rPr>
              <w:rFonts w:cs="Segoe UI"/>
              <w:lang w:val="en-GB"/>
            </w:rPr>
            <w:t xml:space="preserve"> 202</w:t>
          </w:r>
          <w:r w:rsidR="0038068F">
            <w:rPr>
              <w:rFonts w:cs="Segoe UI"/>
              <w:lang w:val="en-GB"/>
            </w:rPr>
            <w:t>3</w:t>
          </w:r>
          <w:r w:rsidRPr="0032337D">
            <w:rPr>
              <w:rFonts w:cs="Segoe UI"/>
              <w:lang w:val="en-GB"/>
            </w:rPr>
            <w:t>. The</w:t>
          </w:r>
          <w:r w:rsidR="006F109D">
            <w:rPr>
              <w:rFonts w:cs="Segoe UI"/>
              <w:lang w:val="en-GB"/>
            </w:rPr>
            <w:t xml:space="preserve"> definition</w:t>
          </w:r>
          <w:r w:rsidR="00C14B1B">
            <w:rPr>
              <w:rFonts w:cs="Segoe UI"/>
              <w:lang w:val="en-GB"/>
            </w:rPr>
            <w:t xml:space="preserve"> of default</w:t>
          </w:r>
          <w:r w:rsidRPr="0032337D">
            <w:rPr>
              <w:rFonts w:cs="Segoe UI"/>
              <w:lang w:val="en-GB"/>
            </w:rPr>
            <w:t xml:space="preserve"> </w:t>
          </w:r>
          <w:r w:rsidR="00480E4C">
            <w:rPr>
              <w:rFonts w:cs="Segoe UI"/>
              <w:lang w:val="en-GB"/>
            </w:rPr>
            <w:t xml:space="preserve">considered in the study </w:t>
          </w:r>
          <w:r w:rsidRPr="0032337D">
            <w:rPr>
              <w:rFonts w:cs="Segoe UI"/>
              <w:lang w:val="en-GB"/>
            </w:rPr>
            <w:t xml:space="preserve">is </w:t>
          </w:r>
          <w:r w:rsidR="00480E4C">
            <w:rPr>
              <w:rFonts w:cs="Segoe UI"/>
              <w:lang w:val="en-GB"/>
            </w:rPr>
            <w:t>outlined</w:t>
          </w:r>
          <w:r w:rsidRPr="0032337D">
            <w:rPr>
              <w:rFonts w:cs="Segoe UI"/>
              <w:lang w:val="en-GB"/>
            </w:rPr>
            <w:t xml:space="preserve"> in Annex 2.</w:t>
          </w:r>
        </w:p>
        <w:p w14:paraId="0BA166C8" w14:textId="77777777" w:rsidR="004101BF" w:rsidRPr="003B4096" w:rsidRDefault="004101BF" w:rsidP="004101BF">
          <w:pPr>
            <w:pStyle w:val="Titolo3"/>
            <w:rPr>
              <w:lang w:val="en-GB"/>
            </w:rPr>
          </w:pPr>
          <w:bookmarkStart w:id="13" w:name="_Toc130806396"/>
          <w:bookmarkStart w:id="14" w:name="_Toc167131717"/>
          <w:r w:rsidRPr="003B4096">
            <w:rPr>
              <w:lang w:val="en-GB"/>
            </w:rPr>
            <w:t>Breakdown of rated entities by size</w:t>
          </w:r>
          <w:bookmarkEnd w:id="13"/>
          <w:bookmarkEnd w:id="14"/>
        </w:p>
        <w:p w14:paraId="49F0BDBA" w14:textId="66F2F580" w:rsidR="004101BF" w:rsidRPr="0032337D" w:rsidRDefault="00C14B1B" w:rsidP="004101BF">
          <w:pPr>
            <w:rPr>
              <w:rFonts w:cs="Segoe UI"/>
              <w:lang w:val="en-GB"/>
            </w:rPr>
          </w:pPr>
          <w:r>
            <w:rPr>
              <w:rFonts w:cs="Segoe UI"/>
              <w:lang w:val="en-GB"/>
            </w:rPr>
            <w:t>R</w:t>
          </w:r>
          <w:r w:rsidR="004101BF" w:rsidRPr="0032337D">
            <w:rPr>
              <w:rFonts w:cs="Segoe UI"/>
              <w:lang w:val="en-GB"/>
            </w:rPr>
            <w:t>ated entities are classified as Medium, Small and Micro companies according to the criteria adopted by the European Commission (Recommendation 2003/36)</w:t>
          </w:r>
          <w:r>
            <w:rPr>
              <w:rFonts w:cs="Segoe UI"/>
              <w:lang w:val="en-GB"/>
            </w:rPr>
            <w:t>, shown in the table below</w:t>
          </w:r>
          <w:r w:rsidR="004101BF" w:rsidRPr="0032337D">
            <w:rPr>
              <w:rFonts w:cs="Segoe UI"/>
              <w:lang w:val="en-GB"/>
            </w:rPr>
            <w:t>:</w:t>
          </w:r>
        </w:p>
        <w:p w14:paraId="33AB75D1" w14:textId="64ED7910" w:rsidR="004101BF" w:rsidRDefault="004101BF" w:rsidP="004101BF">
          <w:pPr>
            <w:pStyle w:val="Didascalia"/>
            <w:rPr>
              <w:rFonts w:ascii="Segoe UI" w:hAnsi="Segoe UI" w:cs="Segoe UI"/>
              <w:i/>
              <w:color w:val="002E5A" w:themeColor="text2"/>
              <w:sz w:val="14"/>
              <w:szCs w:val="24"/>
              <w:lang w:val="en-GB"/>
            </w:rPr>
          </w:pPr>
          <w:bookmarkStart w:id="15" w:name="_Toc130806302"/>
          <w:bookmarkStart w:id="16" w:name="_Toc166675642"/>
          <w:bookmarkStart w:id="17" w:name="_Toc167131769"/>
          <w:r w:rsidRPr="0032337D">
            <w:rPr>
              <w:rFonts w:ascii="Segoe UI" w:hAnsi="Segoe UI" w:cs="Segoe UI"/>
              <w:i/>
              <w:color w:val="002E5A" w:themeColor="text2"/>
              <w:sz w:val="14"/>
              <w:szCs w:val="24"/>
              <w:lang w:val="en-GB"/>
            </w:rPr>
            <w:t xml:space="preserve">Exhibit </w:t>
          </w:r>
          <w:r>
            <w:rPr>
              <w:rFonts w:ascii="Segoe UI" w:hAnsi="Segoe UI" w:cs="Segoe UI"/>
              <w:bCs/>
              <w:i/>
              <w:color w:val="002E5A" w:themeColor="text2"/>
              <w:sz w:val="14"/>
              <w:szCs w:val="24"/>
              <w:lang w:val="en-GB"/>
            </w:rPr>
            <w:fldChar w:fldCharType="begin"/>
          </w:r>
          <w:r>
            <w:rPr>
              <w:rFonts w:ascii="Segoe UI" w:hAnsi="Segoe UI" w:cs="Segoe UI"/>
              <w:i/>
              <w:color w:val="002E5A" w:themeColor="text2"/>
              <w:sz w:val="14"/>
              <w:szCs w:val="24"/>
              <w:lang w:val="en-GB"/>
            </w:rPr>
            <w:instrText xml:space="preserve"> SEQ Exhibit \* ARABIC </w:instrText>
          </w:r>
          <w:r>
            <w:rPr>
              <w:rFonts w:ascii="Segoe UI" w:hAnsi="Segoe UI" w:cs="Segoe UI"/>
              <w:bCs/>
              <w:i/>
              <w:color w:val="002E5A" w:themeColor="text2"/>
              <w:sz w:val="14"/>
              <w:szCs w:val="24"/>
              <w:lang w:val="en-GB"/>
            </w:rPr>
            <w:fldChar w:fldCharType="separate"/>
          </w:r>
          <w:r w:rsidR="009857B6">
            <w:rPr>
              <w:rFonts w:ascii="Segoe UI" w:hAnsi="Segoe UI" w:cs="Segoe UI"/>
              <w:i/>
              <w:noProof/>
              <w:color w:val="002E5A" w:themeColor="text2"/>
              <w:sz w:val="14"/>
              <w:szCs w:val="24"/>
              <w:lang w:val="en-GB"/>
            </w:rPr>
            <w:t>1</w:t>
          </w:r>
          <w:r>
            <w:rPr>
              <w:rFonts w:ascii="Segoe UI" w:hAnsi="Segoe UI" w:cs="Segoe UI"/>
              <w:bCs/>
              <w:i/>
              <w:color w:val="002E5A" w:themeColor="text2"/>
              <w:sz w:val="14"/>
              <w:szCs w:val="24"/>
              <w:lang w:val="en-GB"/>
            </w:rPr>
            <w:fldChar w:fldCharType="end"/>
          </w:r>
          <w:r w:rsidRPr="0032337D">
            <w:rPr>
              <w:rFonts w:ascii="Segoe UI" w:hAnsi="Segoe UI" w:cs="Segoe UI"/>
              <w:i/>
              <w:color w:val="002E5A" w:themeColor="text2"/>
              <w:sz w:val="14"/>
              <w:szCs w:val="24"/>
              <w:lang w:val="en-GB"/>
            </w:rPr>
            <w:t>: European definition of Medium, Small and Micro companies</w:t>
          </w:r>
          <w:bookmarkEnd w:id="15"/>
          <w:bookmarkEnd w:id="16"/>
          <w:bookmarkEnd w:id="17"/>
        </w:p>
        <w:tbl>
          <w:tblPr>
            <w:tblW w:w="5000" w:type="pct"/>
            <w:tblBorders>
              <w:top w:val="single" w:sz="4" w:space="0" w:color="AFAFB4" w:themeColor="accent4"/>
              <w:bottom w:val="single" w:sz="4" w:space="0" w:color="AFAFB4" w:themeColor="accent4"/>
              <w:insideH w:val="single" w:sz="4" w:space="0" w:color="AFAFB4" w:themeColor="accent4"/>
            </w:tblBorders>
            <w:shd w:val="clear" w:color="auto" w:fill="FFFFFF" w:themeFill="background2"/>
            <w:tblCellMar>
              <w:left w:w="0" w:type="dxa"/>
              <w:right w:w="0" w:type="dxa"/>
            </w:tblCellMar>
            <w:tblLook w:val="0620" w:firstRow="1" w:lastRow="0" w:firstColumn="0" w:lastColumn="0" w:noHBand="1" w:noVBand="1"/>
            <w:tblDescription w:val="{&quot;Ott&quot;:{&quot;FirstRow&quot;:{&quot;BackgroundColor&quot;:{&quot;Key&quot;:&quot;Light2&quot;},&quot;Font&quot;:{&quot;Name&quot;:&quot;Source Sans Pro&quot;,&quot;Size&quot;:14.0,&quot;Bold&quot;:false,&quot;Italic&quot;:false,&quot;Color&quot;:{&quot;Key&quot;:&quot;Dark2&quot;}},&quot;ExcelCellFormatting&quot;:&quot;General&quot;,&quot;Alignment&quot;:{&quot;Horizontal&quot;:&quot;Left&quot;,&quot;Vertical&quot;:&quot;Bottom&quot;},&quot;Borders&quot;:{&quot;Vertical&quot;:{&quot;Visible&quot;:false},&quot;Left&quot;:{&quot;Visible&quot;:false},&quot;Top&quot;:{&quot;Visible&quot;:false},&quot;Right&quot;:{&quot;Visible&quot;:false},&quot;Bottom&quot;:{&quot;Color&quot;:{&quot;Key&quot;:&quot;Accent4&quot;},&quot;BorderWeight&quot;:&quot;Pt1_5&quot;,&quot;Type&quot;:&quot;Solid&quot;,&quot;Visible&quot;:true}}},&quot;FitRowHeightPp&quot;:true,&quot;ZeroMarginsWord&quot;:true,&quot;BackgroundColor&quot;:{&quot;Key&quot;:&quot;Light2&quot;},&quot;Font&quot;:{&quot;Name&quot;:&quot;Source Sans Pro&quot;,&quot;Size&quot;:11.0,&quot;Bold&quot;:false,&quot;Italic&quot;:false,&quot;Color&quot;:{&quot;Key&quot;:&quot;Dark2&quot;}},&quot;LineSpacing&quot;:{&quot;Rule&quot;:&quot;Single&quot;},&quot;Alignment&quot;:{&quot;Horizontal&quot;:&quot;Left&quot;,&quot;Vertical&quot;:&quot;Top&quot;},&quot;Margin&quot;:{&quot;Left&quot;:5.7,&quot;Top&quot;:3.0,&quot;Right&quot;:5.7,&quot;Bottom&quot;:3.0},&quot;Borders&quot;:{&quot;Vertical&quot;:{&quot;Visible&quot;:false},&quot;Horizontal&quot;:{&quot;Color&quot;:{&quot;Key&quot;:&quot;Accent4&quot;},&quot;BorderWeight&quot;:&quot;Pt0_5&quot;,&quot;Type&quot;:&quot;Solid&quot;,&quot;Visible&quot;:true}},&quot;ParagraphSpacing&quot;:{&quot;SpaceBefore&quot;:2.0,&quot;SpaceAfter&quot;:2.0},&quot;ExcelWrapText&quot;:true},&quot;Ccs&quot;:{&quot;DarkBlue&quot;:&quot;0, 20, 55&quot;,&quot;Turquoise&quot;:&quot;0, 164, 230&quot;,&quot;Red&quot;:&quot;214, 70, 65&quot;,&quot;LightGrey&quot;:&quot;174, 174, 180&quot;,&quot;BlueGrey&quot;:&quot;77, 91, 115&quot;,&quot;IceBlue&quot;:&quot;178, 184, 195&quot;,&quot;Grey&quot;:&quot;145, 147, 153&quot;,&quot;Background&quot;:&quot;0, 0, 0, 0&quot;,&quot;White&quot;:&quot;White&quot;,&quot;Accent1&quot;:&quot;1, 1, 1, 1&quot;,&quot;Accent2&quot;:&quot;1, 1, 1, 2&quot;,&quot;Accent3&quot;:&quot;1, 1, 1, 3&quot;,&quot;Accent4&quot;:&quot;1, 1, 1, 4&quot;,&quot;Accent5&quot;:&quot;1, 1, 1, 5&quot;,&quot;Accent6&quot;:&quot;1, 1, 1, 6&quot;,&quot;Dark1&quot;:&quot;1, 1, 1, 7&quot;,&quot;Dark2&quot;:&quot;1, 1, 1, 9&quot;,&quot;Light1&quot;:&quot;1, 1, 1, 8&quot;,&quot;Light2&quot;:&quot;1, 1, 1, 10&quot;},&quot;Cop&quot;:{&quot;FirstRow&quot;:true,&quot;LastRow&quot;:false,&quot;FirstColumn&quot;:false,&quot;LastColumn&quot;:false,&quot;BandedRows&quot;:false,&quot;BandedColumns&quot;:false},&quot;Aaf&quot;:false}"/>
          </w:tblPr>
          <w:tblGrid>
            <w:gridCol w:w="2069"/>
            <w:gridCol w:w="2069"/>
            <w:gridCol w:w="2070"/>
            <w:gridCol w:w="2070"/>
            <w:gridCol w:w="2070"/>
          </w:tblGrid>
          <w:tr w:rsidR="00BA4B19" w:rsidRPr="00ED33EF" w14:paraId="0A737B5D" w14:textId="7D2DAC8D" w:rsidTr="007D0284">
            <w:trPr>
              <w:trHeight w:val="283"/>
            </w:trPr>
            <w:tc>
              <w:tcPr>
                <w:tcW w:w="1000"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4809B807" w14:textId="0E7FD707" w:rsidR="00BA4B19" w:rsidRPr="00ED33EF" w:rsidRDefault="00BA4B19" w:rsidP="00BC7F5A">
                <w:pPr>
                  <w:spacing w:before="0" w:line="240" w:lineRule="auto"/>
                  <w:jc w:val="center"/>
                  <w:rPr>
                    <w:b/>
                    <w:color w:val="33A1AB" w:themeColor="accent2"/>
                    <w:sz w:val="14"/>
                    <w:szCs w:val="14"/>
                  </w:rPr>
                </w:pPr>
                <w:r w:rsidRPr="00ED33EF">
                  <w:rPr>
                    <w:b/>
                    <w:color w:val="33A1AB" w:themeColor="accent2"/>
                    <w:sz w:val="14"/>
                    <w:szCs w:val="14"/>
                  </w:rPr>
                  <w:t>Company category</w:t>
                </w:r>
              </w:p>
            </w:tc>
            <w:tc>
              <w:tcPr>
                <w:tcW w:w="1000"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37E5D084" w14:textId="13E4CA2B" w:rsidR="00BA4B19" w:rsidRPr="00ED33EF" w:rsidRDefault="00BA4B19" w:rsidP="00BC7F5A">
                <w:pPr>
                  <w:spacing w:before="0" w:line="240" w:lineRule="auto"/>
                  <w:jc w:val="center"/>
                  <w:rPr>
                    <w:b/>
                    <w:color w:val="33A1AB" w:themeColor="accent2"/>
                    <w:sz w:val="14"/>
                    <w:szCs w:val="14"/>
                  </w:rPr>
                </w:pPr>
                <w:r w:rsidRPr="00ED33EF">
                  <w:rPr>
                    <w:b/>
                    <w:color w:val="33A1AB" w:themeColor="accent2"/>
                    <w:sz w:val="14"/>
                    <w:szCs w:val="14"/>
                  </w:rPr>
                  <w:t>Employees</w:t>
                </w:r>
              </w:p>
            </w:tc>
            <w:tc>
              <w:tcPr>
                <w:tcW w:w="1000"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067D27FB" w14:textId="336E4420" w:rsidR="00BA4B19" w:rsidRPr="00ED33EF" w:rsidRDefault="00BA4B19" w:rsidP="00BC7F5A">
                <w:pPr>
                  <w:spacing w:before="0" w:line="240" w:lineRule="auto"/>
                  <w:jc w:val="center"/>
                  <w:rPr>
                    <w:b/>
                    <w:color w:val="33A1AB" w:themeColor="accent2"/>
                    <w:sz w:val="14"/>
                    <w:szCs w:val="14"/>
                  </w:rPr>
                </w:pPr>
                <w:r w:rsidRPr="00ED33EF">
                  <w:rPr>
                    <w:b/>
                    <w:color w:val="33A1AB" w:themeColor="accent2"/>
                    <w:sz w:val="14"/>
                    <w:szCs w:val="14"/>
                  </w:rPr>
                  <w:t>Turnover</w:t>
                </w:r>
              </w:p>
            </w:tc>
            <w:tc>
              <w:tcPr>
                <w:tcW w:w="1000" w:type="pct"/>
                <w:tcBorders>
                  <w:top w:val="single" w:sz="12" w:space="0" w:color="AFAFB4" w:themeColor="accent4"/>
                </w:tcBorders>
                <w:shd w:val="clear" w:color="auto" w:fill="FFFFFF" w:themeFill="background2"/>
                <w:vAlign w:val="center"/>
              </w:tcPr>
              <w:p w14:paraId="1EF63E70" w14:textId="1947F557" w:rsidR="00BA4B19" w:rsidRPr="00ED33EF" w:rsidRDefault="00BA4B19" w:rsidP="00BC7F5A">
                <w:pPr>
                  <w:spacing w:before="0" w:line="240" w:lineRule="auto"/>
                  <w:jc w:val="center"/>
                  <w:rPr>
                    <w:b/>
                    <w:color w:val="33A1AB" w:themeColor="accent2"/>
                    <w:sz w:val="14"/>
                    <w:szCs w:val="14"/>
                  </w:rPr>
                </w:pPr>
                <w:r w:rsidRPr="00ED33EF">
                  <w:rPr>
                    <w:b/>
                    <w:color w:val="33A1AB" w:themeColor="accent2"/>
                    <w:sz w:val="14"/>
                    <w:szCs w:val="14"/>
                  </w:rPr>
                  <w:t>Or</w:t>
                </w:r>
              </w:p>
            </w:tc>
            <w:tc>
              <w:tcPr>
                <w:tcW w:w="1000" w:type="pct"/>
                <w:tcBorders>
                  <w:top w:val="single" w:sz="12" w:space="0" w:color="AFAFB4" w:themeColor="accent4"/>
                </w:tcBorders>
                <w:shd w:val="clear" w:color="auto" w:fill="FFFFFF" w:themeFill="background2"/>
                <w:vAlign w:val="center"/>
              </w:tcPr>
              <w:p w14:paraId="5C4191E2" w14:textId="50BC3575" w:rsidR="00BA4B19" w:rsidRPr="00ED33EF" w:rsidRDefault="004651B4" w:rsidP="00BC7F5A">
                <w:pPr>
                  <w:spacing w:before="0" w:line="240" w:lineRule="auto"/>
                  <w:jc w:val="center"/>
                  <w:rPr>
                    <w:b/>
                    <w:color w:val="33A1AB" w:themeColor="accent2"/>
                    <w:sz w:val="14"/>
                    <w:szCs w:val="14"/>
                  </w:rPr>
                </w:pPr>
                <w:r w:rsidRPr="00ED33EF">
                  <w:rPr>
                    <w:b/>
                    <w:color w:val="33A1AB" w:themeColor="accent2"/>
                    <w:sz w:val="14"/>
                    <w:szCs w:val="14"/>
                  </w:rPr>
                  <w:t>Balance sheet total</w:t>
                </w:r>
              </w:p>
            </w:tc>
          </w:tr>
          <w:tr w:rsidR="00BA4B19" w:rsidRPr="00ED33EF" w14:paraId="7A81DC4A" w14:textId="5A868442" w:rsidTr="007D0284">
            <w:trPr>
              <w:trHeight w:val="283"/>
            </w:trPr>
            <w:tc>
              <w:tcPr>
                <w:tcW w:w="1000" w:type="pct"/>
                <w:shd w:val="clear" w:color="auto" w:fill="FFFFFF" w:themeFill="background2"/>
                <w:tcMar>
                  <w:top w:w="60" w:type="dxa"/>
                  <w:left w:w="114" w:type="dxa"/>
                  <w:bottom w:w="60" w:type="dxa"/>
                  <w:right w:w="114" w:type="dxa"/>
                </w:tcMar>
                <w:vAlign w:val="center"/>
              </w:tcPr>
              <w:p w14:paraId="040D6B23" w14:textId="0DBD286D" w:rsidR="00BA4B19" w:rsidRPr="00ED33EF" w:rsidRDefault="00BA4B19" w:rsidP="00BC7F5A">
                <w:pPr>
                  <w:pStyle w:val="TableIndent3"/>
                  <w:spacing w:before="0" w:after="0"/>
                  <w:jc w:val="center"/>
                  <w:rPr>
                    <w:sz w:val="14"/>
                    <w:szCs w:val="14"/>
                  </w:rPr>
                </w:pPr>
                <w:r w:rsidRPr="00ED33EF">
                  <w:rPr>
                    <w:rFonts w:cs="Segoe UI"/>
                    <w:b/>
                    <w:sz w:val="14"/>
                    <w:szCs w:val="14"/>
                    <w:lang w:val="en-GB" w:eastAsia="it-IT"/>
                  </w:rPr>
                  <w:t>Medium</w:t>
                </w:r>
              </w:p>
            </w:tc>
            <w:tc>
              <w:tcPr>
                <w:tcW w:w="1000" w:type="pct"/>
                <w:shd w:val="clear" w:color="auto" w:fill="FFFFFF" w:themeFill="background2"/>
                <w:tcMar>
                  <w:top w:w="60" w:type="dxa"/>
                  <w:left w:w="114" w:type="dxa"/>
                  <w:bottom w:w="60" w:type="dxa"/>
                  <w:right w:w="114" w:type="dxa"/>
                </w:tcMar>
                <w:vAlign w:val="center"/>
              </w:tcPr>
              <w:p w14:paraId="11D3C594" w14:textId="2CC49F3D" w:rsidR="00BA4B19" w:rsidRPr="00ED33EF" w:rsidRDefault="00BA4B19" w:rsidP="00BC7F5A">
                <w:pPr>
                  <w:pStyle w:val="TableTextLeft"/>
                  <w:spacing w:before="0" w:after="0"/>
                  <w:jc w:val="center"/>
                  <w:rPr>
                    <w:sz w:val="14"/>
                    <w:szCs w:val="14"/>
                  </w:rPr>
                </w:pPr>
                <w:r w:rsidRPr="00ED33EF">
                  <w:rPr>
                    <w:rFonts w:cs="Segoe UI"/>
                    <w:sz w:val="14"/>
                    <w:szCs w:val="14"/>
                    <w:lang w:eastAsia="it-IT"/>
                  </w:rPr>
                  <w:t>&lt; 250</w:t>
                </w:r>
              </w:p>
            </w:tc>
            <w:tc>
              <w:tcPr>
                <w:tcW w:w="1000" w:type="pct"/>
                <w:shd w:val="clear" w:color="auto" w:fill="FFFFFF" w:themeFill="background2"/>
                <w:tcMar>
                  <w:top w:w="60" w:type="dxa"/>
                  <w:left w:w="114" w:type="dxa"/>
                  <w:bottom w:w="60" w:type="dxa"/>
                  <w:right w:w="114" w:type="dxa"/>
                </w:tcMar>
                <w:vAlign w:val="center"/>
              </w:tcPr>
              <w:p w14:paraId="044F8A86" w14:textId="0E1D9F23" w:rsidR="00BA4B19" w:rsidRPr="00ED33EF" w:rsidRDefault="00BA4B19" w:rsidP="00BC7F5A">
                <w:pPr>
                  <w:pStyle w:val="TableTextLeft"/>
                  <w:spacing w:before="0" w:after="0"/>
                  <w:jc w:val="center"/>
                  <w:rPr>
                    <w:sz w:val="14"/>
                    <w:szCs w:val="14"/>
                  </w:rPr>
                </w:pPr>
                <w:r w:rsidRPr="00ED33EF">
                  <w:rPr>
                    <w:rFonts w:cs="Segoe UI"/>
                    <w:sz w:val="14"/>
                    <w:szCs w:val="14"/>
                    <w:lang w:eastAsia="it-IT"/>
                  </w:rPr>
                  <w:t>≤ 50 million €</w:t>
                </w:r>
              </w:p>
            </w:tc>
            <w:tc>
              <w:tcPr>
                <w:tcW w:w="1000" w:type="pct"/>
                <w:shd w:val="clear" w:color="auto" w:fill="FFFFFF" w:themeFill="background2"/>
                <w:vAlign w:val="center"/>
              </w:tcPr>
              <w:p w14:paraId="369505A8" w14:textId="216EA921" w:rsidR="00BA4B19" w:rsidRPr="00ED33EF" w:rsidRDefault="00BA4B19" w:rsidP="00BC7F5A">
                <w:pPr>
                  <w:pStyle w:val="TableTextLeft"/>
                  <w:spacing w:before="0" w:after="0"/>
                  <w:jc w:val="center"/>
                  <w:rPr>
                    <w:sz w:val="14"/>
                    <w:szCs w:val="14"/>
                  </w:rPr>
                </w:pPr>
                <w:r w:rsidRPr="00ED33EF">
                  <w:rPr>
                    <w:rFonts w:cs="Segoe UI"/>
                    <w:sz w:val="14"/>
                    <w:szCs w:val="14"/>
                    <w:lang w:eastAsia="it-IT"/>
                  </w:rPr>
                  <w:t>Or</w:t>
                </w:r>
              </w:p>
            </w:tc>
            <w:tc>
              <w:tcPr>
                <w:tcW w:w="1000" w:type="pct"/>
                <w:shd w:val="clear" w:color="auto" w:fill="FFFFFF" w:themeFill="background2"/>
                <w:vAlign w:val="center"/>
              </w:tcPr>
              <w:p w14:paraId="758CCD29" w14:textId="2D5B1F4C" w:rsidR="00BA4B19" w:rsidRPr="00ED33EF" w:rsidRDefault="00BA4B19" w:rsidP="00BC7F5A">
                <w:pPr>
                  <w:pStyle w:val="TableTextLeft"/>
                  <w:spacing w:before="0" w:after="0"/>
                  <w:jc w:val="center"/>
                  <w:rPr>
                    <w:sz w:val="14"/>
                    <w:szCs w:val="14"/>
                  </w:rPr>
                </w:pPr>
                <w:r w:rsidRPr="00ED33EF">
                  <w:rPr>
                    <w:rFonts w:cs="Segoe UI"/>
                    <w:sz w:val="14"/>
                    <w:szCs w:val="14"/>
                    <w:lang w:eastAsia="it-IT"/>
                  </w:rPr>
                  <w:t>≤ 43 million €</w:t>
                </w:r>
              </w:p>
            </w:tc>
          </w:tr>
          <w:tr w:rsidR="00BA4B19" w:rsidRPr="00ED33EF" w14:paraId="1CFB940D" w14:textId="77777777" w:rsidTr="007D0284">
            <w:trPr>
              <w:trHeight w:val="283"/>
            </w:trPr>
            <w:tc>
              <w:tcPr>
                <w:tcW w:w="1000" w:type="pct"/>
                <w:shd w:val="clear" w:color="auto" w:fill="FFFFFF" w:themeFill="background2"/>
                <w:tcMar>
                  <w:top w:w="60" w:type="dxa"/>
                  <w:left w:w="114" w:type="dxa"/>
                  <w:bottom w:w="60" w:type="dxa"/>
                  <w:right w:w="114" w:type="dxa"/>
                </w:tcMar>
                <w:vAlign w:val="center"/>
              </w:tcPr>
              <w:p w14:paraId="7E9368CD" w14:textId="7A6B6879" w:rsidR="00BA4B19" w:rsidRPr="00ED33EF" w:rsidRDefault="00BA4B19" w:rsidP="00BC7F5A">
                <w:pPr>
                  <w:pStyle w:val="TableIndent3"/>
                  <w:spacing w:before="0" w:after="0"/>
                  <w:jc w:val="center"/>
                  <w:rPr>
                    <w:rFonts w:cs="Segoe UI"/>
                    <w:b/>
                    <w:sz w:val="14"/>
                    <w:szCs w:val="14"/>
                    <w:lang w:val="en-GB" w:eastAsia="it-IT"/>
                  </w:rPr>
                </w:pPr>
                <w:r w:rsidRPr="00ED33EF">
                  <w:rPr>
                    <w:rFonts w:cs="Segoe UI"/>
                    <w:b/>
                    <w:sz w:val="14"/>
                    <w:szCs w:val="14"/>
                    <w:lang w:val="en-GB" w:eastAsia="it-IT"/>
                  </w:rPr>
                  <w:t>Small</w:t>
                </w:r>
              </w:p>
            </w:tc>
            <w:tc>
              <w:tcPr>
                <w:tcW w:w="1000" w:type="pct"/>
                <w:shd w:val="clear" w:color="auto" w:fill="FFFFFF" w:themeFill="background2"/>
                <w:tcMar>
                  <w:top w:w="60" w:type="dxa"/>
                  <w:left w:w="114" w:type="dxa"/>
                  <w:bottom w:w="60" w:type="dxa"/>
                  <w:right w:w="114" w:type="dxa"/>
                </w:tcMar>
                <w:vAlign w:val="center"/>
              </w:tcPr>
              <w:p w14:paraId="78288ACA" w14:textId="0593DB2D" w:rsidR="00BA4B19" w:rsidRPr="00ED33EF" w:rsidRDefault="00BA4B19" w:rsidP="00BC7F5A">
                <w:pPr>
                  <w:pStyle w:val="TableTextLeft"/>
                  <w:spacing w:before="0" w:after="0"/>
                  <w:jc w:val="center"/>
                  <w:rPr>
                    <w:rFonts w:cs="Segoe UI"/>
                    <w:sz w:val="14"/>
                    <w:szCs w:val="14"/>
                    <w:lang w:eastAsia="it-IT"/>
                  </w:rPr>
                </w:pPr>
                <w:r w:rsidRPr="00ED33EF">
                  <w:rPr>
                    <w:rFonts w:cs="Segoe UI"/>
                    <w:sz w:val="14"/>
                    <w:szCs w:val="14"/>
                    <w:lang w:eastAsia="it-IT"/>
                  </w:rPr>
                  <w:t>&lt; 50</w:t>
                </w:r>
              </w:p>
            </w:tc>
            <w:tc>
              <w:tcPr>
                <w:tcW w:w="1000" w:type="pct"/>
                <w:shd w:val="clear" w:color="auto" w:fill="FFFFFF" w:themeFill="background2"/>
                <w:tcMar>
                  <w:top w:w="60" w:type="dxa"/>
                  <w:left w:w="114" w:type="dxa"/>
                  <w:bottom w:w="60" w:type="dxa"/>
                  <w:right w:w="114" w:type="dxa"/>
                </w:tcMar>
                <w:vAlign w:val="center"/>
              </w:tcPr>
              <w:p w14:paraId="46614D36" w14:textId="144C1282" w:rsidR="00BA4B19" w:rsidRPr="00ED33EF" w:rsidRDefault="00BA4B19" w:rsidP="00BC7F5A">
                <w:pPr>
                  <w:pStyle w:val="TableTextLeft"/>
                  <w:spacing w:before="0" w:after="0"/>
                  <w:jc w:val="center"/>
                  <w:rPr>
                    <w:rFonts w:cs="Segoe UI"/>
                    <w:sz w:val="14"/>
                    <w:szCs w:val="14"/>
                    <w:lang w:eastAsia="it-IT"/>
                  </w:rPr>
                </w:pPr>
                <w:r w:rsidRPr="00ED33EF">
                  <w:rPr>
                    <w:rFonts w:cs="Segoe UI"/>
                    <w:sz w:val="14"/>
                    <w:szCs w:val="14"/>
                    <w:lang w:eastAsia="it-IT"/>
                  </w:rPr>
                  <w:t>≤ 10 million €</w:t>
                </w:r>
              </w:p>
            </w:tc>
            <w:tc>
              <w:tcPr>
                <w:tcW w:w="1000" w:type="pct"/>
                <w:shd w:val="clear" w:color="auto" w:fill="FFFFFF" w:themeFill="background2"/>
                <w:vAlign w:val="center"/>
              </w:tcPr>
              <w:p w14:paraId="1DDBE4C4" w14:textId="456ED1CE" w:rsidR="00BA4B19" w:rsidRPr="00ED33EF" w:rsidRDefault="00BA4B19" w:rsidP="00BC7F5A">
                <w:pPr>
                  <w:pStyle w:val="TableTextLeft"/>
                  <w:spacing w:before="0" w:after="0"/>
                  <w:jc w:val="center"/>
                  <w:rPr>
                    <w:rFonts w:cs="Segoe UI"/>
                    <w:sz w:val="14"/>
                    <w:szCs w:val="14"/>
                    <w:lang w:eastAsia="it-IT"/>
                  </w:rPr>
                </w:pPr>
                <w:r w:rsidRPr="00ED33EF">
                  <w:rPr>
                    <w:rFonts w:cs="Segoe UI"/>
                    <w:sz w:val="14"/>
                    <w:szCs w:val="14"/>
                    <w:lang w:eastAsia="it-IT"/>
                  </w:rPr>
                  <w:t>Or</w:t>
                </w:r>
              </w:p>
            </w:tc>
            <w:tc>
              <w:tcPr>
                <w:tcW w:w="1000" w:type="pct"/>
                <w:shd w:val="clear" w:color="auto" w:fill="FFFFFF" w:themeFill="background2"/>
                <w:vAlign w:val="center"/>
              </w:tcPr>
              <w:p w14:paraId="17E3E602" w14:textId="477397BD" w:rsidR="00BA4B19" w:rsidRPr="00ED33EF" w:rsidRDefault="00BA4B19" w:rsidP="00BC7F5A">
                <w:pPr>
                  <w:pStyle w:val="TableTextLeft"/>
                  <w:spacing w:before="0" w:after="0"/>
                  <w:jc w:val="center"/>
                  <w:rPr>
                    <w:rFonts w:cs="Segoe UI"/>
                    <w:sz w:val="14"/>
                    <w:szCs w:val="14"/>
                    <w:lang w:eastAsia="it-IT"/>
                  </w:rPr>
                </w:pPr>
                <w:r w:rsidRPr="00ED33EF">
                  <w:rPr>
                    <w:rFonts w:cs="Segoe UI"/>
                    <w:sz w:val="14"/>
                    <w:szCs w:val="14"/>
                    <w:lang w:eastAsia="it-IT"/>
                  </w:rPr>
                  <w:t>≤ 10 million €</w:t>
                </w:r>
              </w:p>
            </w:tc>
          </w:tr>
          <w:tr w:rsidR="00BA4B19" w:rsidRPr="00ED33EF" w14:paraId="55713757" w14:textId="77777777" w:rsidTr="007D0284">
            <w:trPr>
              <w:trHeight w:val="283"/>
            </w:trPr>
            <w:tc>
              <w:tcPr>
                <w:tcW w:w="1000" w:type="pct"/>
                <w:shd w:val="clear" w:color="auto" w:fill="FFFFFF" w:themeFill="background2"/>
                <w:tcMar>
                  <w:top w:w="60" w:type="dxa"/>
                  <w:left w:w="114" w:type="dxa"/>
                  <w:bottom w:w="60" w:type="dxa"/>
                  <w:right w:w="114" w:type="dxa"/>
                </w:tcMar>
                <w:vAlign w:val="center"/>
              </w:tcPr>
              <w:p w14:paraId="1E88296A" w14:textId="7364FA51" w:rsidR="00BA4B19" w:rsidRPr="00ED33EF" w:rsidRDefault="00BA4B19" w:rsidP="00BC7F5A">
                <w:pPr>
                  <w:pStyle w:val="TableIndent3"/>
                  <w:spacing w:before="0" w:after="0"/>
                  <w:jc w:val="center"/>
                  <w:rPr>
                    <w:rFonts w:cs="Segoe UI"/>
                    <w:b/>
                    <w:sz w:val="14"/>
                    <w:szCs w:val="14"/>
                    <w:lang w:val="en-GB" w:eastAsia="it-IT"/>
                  </w:rPr>
                </w:pPr>
                <w:r w:rsidRPr="00ED33EF">
                  <w:rPr>
                    <w:rFonts w:cs="Segoe UI"/>
                    <w:b/>
                    <w:sz w:val="14"/>
                    <w:szCs w:val="14"/>
                    <w:lang w:val="en-GB" w:eastAsia="it-IT"/>
                  </w:rPr>
                  <w:t>Micro</w:t>
                </w:r>
              </w:p>
            </w:tc>
            <w:tc>
              <w:tcPr>
                <w:tcW w:w="1000" w:type="pct"/>
                <w:shd w:val="clear" w:color="auto" w:fill="FFFFFF" w:themeFill="background2"/>
                <w:tcMar>
                  <w:top w:w="60" w:type="dxa"/>
                  <w:left w:w="114" w:type="dxa"/>
                  <w:bottom w:w="60" w:type="dxa"/>
                  <w:right w:w="114" w:type="dxa"/>
                </w:tcMar>
                <w:vAlign w:val="center"/>
              </w:tcPr>
              <w:p w14:paraId="68A983E6" w14:textId="03E3DCFB" w:rsidR="00BA4B19" w:rsidRPr="00ED33EF" w:rsidRDefault="00BA4B19" w:rsidP="00BC7F5A">
                <w:pPr>
                  <w:pStyle w:val="TableTextLeft"/>
                  <w:spacing w:before="0" w:after="0"/>
                  <w:jc w:val="center"/>
                  <w:rPr>
                    <w:rFonts w:cs="Segoe UI"/>
                    <w:sz w:val="14"/>
                    <w:szCs w:val="14"/>
                    <w:lang w:eastAsia="it-IT"/>
                  </w:rPr>
                </w:pPr>
                <w:r w:rsidRPr="00ED33EF">
                  <w:rPr>
                    <w:rFonts w:cs="Segoe UI"/>
                    <w:sz w:val="14"/>
                    <w:szCs w:val="14"/>
                    <w:lang w:eastAsia="it-IT"/>
                  </w:rPr>
                  <w:t>&lt; 10</w:t>
                </w:r>
              </w:p>
            </w:tc>
            <w:tc>
              <w:tcPr>
                <w:tcW w:w="1000" w:type="pct"/>
                <w:shd w:val="clear" w:color="auto" w:fill="FFFFFF" w:themeFill="background2"/>
                <w:tcMar>
                  <w:top w:w="60" w:type="dxa"/>
                  <w:left w:w="114" w:type="dxa"/>
                  <w:bottom w:w="60" w:type="dxa"/>
                  <w:right w:w="114" w:type="dxa"/>
                </w:tcMar>
                <w:vAlign w:val="center"/>
              </w:tcPr>
              <w:p w14:paraId="4A35F7D4" w14:textId="57A13DDB" w:rsidR="00BA4B19" w:rsidRPr="00ED33EF" w:rsidRDefault="00BA4B19" w:rsidP="00BC7F5A">
                <w:pPr>
                  <w:pStyle w:val="TableTextLeft"/>
                  <w:spacing w:before="0" w:after="0"/>
                  <w:jc w:val="center"/>
                  <w:rPr>
                    <w:rFonts w:cs="Segoe UI"/>
                    <w:sz w:val="14"/>
                    <w:szCs w:val="14"/>
                    <w:lang w:eastAsia="it-IT"/>
                  </w:rPr>
                </w:pPr>
                <w:r w:rsidRPr="00ED33EF">
                  <w:rPr>
                    <w:rFonts w:cs="Segoe UI"/>
                    <w:sz w:val="14"/>
                    <w:szCs w:val="14"/>
                    <w:lang w:eastAsia="it-IT"/>
                  </w:rPr>
                  <w:t>≤ 2 million €</w:t>
                </w:r>
              </w:p>
            </w:tc>
            <w:tc>
              <w:tcPr>
                <w:tcW w:w="1000" w:type="pct"/>
                <w:shd w:val="clear" w:color="auto" w:fill="FFFFFF" w:themeFill="background2"/>
                <w:vAlign w:val="center"/>
              </w:tcPr>
              <w:p w14:paraId="137161BA" w14:textId="5FCEEEFF" w:rsidR="00BA4B19" w:rsidRPr="00ED33EF" w:rsidRDefault="00BA4B19" w:rsidP="00BC7F5A">
                <w:pPr>
                  <w:pStyle w:val="TableTextLeft"/>
                  <w:spacing w:before="0" w:after="0"/>
                  <w:jc w:val="center"/>
                  <w:rPr>
                    <w:rFonts w:cs="Segoe UI"/>
                    <w:sz w:val="14"/>
                    <w:szCs w:val="14"/>
                    <w:lang w:eastAsia="it-IT"/>
                  </w:rPr>
                </w:pPr>
                <w:r w:rsidRPr="00ED33EF">
                  <w:rPr>
                    <w:rFonts w:cs="Segoe UI"/>
                    <w:sz w:val="14"/>
                    <w:szCs w:val="14"/>
                    <w:lang w:eastAsia="it-IT"/>
                  </w:rPr>
                  <w:t>Or</w:t>
                </w:r>
              </w:p>
            </w:tc>
            <w:tc>
              <w:tcPr>
                <w:tcW w:w="1000" w:type="pct"/>
                <w:shd w:val="clear" w:color="auto" w:fill="FFFFFF" w:themeFill="background2"/>
                <w:vAlign w:val="center"/>
              </w:tcPr>
              <w:p w14:paraId="7FBECAA6" w14:textId="20B390D1" w:rsidR="00BA4B19" w:rsidRPr="00ED33EF" w:rsidRDefault="00BA4B19" w:rsidP="00BC7F5A">
                <w:pPr>
                  <w:pStyle w:val="TableTextLeft"/>
                  <w:spacing w:before="0" w:after="0"/>
                  <w:jc w:val="center"/>
                  <w:rPr>
                    <w:rFonts w:cs="Segoe UI"/>
                    <w:sz w:val="14"/>
                    <w:szCs w:val="14"/>
                    <w:lang w:eastAsia="it-IT"/>
                  </w:rPr>
                </w:pPr>
                <w:r w:rsidRPr="00ED33EF">
                  <w:rPr>
                    <w:rFonts w:cs="Segoe UI"/>
                    <w:sz w:val="14"/>
                    <w:szCs w:val="14"/>
                    <w:lang w:eastAsia="it-IT"/>
                  </w:rPr>
                  <w:t>≤ 2 million €</w:t>
                </w:r>
              </w:p>
            </w:tc>
          </w:tr>
        </w:tbl>
        <w:p w14:paraId="32001CD2" w14:textId="77777777" w:rsidR="00E57760" w:rsidRDefault="00E57760" w:rsidP="004101BF">
          <w:pPr>
            <w:rPr>
              <w:rFonts w:cs="Segoe UI"/>
              <w:lang w:val="en-GB"/>
            </w:rPr>
          </w:pPr>
        </w:p>
        <w:p w14:paraId="0484E550" w14:textId="012CC879" w:rsidR="00A73CBE" w:rsidRDefault="004101BF" w:rsidP="004101BF">
          <w:pPr>
            <w:rPr>
              <w:rFonts w:cs="Segoe UI"/>
              <w:lang w:val="en-GB"/>
            </w:rPr>
          </w:pPr>
          <w:r w:rsidRPr="0032337D">
            <w:rPr>
              <w:rFonts w:cs="Segoe UI"/>
              <w:lang w:val="en-GB"/>
            </w:rPr>
            <w:t>For the</w:t>
          </w:r>
          <w:r w:rsidR="00392DAA">
            <w:rPr>
              <w:rFonts w:cs="Segoe UI"/>
              <w:lang w:val="en-GB"/>
            </w:rPr>
            <w:t xml:space="preserve"> purposes of the</w:t>
          </w:r>
          <w:r w:rsidRPr="0032337D">
            <w:rPr>
              <w:rFonts w:cs="Segoe UI"/>
              <w:lang w:val="en-GB"/>
            </w:rPr>
            <w:t xml:space="preserve"> research</w:t>
          </w:r>
          <w:r w:rsidR="00C14B1B">
            <w:rPr>
              <w:rFonts w:cs="Segoe UI"/>
              <w:lang w:val="en-GB"/>
            </w:rPr>
            <w:t>,</w:t>
          </w:r>
          <w:r w:rsidRPr="0032337D">
            <w:rPr>
              <w:rFonts w:cs="Segoe UI"/>
              <w:lang w:val="en-GB"/>
            </w:rPr>
            <w:t xml:space="preserve"> the companies which do not </w:t>
          </w:r>
          <w:r w:rsidR="00392DAA">
            <w:rPr>
              <w:rFonts w:cs="Segoe UI"/>
              <w:lang w:val="en-GB"/>
            </w:rPr>
            <w:t>meet</w:t>
          </w:r>
          <w:r w:rsidRPr="0032337D">
            <w:rPr>
              <w:rFonts w:cs="Segoe UI"/>
              <w:lang w:val="en-GB"/>
            </w:rPr>
            <w:t xml:space="preserve"> the above criteria are considered </w:t>
          </w:r>
          <w:r w:rsidR="00885E47">
            <w:rPr>
              <w:rFonts w:cs="Segoe UI"/>
              <w:lang w:val="en-GB"/>
            </w:rPr>
            <w:t>l</w:t>
          </w:r>
          <w:r w:rsidRPr="0032337D">
            <w:rPr>
              <w:rFonts w:cs="Segoe UI"/>
              <w:lang w:val="en-GB"/>
            </w:rPr>
            <w:t>arge companies.</w:t>
          </w:r>
        </w:p>
        <w:p w14:paraId="2F7D764A" w14:textId="5FDA95AA" w:rsidR="003A79C4" w:rsidRPr="0032337D" w:rsidRDefault="003A79C4" w:rsidP="003A79C4">
          <w:pPr>
            <w:pStyle w:val="Didascalia"/>
            <w:rPr>
              <w:rFonts w:ascii="Segoe UI" w:hAnsi="Segoe UI" w:cs="Segoe UI"/>
              <w:bCs/>
              <w:i/>
              <w:color w:val="002E5A" w:themeColor="text2"/>
              <w:sz w:val="14"/>
              <w:szCs w:val="24"/>
              <w:lang w:val="en-GB"/>
            </w:rPr>
          </w:pPr>
          <w:bookmarkStart w:id="18" w:name="_Toc166675643"/>
          <w:bookmarkStart w:id="19" w:name="_Toc167131770"/>
          <w:r w:rsidRPr="0032337D">
            <w:rPr>
              <w:rFonts w:ascii="Segoe UI" w:hAnsi="Segoe UI" w:cs="Segoe UI"/>
              <w:i/>
              <w:color w:val="002E5A" w:themeColor="text2"/>
              <w:sz w:val="14"/>
              <w:szCs w:val="24"/>
              <w:lang w:val="en-GB"/>
            </w:rPr>
            <w:t xml:space="preserve">Exhibit </w:t>
          </w:r>
          <w:r>
            <w:rPr>
              <w:rFonts w:ascii="Segoe UI" w:hAnsi="Segoe UI" w:cs="Segoe UI"/>
              <w:bCs/>
              <w:i/>
              <w:color w:val="002E5A" w:themeColor="text2"/>
              <w:sz w:val="14"/>
              <w:szCs w:val="24"/>
              <w:lang w:val="en-GB"/>
            </w:rPr>
            <w:fldChar w:fldCharType="begin"/>
          </w:r>
          <w:r>
            <w:rPr>
              <w:rFonts w:ascii="Segoe UI" w:hAnsi="Segoe UI" w:cs="Segoe UI"/>
              <w:i/>
              <w:color w:val="002E5A" w:themeColor="text2"/>
              <w:sz w:val="14"/>
              <w:szCs w:val="24"/>
              <w:lang w:val="en-GB"/>
            </w:rPr>
            <w:instrText xml:space="preserve"> SEQ Exhibit \* ARABIC </w:instrText>
          </w:r>
          <w:r>
            <w:rPr>
              <w:rFonts w:ascii="Segoe UI" w:hAnsi="Segoe UI" w:cs="Segoe UI"/>
              <w:bCs/>
              <w:i/>
              <w:color w:val="002E5A" w:themeColor="text2"/>
              <w:sz w:val="14"/>
              <w:szCs w:val="24"/>
              <w:lang w:val="en-GB"/>
            </w:rPr>
            <w:fldChar w:fldCharType="separate"/>
          </w:r>
          <w:r w:rsidR="009857B6">
            <w:rPr>
              <w:rFonts w:ascii="Segoe UI" w:hAnsi="Segoe UI" w:cs="Segoe UI"/>
              <w:i/>
              <w:noProof/>
              <w:color w:val="002E5A" w:themeColor="text2"/>
              <w:sz w:val="14"/>
              <w:szCs w:val="24"/>
              <w:lang w:val="en-GB"/>
            </w:rPr>
            <w:t>2</w:t>
          </w:r>
          <w:r>
            <w:rPr>
              <w:rFonts w:ascii="Segoe UI" w:hAnsi="Segoe UI" w:cs="Segoe UI"/>
              <w:bCs/>
              <w:i/>
              <w:color w:val="002E5A" w:themeColor="text2"/>
              <w:sz w:val="14"/>
              <w:szCs w:val="24"/>
              <w:lang w:val="en-GB"/>
            </w:rPr>
            <w:fldChar w:fldCharType="end"/>
          </w:r>
          <w:r w:rsidRPr="0032337D">
            <w:rPr>
              <w:rFonts w:ascii="Segoe UI" w:hAnsi="Segoe UI" w:cs="Segoe UI"/>
              <w:i/>
              <w:color w:val="002E5A" w:themeColor="text2"/>
              <w:sz w:val="14"/>
              <w:szCs w:val="24"/>
              <w:lang w:val="en-GB"/>
            </w:rPr>
            <w:t xml:space="preserve">: </w:t>
          </w:r>
          <w:r w:rsidR="000215CF">
            <w:rPr>
              <w:rFonts w:ascii="Segoe UI" w:hAnsi="Segoe UI" w:cs="Segoe UI"/>
              <w:i/>
              <w:color w:val="002E5A" w:themeColor="text2"/>
              <w:sz w:val="14"/>
              <w:szCs w:val="24"/>
              <w:lang w:val="en-GB"/>
            </w:rPr>
            <w:t>C</w:t>
          </w:r>
          <w:r w:rsidRPr="0032337D">
            <w:rPr>
              <w:rFonts w:ascii="Segoe UI" w:hAnsi="Segoe UI" w:cs="Segoe UI"/>
              <w:i/>
              <w:color w:val="002E5A" w:themeColor="text2"/>
              <w:sz w:val="14"/>
              <w:szCs w:val="24"/>
              <w:lang w:val="en-GB"/>
            </w:rPr>
            <w:t>omposition of</w:t>
          </w:r>
          <w:r w:rsidR="000215CF">
            <w:rPr>
              <w:rFonts w:ascii="Segoe UI" w:hAnsi="Segoe UI" w:cs="Segoe UI"/>
              <w:i/>
              <w:color w:val="002E5A" w:themeColor="text2"/>
              <w:sz w:val="14"/>
              <w:szCs w:val="24"/>
              <w:lang w:val="en-GB"/>
            </w:rPr>
            <w:t xml:space="preserve"> the</w:t>
          </w:r>
          <w:r w:rsidRPr="0032337D">
            <w:rPr>
              <w:rFonts w:ascii="Segoe UI" w:hAnsi="Segoe UI" w:cs="Segoe UI"/>
              <w:i/>
              <w:color w:val="002E5A" w:themeColor="text2"/>
              <w:sz w:val="14"/>
              <w:szCs w:val="24"/>
              <w:lang w:val="en-GB"/>
            </w:rPr>
            <w:t xml:space="preserve"> </w:t>
          </w:r>
          <w:r w:rsidR="000215CF">
            <w:rPr>
              <w:rFonts w:ascii="Segoe UI" w:hAnsi="Segoe UI" w:cs="Segoe UI"/>
              <w:i/>
              <w:color w:val="002E5A" w:themeColor="text2"/>
              <w:sz w:val="14"/>
              <w:szCs w:val="24"/>
              <w:lang w:val="en-GB"/>
            </w:rPr>
            <w:t xml:space="preserve">portfolio’s </w:t>
          </w:r>
          <w:r w:rsidRPr="0032337D">
            <w:rPr>
              <w:rFonts w:ascii="Segoe UI" w:hAnsi="Segoe UI" w:cs="Segoe UI"/>
              <w:i/>
              <w:color w:val="002E5A" w:themeColor="text2"/>
              <w:sz w:val="14"/>
              <w:szCs w:val="24"/>
              <w:lang w:val="en-GB"/>
            </w:rPr>
            <w:t>rated entities portfolio 2008 – 20</w:t>
          </w:r>
          <w:r>
            <w:rPr>
              <w:rFonts w:ascii="Segoe UI" w:hAnsi="Segoe UI" w:cs="Segoe UI"/>
              <w:i/>
              <w:color w:val="002E5A" w:themeColor="text2"/>
              <w:sz w:val="14"/>
              <w:szCs w:val="24"/>
              <w:lang w:val="en-GB"/>
            </w:rPr>
            <w:t>22</w:t>
          </w:r>
          <w:bookmarkEnd w:id="18"/>
          <w:bookmarkEnd w:id="19"/>
        </w:p>
        <w:tbl>
          <w:tblPr>
            <w:tblW w:w="5000" w:type="pct"/>
            <w:tblBorders>
              <w:top w:val="single" w:sz="4" w:space="0" w:color="AFAFB4" w:themeColor="accent4"/>
              <w:bottom w:val="single" w:sz="4" w:space="0" w:color="AFAFB4" w:themeColor="accent4"/>
              <w:insideH w:val="single" w:sz="4" w:space="0" w:color="AFAFB4" w:themeColor="accent4"/>
            </w:tblBorders>
            <w:shd w:val="clear" w:color="auto" w:fill="FFFFFF" w:themeFill="background2"/>
            <w:tblCellMar>
              <w:left w:w="0" w:type="dxa"/>
              <w:right w:w="0" w:type="dxa"/>
            </w:tblCellMar>
            <w:tblLook w:val="0620" w:firstRow="1" w:lastRow="0" w:firstColumn="0" w:lastColumn="0" w:noHBand="1" w:noVBand="1"/>
            <w:tblDescription w:val="{&quot;Ott&quot;:{&quot;FirstRow&quot;:{&quot;BackgroundColor&quot;:{&quot;Key&quot;:&quot;Light2&quot;},&quot;Font&quot;:{&quot;Name&quot;:&quot;Source Sans Pro&quot;,&quot;Size&quot;:14.0,&quot;Bold&quot;:false,&quot;Italic&quot;:false,&quot;Color&quot;:{&quot;Key&quot;:&quot;Dark2&quot;}},&quot;ExcelCellFormatting&quot;:&quot;General&quot;,&quot;Alignment&quot;:{&quot;Horizontal&quot;:&quot;Left&quot;,&quot;Vertical&quot;:&quot;Bottom&quot;},&quot;Borders&quot;:{&quot;Vertical&quot;:{&quot;Visible&quot;:false},&quot;Left&quot;:{&quot;Visible&quot;:false},&quot;Top&quot;:{&quot;Visible&quot;:false},&quot;Right&quot;:{&quot;Visible&quot;:false},&quot;Bottom&quot;:{&quot;Color&quot;:{&quot;Key&quot;:&quot;Accent4&quot;},&quot;BorderWeight&quot;:&quot;Pt1_5&quot;,&quot;Type&quot;:&quot;Solid&quot;,&quot;Visible&quot;:true}}},&quot;FitRowHeightPp&quot;:true,&quot;ZeroMarginsWord&quot;:true,&quot;BackgroundColor&quot;:{&quot;Key&quot;:&quot;Light2&quot;},&quot;Font&quot;:{&quot;Name&quot;:&quot;Source Sans Pro&quot;,&quot;Size&quot;:11.0,&quot;Bold&quot;:false,&quot;Italic&quot;:false,&quot;Color&quot;:{&quot;Key&quot;:&quot;Dark2&quot;}},&quot;LineSpacing&quot;:{&quot;Rule&quot;:&quot;Single&quot;},&quot;Alignment&quot;:{&quot;Horizontal&quot;:&quot;Left&quot;,&quot;Vertical&quot;:&quot;Top&quot;},&quot;Margin&quot;:{&quot;Left&quot;:5.7,&quot;Top&quot;:3.0,&quot;Right&quot;:5.7,&quot;Bottom&quot;:3.0},&quot;Borders&quot;:{&quot;Vertical&quot;:{&quot;Visible&quot;:false},&quot;Horizontal&quot;:{&quot;Color&quot;:{&quot;Key&quot;:&quot;Accent4&quot;},&quot;BorderWeight&quot;:&quot;Pt0_5&quot;,&quot;Type&quot;:&quot;Solid&quot;,&quot;Visible&quot;:true}},&quot;ParagraphSpacing&quot;:{&quot;SpaceBefore&quot;:2.0,&quot;SpaceAfter&quot;:2.0},&quot;ExcelWrapText&quot;:true},&quot;Ccs&quot;:{&quot;DarkBlue&quot;:&quot;0, 20, 55&quot;,&quot;Turquoise&quot;:&quot;0, 164, 230&quot;,&quot;Red&quot;:&quot;214, 70, 65&quot;,&quot;LightGrey&quot;:&quot;174, 174, 180&quot;,&quot;BlueGrey&quot;:&quot;77, 91, 115&quot;,&quot;IceBlue&quot;:&quot;178, 184, 195&quot;,&quot;Grey&quot;:&quot;145, 147, 153&quot;,&quot;Background&quot;:&quot;0, 0, 0, 0&quot;,&quot;White&quot;:&quot;White&quot;,&quot;Accent1&quot;:&quot;1, 1, 1, 1&quot;,&quot;Accent2&quot;:&quot;1, 1, 1, 2&quot;,&quot;Accent3&quot;:&quot;1, 1, 1, 3&quot;,&quot;Accent4&quot;:&quot;1, 1, 1, 4&quot;,&quot;Accent5&quot;:&quot;1, 1, 1, 5&quot;,&quot;Accent6&quot;:&quot;1, 1, 1, 6&quot;,&quot;Dark1&quot;:&quot;1, 1, 1, 7&quot;,&quot;Dark2&quot;:&quot;1, 1, 1, 9&quot;,&quot;Light1&quot;:&quot;1, 1, 1, 8&quot;,&quot;Light2&quot;:&quot;1, 1, 1, 10&quot;},&quot;Cop&quot;:{&quot;FirstRow&quot;:true,&quot;LastRow&quot;:false,&quot;FirstColumn&quot;:false,&quot;LastColumn&quot;:false,&quot;BandedRows&quot;:false,&quot;BandedColumns&quot;:false},&quot;Aaf&quot;:false}"/>
          </w:tblPr>
          <w:tblGrid>
            <w:gridCol w:w="1369"/>
            <w:gridCol w:w="1283"/>
            <w:gridCol w:w="1283"/>
            <w:gridCol w:w="1285"/>
            <w:gridCol w:w="1285"/>
            <w:gridCol w:w="1285"/>
            <w:gridCol w:w="1285"/>
            <w:gridCol w:w="1273"/>
          </w:tblGrid>
          <w:tr w:rsidR="00A3443E" w:rsidRPr="00ED33EF" w14:paraId="6E491DA3" w14:textId="149FE736" w:rsidTr="00A875C2">
            <w:trPr>
              <w:trHeight w:val="283"/>
              <w:tblHeader/>
            </w:trPr>
            <w:tc>
              <w:tcPr>
                <w:tcW w:w="661" w:type="pct"/>
                <w:vMerge w:val="restar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0DA6CB8F" w14:textId="7B768198" w:rsidR="00A3443E" w:rsidRPr="00ED33EF" w:rsidRDefault="00A3443E" w:rsidP="00EC6766">
                <w:pPr>
                  <w:spacing w:before="0" w:line="240" w:lineRule="auto"/>
                  <w:jc w:val="center"/>
                  <w:rPr>
                    <w:b/>
                    <w:color w:val="33A1AB" w:themeColor="accent2"/>
                    <w:sz w:val="14"/>
                    <w:szCs w:val="14"/>
                  </w:rPr>
                </w:pPr>
                <w:r>
                  <w:rPr>
                    <w:b/>
                    <w:color w:val="33A1AB" w:themeColor="accent2"/>
                    <w:sz w:val="14"/>
                    <w:szCs w:val="14"/>
                  </w:rPr>
                  <w:t>Year</w:t>
                </w:r>
              </w:p>
            </w:tc>
            <w:tc>
              <w:tcPr>
                <w:tcW w:w="1861" w:type="pct"/>
                <w:gridSpan w:val="3"/>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3DAE8A95" w14:textId="2B4C6482" w:rsidR="00A3443E" w:rsidRPr="00ED33EF" w:rsidRDefault="00A3443E" w:rsidP="00EC6766">
                <w:pPr>
                  <w:spacing w:before="0" w:line="240" w:lineRule="auto"/>
                  <w:jc w:val="center"/>
                  <w:rPr>
                    <w:b/>
                    <w:color w:val="33A1AB" w:themeColor="accent2"/>
                    <w:sz w:val="14"/>
                    <w:szCs w:val="14"/>
                  </w:rPr>
                </w:pPr>
                <w:r>
                  <w:rPr>
                    <w:b/>
                    <w:color w:val="33A1AB" w:themeColor="accent2"/>
                    <w:sz w:val="14"/>
                    <w:szCs w:val="14"/>
                  </w:rPr>
                  <w:t>Number of ratings</w:t>
                </w:r>
              </w:p>
            </w:tc>
            <w:tc>
              <w:tcPr>
                <w:tcW w:w="621" w:type="pct"/>
                <w:tcBorders>
                  <w:top w:val="single" w:sz="12" w:space="0" w:color="AFAFB4" w:themeColor="accent4"/>
                </w:tcBorders>
                <w:shd w:val="clear" w:color="auto" w:fill="FFFFFF" w:themeFill="background2"/>
                <w:vAlign w:val="center"/>
              </w:tcPr>
              <w:p w14:paraId="6C074759" w14:textId="35CB4425" w:rsidR="00A3443E" w:rsidRPr="00ED33EF" w:rsidRDefault="00A3443E" w:rsidP="00EC6766">
                <w:pPr>
                  <w:spacing w:before="0" w:line="240" w:lineRule="auto"/>
                  <w:jc w:val="center"/>
                  <w:rPr>
                    <w:b/>
                    <w:color w:val="33A1AB" w:themeColor="accent2"/>
                    <w:sz w:val="14"/>
                    <w:szCs w:val="14"/>
                  </w:rPr>
                </w:pPr>
                <w:r>
                  <w:rPr>
                    <w:b/>
                    <w:color w:val="33A1AB" w:themeColor="accent2"/>
                    <w:sz w:val="14"/>
                    <w:szCs w:val="14"/>
                  </w:rPr>
                  <w:t>Total</w:t>
                </w:r>
              </w:p>
            </w:tc>
            <w:tc>
              <w:tcPr>
                <w:tcW w:w="1857" w:type="pct"/>
                <w:gridSpan w:val="3"/>
                <w:tcBorders>
                  <w:top w:val="single" w:sz="12" w:space="0" w:color="AFAFB4" w:themeColor="accent4"/>
                </w:tcBorders>
                <w:shd w:val="clear" w:color="auto" w:fill="FFFFFF" w:themeFill="background2"/>
                <w:vAlign w:val="center"/>
              </w:tcPr>
              <w:p w14:paraId="41C845CE" w14:textId="01DFFE72" w:rsidR="00A3443E" w:rsidRPr="00ED33EF" w:rsidRDefault="00A3443E" w:rsidP="00EC6766">
                <w:pPr>
                  <w:spacing w:before="0" w:line="240" w:lineRule="auto"/>
                  <w:jc w:val="center"/>
                  <w:rPr>
                    <w:b/>
                    <w:color w:val="33A1AB" w:themeColor="accent2"/>
                    <w:sz w:val="14"/>
                    <w:szCs w:val="14"/>
                  </w:rPr>
                </w:pPr>
                <w:r>
                  <w:rPr>
                    <w:b/>
                    <w:color w:val="33A1AB" w:themeColor="accent2"/>
                    <w:sz w:val="14"/>
                    <w:szCs w:val="14"/>
                  </w:rPr>
                  <w:t>Share</w:t>
                </w:r>
              </w:p>
            </w:tc>
          </w:tr>
          <w:tr w:rsidR="00A3443E" w:rsidRPr="00ED33EF" w14:paraId="3B8DC22F" w14:textId="77777777" w:rsidTr="004412F7">
            <w:trPr>
              <w:trHeight w:val="283"/>
              <w:tblHeader/>
            </w:trPr>
            <w:tc>
              <w:tcPr>
                <w:tcW w:w="661" w:type="pct"/>
                <w:vMerge/>
                <w:shd w:val="clear" w:color="auto" w:fill="FFFFFF" w:themeFill="background2"/>
                <w:tcMar>
                  <w:top w:w="60" w:type="dxa"/>
                  <w:left w:w="114" w:type="dxa"/>
                  <w:bottom w:w="60" w:type="dxa"/>
                  <w:right w:w="114" w:type="dxa"/>
                </w:tcMar>
                <w:vAlign w:val="center"/>
              </w:tcPr>
              <w:p w14:paraId="0760289A" w14:textId="77777777" w:rsidR="00A3443E" w:rsidRPr="00ED33EF" w:rsidRDefault="00A3443E" w:rsidP="00EC6766">
                <w:pPr>
                  <w:spacing w:before="0" w:line="240" w:lineRule="auto"/>
                  <w:jc w:val="center"/>
                  <w:rPr>
                    <w:b/>
                    <w:color w:val="33A1AB" w:themeColor="accent2"/>
                    <w:sz w:val="14"/>
                    <w:szCs w:val="14"/>
                  </w:rPr>
                </w:pPr>
              </w:p>
            </w:tc>
            <w:tc>
              <w:tcPr>
                <w:tcW w:w="620"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0F0241DD" w14:textId="65708552" w:rsidR="00A3443E" w:rsidRPr="00ED33EF" w:rsidRDefault="00A3443E" w:rsidP="00EC6766">
                <w:pPr>
                  <w:spacing w:before="0" w:line="240" w:lineRule="auto"/>
                  <w:jc w:val="center"/>
                  <w:rPr>
                    <w:b/>
                    <w:color w:val="33A1AB" w:themeColor="accent2"/>
                    <w:sz w:val="14"/>
                    <w:szCs w:val="14"/>
                  </w:rPr>
                </w:pPr>
                <w:r>
                  <w:rPr>
                    <w:b/>
                    <w:color w:val="33A1AB" w:themeColor="accent2"/>
                    <w:sz w:val="14"/>
                    <w:szCs w:val="14"/>
                  </w:rPr>
                  <w:t>Micro</w:t>
                </w:r>
              </w:p>
            </w:tc>
            <w:tc>
              <w:tcPr>
                <w:tcW w:w="620"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64A56B50" w14:textId="69CBBDE0" w:rsidR="00A3443E" w:rsidRPr="00ED33EF" w:rsidRDefault="00A3443E" w:rsidP="00EC6766">
                <w:pPr>
                  <w:spacing w:before="0" w:line="240" w:lineRule="auto"/>
                  <w:jc w:val="center"/>
                  <w:rPr>
                    <w:b/>
                    <w:color w:val="33A1AB" w:themeColor="accent2"/>
                    <w:sz w:val="14"/>
                    <w:szCs w:val="14"/>
                  </w:rPr>
                </w:pPr>
                <w:r>
                  <w:rPr>
                    <w:b/>
                    <w:color w:val="33A1AB" w:themeColor="accent2"/>
                    <w:sz w:val="14"/>
                    <w:szCs w:val="14"/>
                  </w:rPr>
                  <w:t>SMEs</w:t>
                </w:r>
              </w:p>
            </w:tc>
            <w:tc>
              <w:tcPr>
                <w:tcW w:w="621" w:type="pct"/>
                <w:tcBorders>
                  <w:top w:val="single" w:sz="12" w:space="0" w:color="AFAFB4" w:themeColor="accent4"/>
                </w:tcBorders>
                <w:shd w:val="clear" w:color="auto" w:fill="FFFFFF" w:themeFill="background2"/>
                <w:vAlign w:val="center"/>
              </w:tcPr>
              <w:p w14:paraId="3912C676" w14:textId="6393FEC9" w:rsidR="00A3443E" w:rsidRPr="00ED33EF" w:rsidRDefault="00A3443E" w:rsidP="00EC6766">
                <w:pPr>
                  <w:spacing w:before="0" w:line="240" w:lineRule="auto"/>
                  <w:jc w:val="center"/>
                  <w:rPr>
                    <w:b/>
                    <w:color w:val="33A1AB" w:themeColor="accent2"/>
                    <w:sz w:val="14"/>
                    <w:szCs w:val="14"/>
                  </w:rPr>
                </w:pPr>
                <w:r>
                  <w:rPr>
                    <w:b/>
                    <w:color w:val="33A1AB" w:themeColor="accent2"/>
                    <w:sz w:val="14"/>
                    <w:szCs w:val="14"/>
                  </w:rPr>
                  <w:t>Large</w:t>
                </w:r>
              </w:p>
            </w:tc>
            <w:tc>
              <w:tcPr>
                <w:tcW w:w="621" w:type="pct"/>
                <w:tcBorders>
                  <w:top w:val="single" w:sz="12" w:space="0" w:color="AFAFB4" w:themeColor="accent4"/>
                </w:tcBorders>
                <w:shd w:val="clear" w:color="auto" w:fill="FFFFFF" w:themeFill="background2"/>
                <w:vAlign w:val="center"/>
              </w:tcPr>
              <w:p w14:paraId="20547403" w14:textId="77777777" w:rsidR="00A3443E" w:rsidRPr="00ED33EF" w:rsidRDefault="00A3443E" w:rsidP="00EC6766">
                <w:pPr>
                  <w:spacing w:before="0" w:line="240" w:lineRule="auto"/>
                  <w:jc w:val="center"/>
                  <w:rPr>
                    <w:b/>
                    <w:color w:val="33A1AB" w:themeColor="accent2"/>
                    <w:sz w:val="14"/>
                    <w:szCs w:val="14"/>
                  </w:rPr>
                </w:pPr>
              </w:p>
            </w:tc>
            <w:tc>
              <w:tcPr>
                <w:tcW w:w="621" w:type="pct"/>
                <w:tcBorders>
                  <w:top w:val="single" w:sz="12" w:space="0" w:color="AFAFB4" w:themeColor="accent4"/>
                </w:tcBorders>
                <w:shd w:val="clear" w:color="auto" w:fill="FFFFFF" w:themeFill="background2"/>
                <w:vAlign w:val="center"/>
              </w:tcPr>
              <w:p w14:paraId="62F35414" w14:textId="53E9A3A8" w:rsidR="00A3443E" w:rsidRPr="00ED33EF" w:rsidRDefault="00A3443E" w:rsidP="00EC6766">
                <w:pPr>
                  <w:spacing w:before="0" w:line="240" w:lineRule="auto"/>
                  <w:jc w:val="center"/>
                  <w:rPr>
                    <w:b/>
                    <w:color w:val="33A1AB" w:themeColor="accent2"/>
                    <w:sz w:val="14"/>
                    <w:szCs w:val="14"/>
                  </w:rPr>
                </w:pPr>
                <w:r>
                  <w:rPr>
                    <w:b/>
                    <w:color w:val="33A1AB" w:themeColor="accent2"/>
                    <w:sz w:val="14"/>
                    <w:szCs w:val="14"/>
                  </w:rPr>
                  <w:t>Micro</w:t>
                </w:r>
              </w:p>
            </w:tc>
            <w:tc>
              <w:tcPr>
                <w:tcW w:w="621" w:type="pct"/>
                <w:tcBorders>
                  <w:top w:val="single" w:sz="12" w:space="0" w:color="AFAFB4" w:themeColor="accent4"/>
                </w:tcBorders>
                <w:shd w:val="clear" w:color="auto" w:fill="FFFFFF" w:themeFill="background2"/>
                <w:vAlign w:val="center"/>
              </w:tcPr>
              <w:p w14:paraId="2BED7DED" w14:textId="21982FDB" w:rsidR="00A3443E" w:rsidRPr="00ED33EF" w:rsidRDefault="00A3443E" w:rsidP="00EC6766">
                <w:pPr>
                  <w:spacing w:before="0" w:line="240" w:lineRule="auto"/>
                  <w:jc w:val="center"/>
                  <w:rPr>
                    <w:b/>
                    <w:color w:val="33A1AB" w:themeColor="accent2"/>
                    <w:sz w:val="14"/>
                    <w:szCs w:val="14"/>
                  </w:rPr>
                </w:pPr>
                <w:r>
                  <w:rPr>
                    <w:b/>
                    <w:color w:val="33A1AB" w:themeColor="accent2"/>
                    <w:sz w:val="14"/>
                    <w:szCs w:val="14"/>
                  </w:rPr>
                  <w:t>SMEs</w:t>
                </w:r>
              </w:p>
            </w:tc>
            <w:tc>
              <w:tcPr>
                <w:tcW w:w="615" w:type="pct"/>
                <w:tcBorders>
                  <w:top w:val="single" w:sz="12" w:space="0" w:color="AFAFB4" w:themeColor="accent4"/>
                </w:tcBorders>
                <w:shd w:val="clear" w:color="auto" w:fill="FFFFFF" w:themeFill="background2"/>
                <w:vAlign w:val="center"/>
              </w:tcPr>
              <w:p w14:paraId="5104ADD6" w14:textId="0D25C9BA" w:rsidR="00A3443E" w:rsidRPr="00ED33EF" w:rsidRDefault="00A3443E" w:rsidP="00EC6766">
                <w:pPr>
                  <w:spacing w:before="0" w:line="240" w:lineRule="auto"/>
                  <w:jc w:val="center"/>
                  <w:rPr>
                    <w:b/>
                    <w:color w:val="33A1AB" w:themeColor="accent2"/>
                    <w:sz w:val="14"/>
                    <w:szCs w:val="14"/>
                  </w:rPr>
                </w:pPr>
                <w:r>
                  <w:rPr>
                    <w:b/>
                    <w:color w:val="33A1AB" w:themeColor="accent2"/>
                    <w:sz w:val="14"/>
                    <w:szCs w:val="14"/>
                  </w:rPr>
                  <w:t>Large</w:t>
                </w:r>
              </w:p>
            </w:tc>
          </w:tr>
          <w:tr w:rsidR="00ED1DDC" w:rsidRPr="00ED33EF" w14:paraId="433690D0" w14:textId="500B1A0D" w:rsidTr="00A875C2">
            <w:trPr>
              <w:trHeight w:val="283"/>
            </w:trPr>
            <w:tc>
              <w:tcPr>
                <w:tcW w:w="661" w:type="pct"/>
                <w:shd w:val="clear" w:color="auto" w:fill="FFFFFF" w:themeFill="background2"/>
                <w:tcMar>
                  <w:top w:w="60" w:type="dxa"/>
                  <w:left w:w="114" w:type="dxa"/>
                  <w:bottom w:w="60" w:type="dxa"/>
                  <w:right w:w="114" w:type="dxa"/>
                </w:tcMar>
                <w:vAlign w:val="center"/>
              </w:tcPr>
              <w:p w14:paraId="0602DD3F" w14:textId="77C2C2A3" w:rsidR="00ED1DDC" w:rsidRPr="00ED33EF" w:rsidRDefault="00ED1DDC" w:rsidP="004604F5">
                <w:pPr>
                  <w:pStyle w:val="TableIndent3"/>
                  <w:spacing w:before="0" w:after="0"/>
                  <w:ind w:left="0"/>
                  <w:rPr>
                    <w:sz w:val="14"/>
                    <w:szCs w:val="14"/>
                  </w:rPr>
                </w:pPr>
                <w:r w:rsidRPr="0032337D">
                  <w:rPr>
                    <w:rFonts w:cs="Segoe UI"/>
                    <w:b/>
                    <w:sz w:val="14"/>
                    <w:lang w:val="en-GB" w:eastAsia="it-IT"/>
                  </w:rPr>
                  <w:t>31 December 2008</w:t>
                </w:r>
              </w:p>
            </w:tc>
            <w:tc>
              <w:tcPr>
                <w:tcW w:w="620" w:type="pct"/>
                <w:shd w:val="clear" w:color="auto" w:fill="FFFFFF" w:themeFill="background2"/>
                <w:tcMar>
                  <w:top w:w="60" w:type="dxa"/>
                  <w:left w:w="114" w:type="dxa"/>
                  <w:bottom w:w="60" w:type="dxa"/>
                  <w:right w:w="114" w:type="dxa"/>
                </w:tcMar>
                <w:vAlign w:val="center"/>
              </w:tcPr>
              <w:p w14:paraId="36EE6412" w14:textId="11CBEADE" w:rsidR="00ED1DDC" w:rsidRPr="00ED33EF" w:rsidRDefault="00ED1DDC" w:rsidP="00EC6766">
                <w:pPr>
                  <w:pStyle w:val="TableTextLeft"/>
                  <w:spacing w:before="0" w:after="0"/>
                  <w:jc w:val="center"/>
                  <w:rPr>
                    <w:sz w:val="14"/>
                    <w:szCs w:val="14"/>
                  </w:rPr>
                </w:pPr>
                <w:r w:rsidRPr="0032337D">
                  <w:rPr>
                    <w:rFonts w:cs="Segoe UI"/>
                    <w:sz w:val="14"/>
                    <w:lang w:eastAsia="it-IT"/>
                  </w:rPr>
                  <w:t>26,356</w:t>
                </w:r>
              </w:p>
            </w:tc>
            <w:tc>
              <w:tcPr>
                <w:tcW w:w="620" w:type="pct"/>
                <w:shd w:val="clear" w:color="auto" w:fill="FFFFFF" w:themeFill="background2"/>
                <w:tcMar>
                  <w:top w:w="60" w:type="dxa"/>
                  <w:left w:w="114" w:type="dxa"/>
                  <w:bottom w:w="60" w:type="dxa"/>
                  <w:right w:w="114" w:type="dxa"/>
                </w:tcMar>
                <w:vAlign w:val="center"/>
              </w:tcPr>
              <w:p w14:paraId="7281EA7E" w14:textId="690F882F" w:rsidR="00ED1DDC" w:rsidRPr="00ED33EF" w:rsidRDefault="00ED1DDC" w:rsidP="00EC6766">
                <w:pPr>
                  <w:pStyle w:val="TableTextLeft"/>
                  <w:spacing w:before="0" w:after="0"/>
                  <w:jc w:val="center"/>
                  <w:rPr>
                    <w:sz w:val="14"/>
                    <w:szCs w:val="14"/>
                  </w:rPr>
                </w:pPr>
                <w:r w:rsidRPr="0032337D">
                  <w:rPr>
                    <w:rFonts w:cs="Segoe UI"/>
                    <w:sz w:val="14"/>
                    <w:lang w:eastAsia="it-IT"/>
                  </w:rPr>
                  <w:t>34,771</w:t>
                </w:r>
              </w:p>
            </w:tc>
            <w:tc>
              <w:tcPr>
                <w:tcW w:w="621" w:type="pct"/>
                <w:shd w:val="clear" w:color="auto" w:fill="FFFFFF" w:themeFill="background2"/>
                <w:vAlign w:val="center"/>
              </w:tcPr>
              <w:p w14:paraId="7D0DC973" w14:textId="52515960" w:rsidR="00ED1DDC" w:rsidRPr="00ED33EF" w:rsidRDefault="00ED1DDC" w:rsidP="00EC6766">
                <w:pPr>
                  <w:pStyle w:val="TableTextLeft"/>
                  <w:spacing w:before="0" w:after="0"/>
                  <w:jc w:val="center"/>
                  <w:rPr>
                    <w:sz w:val="14"/>
                    <w:szCs w:val="14"/>
                  </w:rPr>
                </w:pPr>
                <w:r w:rsidRPr="0032337D">
                  <w:rPr>
                    <w:rFonts w:cs="Segoe UI"/>
                    <w:sz w:val="14"/>
                    <w:lang w:eastAsia="it-IT"/>
                  </w:rPr>
                  <w:t>3,643</w:t>
                </w:r>
              </w:p>
            </w:tc>
            <w:tc>
              <w:tcPr>
                <w:tcW w:w="621" w:type="pct"/>
                <w:shd w:val="clear" w:color="auto" w:fill="FFFFFF" w:themeFill="background2"/>
                <w:vAlign w:val="center"/>
              </w:tcPr>
              <w:p w14:paraId="14F62D5A" w14:textId="19E4647D" w:rsidR="00ED1DDC" w:rsidRPr="00ED33EF" w:rsidRDefault="00ED1DDC" w:rsidP="00EC6766">
                <w:pPr>
                  <w:pStyle w:val="TableTextLeft"/>
                  <w:spacing w:before="0" w:after="0"/>
                  <w:jc w:val="center"/>
                  <w:rPr>
                    <w:sz w:val="14"/>
                    <w:szCs w:val="14"/>
                  </w:rPr>
                </w:pPr>
                <w:r w:rsidRPr="0032337D">
                  <w:rPr>
                    <w:rFonts w:cs="Segoe UI"/>
                    <w:b/>
                    <w:sz w:val="14"/>
                    <w:lang w:eastAsia="it-IT"/>
                  </w:rPr>
                  <w:t>64,770</w:t>
                </w:r>
              </w:p>
            </w:tc>
            <w:tc>
              <w:tcPr>
                <w:tcW w:w="621" w:type="pct"/>
                <w:shd w:val="clear" w:color="auto" w:fill="FFFFFF" w:themeFill="background2"/>
                <w:vAlign w:val="center"/>
              </w:tcPr>
              <w:p w14:paraId="54F33545" w14:textId="69EFBDDD" w:rsidR="00ED1DDC" w:rsidRPr="00ED33EF" w:rsidRDefault="00ED1DDC" w:rsidP="00EC6766">
                <w:pPr>
                  <w:pStyle w:val="TableTextLeft"/>
                  <w:spacing w:before="0" w:after="0"/>
                  <w:jc w:val="center"/>
                  <w:rPr>
                    <w:rFonts w:cs="Segoe UI"/>
                    <w:sz w:val="14"/>
                    <w:szCs w:val="14"/>
                    <w:lang w:eastAsia="it-IT"/>
                  </w:rPr>
                </w:pPr>
                <w:r w:rsidRPr="0032337D">
                  <w:rPr>
                    <w:rFonts w:cs="Segoe UI"/>
                    <w:sz w:val="14"/>
                    <w:lang w:eastAsia="it-IT"/>
                  </w:rPr>
                  <w:t>40.7%</w:t>
                </w:r>
              </w:p>
            </w:tc>
            <w:tc>
              <w:tcPr>
                <w:tcW w:w="621" w:type="pct"/>
                <w:shd w:val="clear" w:color="auto" w:fill="FFFFFF" w:themeFill="background2"/>
                <w:vAlign w:val="center"/>
              </w:tcPr>
              <w:p w14:paraId="114F7C06" w14:textId="2D53B8CE" w:rsidR="00ED1DDC" w:rsidRPr="00ED33EF" w:rsidRDefault="00ED1DDC" w:rsidP="00EC6766">
                <w:pPr>
                  <w:pStyle w:val="TableTextLeft"/>
                  <w:spacing w:before="0" w:after="0"/>
                  <w:jc w:val="center"/>
                  <w:rPr>
                    <w:rFonts w:cs="Segoe UI"/>
                    <w:sz w:val="14"/>
                    <w:szCs w:val="14"/>
                    <w:lang w:eastAsia="it-IT"/>
                  </w:rPr>
                </w:pPr>
                <w:r w:rsidRPr="0032337D">
                  <w:rPr>
                    <w:rFonts w:cs="Segoe UI"/>
                    <w:sz w:val="14"/>
                    <w:lang w:eastAsia="it-IT"/>
                  </w:rPr>
                  <w:t>53.7%</w:t>
                </w:r>
              </w:p>
            </w:tc>
            <w:tc>
              <w:tcPr>
                <w:tcW w:w="615" w:type="pct"/>
                <w:shd w:val="clear" w:color="auto" w:fill="FFFFFF" w:themeFill="background2"/>
                <w:vAlign w:val="center"/>
              </w:tcPr>
              <w:p w14:paraId="3155B17F" w14:textId="7FE5716D" w:rsidR="00ED1DDC" w:rsidRPr="00ED33EF" w:rsidRDefault="00ED1DDC" w:rsidP="00EC6766">
                <w:pPr>
                  <w:pStyle w:val="TableTextLeft"/>
                  <w:spacing w:before="0" w:after="0"/>
                  <w:jc w:val="center"/>
                  <w:rPr>
                    <w:rFonts w:cs="Segoe UI"/>
                    <w:sz w:val="14"/>
                    <w:szCs w:val="14"/>
                    <w:lang w:eastAsia="it-IT"/>
                  </w:rPr>
                </w:pPr>
                <w:r w:rsidRPr="0032337D">
                  <w:rPr>
                    <w:rFonts w:cs="Segoe UI"/>
                    <w:sz w:val="14"/>
                    <w:lang w:eastAsia="it-IT"/>
                  </w:rPr>
                  <w:t>5.6%</w:t>
                </w:r>
              </w:p>
            </w:tc>
          </w:tr>
          <w:tr w:rsidR="00ED1DDC" w:rsidRPr="00ED33EF" w14:paraId="6D2D35AB" w14:textId="28D637EC" w:rsidTr="00A875C2">
            <w:trPr>
              <w:trHeight w:val="283"/>
            </w:trPr>
            <w:tc>
              <w:tcPr>
                <w:tcW w:w="661" w:type="pct"/>
                <w:shd w:val="clear" w:color="auto" w:fill="FFFFFF" w:themeFill="background2"/>
                <w:tcMar>
                  <w:top w:w="60" w:type="dxa"/>
                  <w:left w:w="114" w:type="dxa"/>
                  <w:bottom w:w="60" w:type="dxa"/>
                  <w:right w:w="114" w:type="dxa"/>
                </w:tcMar>
                <w:vAlign w:val="center"/>
              </w:tcPr>
              <w:p w14:paraId="1F5E6178" w14:textId="6E43615F" w:rsidR="00ED1DDC" w:rsidRPr="00ED33EF" w:rsidRDefault="00ED1DDC" w:rsidP="004604F5">
                <w:pPr>
                  <w:pStyle w:val="TableIndent3"/>
                  <w:spacing w:before="0" w:after="0"/>
                  <w:ind w:left="0"/>
                  <w:rPr>
                    <w:rFonts w:cs="Segoe UI"/>
                    <w:b/>
                    <w:sz w:val="14"/>
                    <w:szCs w:val="14"/>
                    <w:lang w:val="en-GB" w:eastAsia="it-IT"/>
                  </w:rPr>
                </w:pPr>
                <w:r w:rsidRPr="003E4478">
                  <w:rPr>
                    <w:rFonts w:cs="Segoe UI"/>
                    <w:b/>
                    <w:sz w:val="14"/>
                    <w:lang w:val="en-GB" w:eastAsia="it-IT"/>
                  </w:rPr>
                  <w:t>31 December 2009</w:t>
                </w:r>
              </w:p>
            </w:tc>
            <w:tc>
              <w:tcPr>
                <w:tcW w:w="620" w:type="pct"/>
                <w:shd w:val="clear" w:color="auto" w:fill="FFFFFF" w:themeFill="background2"/>
                <w:tcMar>
                  <w:top w:w="60" w:type="dxa"/>
                  <w:left w:w="114" w:type="dxa"/>
                  <w:bottom w:w="60" w:type="dxa"/>
                  <w:right w:w="114" w:type="dxa"/>
                </w:tcMar>
                <w:vAlign w:val="center"/>
              </w:tcPr>
              <w:p w14:paraId="02CDED46" w14:textId="2E5C9FF5" w:rsidR="00ED1DDC" w:rsidRPr="00ED33EF" w:rsidRDefault="00ED1DDC" w:rsidP="00EC6766">
                <w:pPr>
                  <w:pStyle w:val="TableTextLeft"/>
                  <w:spacing w:before="0" w:after="0"/>
                  <w:jc w:val="center"/>
                  <w:rPr>
                    <w:rFonts w:cs="Segoe UI"/>
                    <w:sz w:val="14"/>
                    <w:szCs w:val="14"/>
                    <w:lang w:eastAsia="it-IT"/>
                  </w:rPr>
                </w:pPr>
                <w:r w:rsidRPr="0032337D">
                  <w:rPr>
                    <w:rFonts w:cs="Segoe UI"/>
                    <w:sz w:val="14"/>
                    <w:lang w:eastAsia="it-IT"/>
                  </w:rPr>
                  <w:t>38,363</w:t>
                </w:r>
              </w:p>
            </w:tc>
            <w:tc>
              <w:tcPr>
                <w:tcW w:w="620" w:type="pct"/>
                <w:shd w:val="clear" w:color="auto" w:fill="FFFFFF" w:themeFill="background2"/>
                <w:tcMar>
                  <w:top w:w="60" w:type="dxa"/>
                  <w:left w:w="114" w:type="dxa"/>
                  <w:bottom w:w="60" w:type="dxa"/>
                  <w:right w:w="114" w:type="dxa"/>
                </w:tcMar>
                <w:vAlign w:val="center"/>
              </w:tcPr>
              <w:p w14:paraId="31143E25" w14:textId="3E7F901A" w:rsidR="00ED1DDC" w:rsidRPr="00ED33EF" w:rsidRDefault="00ED1DDC" w:rsidP="00EC6766">
                <w:pPr>
                  <w:pStyle w:val="TableTextLeft"/>
                  <w:spacing w:before="0" w:after="0"/>
                  <w:jc w:val="center"/>
                  <w:rPr>
                    <w:rFonts w:cs="Segoe UI"/>
                    <w:sz w:val="14"/>
                    <w:szCs w:val="14"/>
                    <w:lang w:eastAsia="it-IT"/>
                  </w:rPr>
                </w:pPr>
                <w:r w:rsidRPr="0032337D">
                  <w:rPr>
                    <w:rFonts w:cs="Segoe UI"/>
                    <w:sz w:val="14"/>
                    <w:lang w:eastAsia="it-IT"/>
                  </w:rPr>
                  <w:t>41,986</w:t>
                </w:r>
              </w:p>
            </w:tc>
            <w:tc>
              <w:tcPr>
                <w:tcW w:w="621" w:type="pct"/>
                <w:shd w:val="clear" w:color="auto" w:fill="FFFFFF" w:themeFill="background2"/>
                <w:vAlign w:val="center"/>
              </w:tcPr>
              <w:p w14:paraId="70A0CF42" w14:textId="1A6427B0" w:rsidR="00ED1DDC" w:rsidRPr="00ED33EF" w:rsidRDefault="00ED1DDC" w:rsidP="00EC6766">
                <w:pPr>
                  <w:pStyle w:val="TableTextLeft"/>
                  <w:spacing w:before="0" w:after="0"/>
                  <w:jc w:val="center"/>
                  <w:rPr>
                    <w:rFonts w:cs="Segoe UI"/>
                    <w:sz w:val="14"/>
                    <w:szCs w:val="14"/>
                    <w:lang w:eastAsia="it-IT"/>
                  </w:rPr>
                </w:pPr>
                <w:r w:rsidRPr="0032337D">
                  <w:rPr>
                    <w:rFonts w:cs="Segoe UI"/>
                    <w:sz w:val="14"/>
                    <w:lang w:eastAsia="it-IT"/>
                  </w:rPr>
                  <w:t>3,953</w:t>
                </w:r>
              </w:p>
            </w:tc>
            <w:tc>
              <w:tcPr>
                <w:tcW w:w="621" w:type="pct"/>
                <w:shd w:val="clear" w:color="auto" w:fill="FFFFFF" w:themeFill="background2"/>
                <w:vAlign w:val="center"/>
              </w:tcPr>
              <w:p w14:paraId="643C0232" w14:textId="0990C309" w:rsidR="00ED1DDC" w:rsidRPr="00ED33EF" w:rsidRDefault="00ED1DDC" w:rsidP="00EC6766">
                <w:pPr>
                  <w:pStyle w:val="TableTextLeft"/>
                  <w:spacing w:before="0" w:after="0"/>
                  <w:jc w:val="center"/>
                  <w:rPr>
                    <w:rFonts w:cs="Segoe UI"/>
                    <w:sz w:val="14"/>
                    <w:szCs w:val="14"/>
                    <w:lang w:eastAsia="it-IT"/>
                  </w:rPr>
                </w:pPr>
                <w:r w:rsidRPr="0032337D">
                  <w:rPr>
                    <w:rFonts w:cs="Segoe UI"/>
                    <w:b/>
                    <w:sz w:val="14"/>
                    <w:lang w:eastAsia="it-IT"/>
                  </w:rPr>
                  <w:t>84,302</w:t>
                </w:r>
              </w:p>
            </w:tc>
            <w:tc>
              <w:tcPr>
                <w:tcW w:w="621" w:type="pct"/>
                <w:shd w:val="clear" w:color="auto" w:fill="FFFFFF" w:themeFill="background2"/>
                <w:vAlign w:val="center"/>
              </w:tcPr>
              <w:p w14:paraId="3D2C1128" w14:textId="1196DA88" w:rsidR="00ED1DDC" w:rsidRPr="00ED33EF" w:rsidRDefault="00ED1DDC" w:rsidP="00EC6766">
                <w:pPr>
                  <w:pStyle w:val="TableTextLeft"/>
                  <w:spacing w:before="0" w:after="0"/>
                  <w:jc w:val="center"/>
                  <w:rPr>
                    <w:rFonts w:cs="Segoe UI"/>
                    <w:sz w:val="14"/>
                    <w:szCs w:val="14"/>
                    <w:lang w:eastAsia="it-IT"/>
                  </w:rPr>
                </w:pPr>
                <w:r w:rsidRPr="0032337D">
                  <w:rPr>
                    <w:rFonts w:cs="Segoe UI"/>
                    <w:sz w:val="14"/>
                    <w:lang w:eastAsia="it-IT"/>
                  </w:rPr>
                  <w:t>45.5%</w:t>
                </w:r>
              </w:p>
            </w:tc>
            <w:tc>
              <w:tcPr>
                <w:tcW w:w="621" w:type="pct"/>
                <w:shd w:val="clear" w:color="auto" w:fill="FFFFFF" w:themeFill="background2"/>
                <w:vAlign w:val="center"/>
              </w:tcPr>
              <w:p w14:paraId="5E9AFCC1" w14:textId="634A57F7" w:rsidR="00ED1DDC" w:rsidRPr="00ED33EF" w:rsidRDefault="00ED1DDC" w:rsidP="00EC6766">
                <w:pPr>
                  <w:pStyle w:val="TableTextLeft"/>
                  <w:spacing w:before="0" w:after="0"/>
                  <w:jc w:val="center"/>
                  <w:rPr>
                    <w:rFonts w:cs="Segoe UI"/>
                    <w:sz w:val="14"/>
                    <w:szCs w:val="14"/>
                    <w:lang w:eastAsia="it-IT"/>
                  </w:rPr>
                </w:pPr>
                <w:r w:rsidRPr="0032337D">
                  <w:rPr>
                    <w:rFonts w:cs="Segoe UI"/>
                    <w:sz w:val="14"/>
                    <w:lang w:eastAsia="it-IT"/>
                  </w:rPr>
                  <w:t>49.8%</w:t>
                </w:r>
              </w:p>
            </w:tc>
            <w:tc>
              <w:tcPr>
                <w:tcW w:w="615" w:type="pct"/>
                <w:shd w:val="clear" w:color="auto" w:fill="FFFFFF" w:themeFill="background2"/>
                <w:vAlign w:val="center"/>
              </w:tcPr>
              <w:p w14:paraId="7ADF4E0E" w14:textId="361D804A" w:rsidR="00ED1DDC" w:rsidRPr="00ED33EF" w:rsidRDefault="00ED1DDC" w:rsidP="00EC6766">
                <w:pPr>
                  <w:pStyle w:val="TableTextLeft"/>
                  <w:spacing w:before="0" w:after="0"/>
                  <w:jc w:val="center"/>
                  <w:rPr>
                    <w:rFonts w:cs="Segoe UI"/>
                    <w:sz w:val="14"/>
                    <w:szCs w:val="14"/>
                    <w:lang w:eastAsia="it-IT"/>
                  </w:rPr>
                </w:pPr>
                <w:r w:rsidRPr="0032337D">
                  <w:rPr>
                    <w:rFonts w:cs="Segoe UI"/>
                    <w:sz w:val="14"/>
                    <w:lang w:eastAsia="it-IT"/>
                  </w:rPr>
                  <w:t>4.7%</w:t>
                </w:r>
              </w:p>
            </w:tc>
          </w:tr>
          <w:tr w:rsidR="00ED1DDC" w:rsidRPr="00ED33EF" w14:paraId="0582E2E2" w14:textId="0531EA91" w:rsidTr="00A875C2">
            <w:trPr>
              <w:trHeight w:val="283"/>
            </w:trPr>
            <w:tc>
              <w:tcPr>
                <w:tcW w:w="661" w:type="pct"/>
                <w:shd w:val="clear" w:color="auto" w:fill="FFFFFF" w:themeFill="background2"/>
                <w:tcMar>
                  <w:top w:w="60" w:type="dxa"/>
                  <w:left w:w="114" w:type="dxa"/>
                  <w:bottom w:w="60" w:type="dxa"/>
                  <w:right w:w="114" w:type="dxa"/>
                </w:tcMar>
                <w:vAlign w:val="center"/>
              </w:tcPr>
              <w:p w14:paraId="7A70C479" w14:textId="423E9C3F" w:rsidR="00ED1DDC" w:rsidRPr="00ED33EF" w:rsidRDefault="00ED1DDC" w:rsidP="004604F5">
                <w:pPr>
                  <w:pStyle w:val="TableIndent3"/>
                  <w:spacing w:before="0" w:after="0"/>
                  <w:ind w:left="0"/>
                  <w:rPr>
                    <w:rFonts w:cs="Segoe UI"/>
                    <w:b/>
                    <w:sz w:val="14"/>
                    <w:szCs w:val="14"/>
                    <w:lang w:val="en-GB" w:eastAsia="it-IT"/>
                  </w:rPr>
                </w:pPr>
                <w:r w:rsidRPr="003E4478">
                  <w:rPr>
                    <w:rFonts w:cs="Segoe UI"/>
                    <w:b/>
                    <w:sz w:val="14"/>
                    <w:lang w:val="en-GB" w:eastAsia="it-IT"/>
                  </w:rPr>
                  <w:t>31 December 2010</w:t>
                </w:r>
              </w:p>
            </w:tc>
            <w:tc>
              <w:tcPr>
                <w:tcW w:w="620" w:type="pct"/>
                <w:shd w:val="clear" w:color="auto" w:fill="FFFFFF" w:themeFill="background2"/>
                <w:tcMar>
                  <w:top w:w="60" w:type="dxa"/>
                  <w:left w:w="114" w:type="dxa"/>
                  <w:bottom w:w="60" w:type="dxa"/>
                  <w:right w:w="114" w:type="dxa"/>
                </w:tcMar>
                <w:vAlign w:val="center"/>
              </w:tcPr>
              <w:p w14:paraId="532E50C3" w14:textId="5FDD22E6" w:rsidR="00ED1DDC" w:rsidRPr="00ED33EF" w:rsidRDefault="00ED1DDC" w:rsidP="00EC6766">
                <w:pPr>
                  <w:pStyle w:val="TableTextLeft"/>
                  <w:spacing w:before="0" w:after="0"/>
                  <w:jc w:val="center"/>
                  <w:rPr>
                    <w:rFonts w:cs="Segoe UI"/>
                    <w:sz w:val="14"/>
                    <w:szCs w:val="14"/>
                    <w:lang w:eastAsia="it-IT"/>
                  </w:rPr>
                </w:pPr>
                <w:r w:rsidRPr="0032337D">
                  <w:rPr>
                    <w:rFonts w:cs="Segoe UI"/>
                    <w:sz w:val="14"/>
                    <w:lang w:eastAsia="it-IT"/>
                  </w:rPr>
                  <w:t>30,927</w:t>
                </w:r>
              </w:p>
            </w:tc>
            <w:tc>
              <w:tcPr>
                <w:tcW w:w="620" w:type="pct"/>
                <w:shd w:val="clear" w:color="auto" w:fill="FFFFFF" w:themeFill="background2"/>
                <w:tcMar>
                  <w:top w:w="60" w:type="dxa"/>
                  <w:left w:w="114" w:type="dxa"/>
                  <w:bottom w:w="60" w:type="dxa"/>
                  <w:right w:w="114" w:type="dxa"/>
                </w:tcMar>
                <w:vAlign w:val="center"/>
              </w:tcPr>
              <w:p w14:paraId="32DD3DF4" w14:textId="67E37E27" w:rsidR="00ED1DDC" w:rsidRPr="00ED33EF" w:rsidRDefault="00ED1DDC" w:rsidP="00EC6766">
                <w:pPr>
                  <w:pStyle w:val="TableTextLeft"/>
                  <w:spacing w:before="0" w:after="0"/>
                  <w:jc w:val="center"/>
                  <w:rPr>
                    <w:rFonts w:cs="Segoe UI"/>
                    <w:sz w:val="14"/>
                    <w:szCs w:val="14"/>
                    <w:lang w:eastAsia="it-IT"/>
                  </w:rPr>
                </w:pPr>
                <w:r w:rsidRPr="0032337D">
                  <w:rPr>
                    <w:rFonts w:cs="Segoe UI"/>
                    <w:sz w:val="14"/>
                    <w:lang w:eastAsia="it-IT"/>
                  </w:rPr>
                  <w:t>40,224</w:t>
                </w:r>
              </w:p>
            </w:tc>
            <w:tc>
              <w:tcPr>
                <w:tcW w:w="621" w:type="pct"/>
                <w:shd w:val="clear" w:color="auto" w:fill="FFFFFF" w:themeFill="background2"/>
                <w:vAlign w:val="center"/>
              </w:tcPr>
              <w:p w14:paraId="6C9E8FCE" w14:textId="4109DDD4" w:rsidR="00ED1DDC" w:rsidRPr="00ED33EF" w:rsidRDefault="00ED1DDC" w:rsidP="00EC6766">
                <w:pPr>
                  <w:pStyle w:val="TableTextLeft"/>
                  <w:spacing w:before="0" w:after="0"/>
                  <w:jc w:val="center"/>
                  <w:rPr>
                    <w:rFonts w:cs="Segoe UI"/>
                    <w:sz w:val="14"/>
                    <w:szCs w:val="14"/>
                    <w:lang w:eastAsia="it-IT"/>
                  </w:rPr>
                </w:pPr>
                <w:r w:rsidRPr="0032337D">
                  <w:rPr>
                    <w:rFonts w:cs="Segoe UI"/>
                    <w:sz w:val="14"/>
                    <w:lang w:eastAsia="it-IT"/>
                  </w:rPr>
                  <w:t>3,632</w:t>
                </w:r>
              </w:p>
            </w:tc>
            <w:tc>
              <w:tcPr>
                <w:tcW w:w="621" w:type="pct"/>
                <w:shd w:val="clear" w:color="auto" w:fill="FFFFFF" w:themeFill="background2"/>
                <w:vAlign w:val="center"/>
              </w:tcPr>
              <w:p w14:paraId="19FFCDB2" w14:textId="5351AA2A" w:rsidR="00ED1DDC" w:rsidRPr="00ED33EF" w:rsidRDefault="00ED1DDC" w:rsidP="00EC6766">
                <w:pPr>
                  <w:pStyle w:val="TableTextLeft"/>
                  <w:spacing w:before="0" w:after="0"/>
                  <w:jc w:val="center"/>
                  <w:rPr>
                    <w:rFonts w:cs="Segoe UI"/>
                    <w:sz w:val="14"/>
                    <w:szCs w:val="14"/>
                    <w:lang w:eastAsia="it-IT"/>
                  </w:rPr>
                </w:pPr>
                <w:r w:rsidRPr="0032337D">
                  <w:rPr>
                    <w:rFonts w:cs="Segoe UI"/>
                    <w:b/>
                    <w:sz w:val="14"/>
                    <w:lang w:eastAsia="it-IT"/>
                  </w:rPr>
                  <w:t>74,783</w:t>
                </w:r>
              </w:p>
            </w:tc>
            <w:tc>
              <w:tcPr>
                <w:tcW w:w="621" w:type="pct"/>
                <w:shd w:val="clear" w:color="auto" w:fill="FFFFFF" w:themeFill="background2"/>
                <w:vAlign w:val="center"/>
              </w:tcPr>
              <w:p w14:paraId="6700777E" w14:textId="553D2F14" w:rsidR="00ED1DDC" w:rsidRPr="00ED33EF" w:rsidRDefault="00ED1DDC" w:rsidP="00EC6766">
                <w:pPr>
                  <w:pStyle w:val="TableTextLeft"/>
                  <w:spacing w:before="0" w:after="0"/>
                  <w:jc w:val="center"/>
                  <w:rPr>
                    <w:rFonts w:cs="Segoe UI"/>
                    <w:sz w:val="14"/>
                    <w:szCs w:val="14"/>
                    <w:lang w:eastAsia="it-IT"/>
                  </w:rPr>
                </w:pPr>
                <w:r w:rsidRPr="0032337D">
                  <w:rPr>
                    <w:rFonts w:cs="Segoe UI"/>
                    <w:sz w:val="14"/>
                    <w:lang w:eastAsia="it-IT"/>
                  </w:rPr>
                  <w:t>41.4%</w:t>
                </w:r>
              </w:p>
            </w:tc>
            <w:tc>
              <w:tcPr>
                <w:tcW w:w="621" w:type="pct"/>
                <w:shd w:val="clear" w:color="auto" w:fill="FFFFFF" w:themeFill="background2"/>
                <w:vAlign w:val="center"/>
              </w:tcPr>
              <w:p w14:paraId="17F50D2B" w14:textId="766BFAF5" w:rsidR="00ED1DDC" w:rsidRPr="00ED33EF" w:rsidRDefault="00ED1DDC" w:rsidP="00EC6766">
                <w:pPr>
                  <w:pStyle w:val="TableTextLeft"/>
                  <w:spacing w:before="0" w:after="0"/>
                  <w:jc w:val="center"/>
                  <w:rPr>
                    <w:rFonts w:cs="Segoe UI"/>
                    <w:sz w:val="14"/>
                    <w:szCs w:val="14"/>
                    <w:lang w:eastAsia="it-IT"/>
                  </w:rPr>
                </w:pPr>
                <w:r w:rsidRPr="0032337D">
                  <w:rPr>
                    <w:rFonts w:cs="Segoe UI"/>
                    <w:sz w:val="14"/>
                    <w:lang w:eastAsia="it-IT"/>
                  </w:rPr>
                  <w:t>53.8%</w:t>
                </w:r>
              </w:p>
            </w:tc>
            <w:tc>
              <w:tcPr>
                <w:tcW w:w="615" w:type="pct"/>
                <w:shd w:val="clear" w:color="auto" w:fill="FFFFFF" w:themeFill="background2"/>
                <w:vAlign w:val="center"/>
              </w:tcPr>
              <w:p w14:paraId="2F06EFC8" w14:textId="1390E00F" w:rsidR="00ED1DDC" w:rsidRPr="00ED33EF" w:rsidRDefault="00ED1DDC" w:rsidP="00EC6766">
                <w:pPr>
                  <w:pStyle w:val="TableTextLeft"/>
                  <w:spacing w:before="0" w:after="0"/>
                  <w:jc w:val="center"/>
                  <w:rPr>
                    <w:rFonts w:cs="Segoe UI"/>
                    <w:sz w:val="14"/>
                    <w:szCs w:val="14"/>
                    <w:lang w:eastAsia="it-IT"/>
                  </w:rPr>
                </w:pPr>
                <w:r w:rsidRPr="0032337D">
                  <w:rPr>
                    <w:rFonts w:cs="Segoe UI"/>
                    <w:sz w:val="14"/>
                    <w:lang w:eastAsia="it-IT"/>
                  </w:rPr>
                  <w:t>4.9%</w:t>
                </w:r>
              </w:p>
            </w:tc>
          </w:tr>
          <w:tr w:rsidR="00ED1DDC" w:rsidRPr="00ED33EF" w14:paraId="0D42C77B" w14:textId="63C809F0" w:rsidTr="00A875C2">
            <w:trPr>
              <w:trHeight w:val="283"/>
            </w:trPr>
            <w:tc>
              <w:tcPr>
                <w:tcW w:w="661" w:type="pct"/>
                <w:shd w:val="clear" w:color="auto" w:fill="FFFFFF" w:themeFill="background2"/>
                <w:tcMar>
                  <w:top w:w="60" w:type="dxa"/>
                  <w:left w:w="114" w:type="dxa"/>
                  <w:bottom w:w="60" w:type="dxa"/>
                  <w:right w:w="114" w:type="dxa"/>
                </w:tcMar>
                <w:vAlign w:val="center"/>
              </w:tcPr>
              <w:p w14:paraId="381466D7" w14:textId="1A8775D0" w:rsidR="00ED1DDC" w:rsidRPr="0032337D" w:rsidRDefault="00ED1DDC" w:rsidP="004604F5">
                <w:pPr>
                  <w:pStyle w:val="TableIndent3"/>
                  <w:spacing w:before="0" w:after="0"/>
                  <w:ind w:left="0"/>
                  <w:rPr>
                    <w:rFonts w:cs="Segoe UI"/>
                    <w:b/>
                    <w:sz w:val="14"/>
                    <w:lang w:val="en-GB" w:eastAsia="it-IT"/>
                  </w:rPr>
                </w:pPr>
                <w:r w:rsidRPr="003E4478">
                  <w:rPr>
                    <w:rFonts w:cs="Segoe UI"/>
                    <w:b/>
                    <w:sz w:val="14"/>
                    <w:lang w:val="en-GB" w:eastAsia="it-IT"/>
                  </w:rPr>
                  <w:t>31 December 2011</w:t>
                </w:r>
              </w:p>
            </w:tc>
            <w:tc>
              <w:tcPr>
                <w:tcW w:w="620" w:type="pct"/>
                <w:shd w:val="clear" w:color="auto" w:fill="FFFFFF" w:themeFill="background2"/>
                <w:tcMar>
                  <w:top w:w="60" w:type="dxa"/>
                  <w:left w:w="114" w:type="dxa"/>
                  <w:bottom w:w="60" w:type="dxa"/>
                  <w:right w:w="114" w:type="dxa"/>
                </w:tcMar>
                <w:vAlign w:val="center"/>
              </w:tcPr>
              <w:p w14:paraId="01BA189B" w14:textId="21F321D8" w:rsidR="00ED1DDC" w:rsidRPr="0032337D" w:rsidRDefault="00ED1DDC" w:rsidP="00EC6766">
                <w:pPr>
                  <w:pStyle w:val="TableTextLeft"/>
                  <w:spacing w:before="0" w:after="0"/>
                  <w:jc w:val="center"/>
                  <w:rPr>
                    <w:rFonts w:cs="Segoe UI"/>
                    <w:sz w:val="14"/>
                    <w:lang w:eastAsia="it-IT"/>
                  </w:rPr>
                </w:pPr>
                <w:r w:rsidRPr="0032337D">
                  <w:rPr>
                    <w:rFonts w:cs="Segoe UI"/>
                    <w:sz w:val="14"/>
                    <w:lang w:eastAsia="it-IT"/>
                  </w:rPr>
                  <w:t>7,432</w:t>
                </w:r>
              </w:p>
            </w:tc>
            <w:tc>
              <w:tcPr>
                <w:tcW w:w="620" w:type="pct"/>
                <w:shd w:val="clear" w:color="auto" w:fill="FFFFFF" w:themeFill="background2"/>
                <w:tcMar>
                  <w:top w:w="60" w:type="dxa"/>
                  <w:left w:w="114" w:type="dxa"/>
                  <w:bottom w:w="60" w:type="dxa"/>
                  <w:right w:w="114" w:type="dxa"/>
                </w:tcMar>
                <w:vAlign w:val="center"/>
              </w:tcPr>
              <w:p w14:paraId="5B4EA542" w14:textId="7496E635" w:rsidR="00ED1DDC" w:rsidRPr="0032337D" w:rsidRDefault="00ED1DDC" w:rsidP="00EC6766">
                <w:pPr>
                  <w:pStyle w:val="TableTextLeft"/>
                  <w:spacing w:before="0" w:after="0"/>
                  <w:jc w:val="center"/>
                  <w:rPr>
                    <w:rFonts w:cs="Segoe UI"/>
                    <w:sz w:val="14"/>
                    <w:lang w:eastAsia="it-IT"/>
                  </w:rPr>
                </w:pPr>
                <w:r w:rsidRPr="0032337D">
                  <w:rPr>
                    <w:rFonts w:cs="Segoe UI"/>
                    <w:sz w:val="14"/>
                    <w:lang w:eastAsia="it-IT"/>
                  </w:rPr>
                  <w:t>29,144</w:t>
                </w:r>
              </w:p>
            </w:tc>
            <w:tc>
              <w:tcPr>
                <w:tcW w:w="621" w:type="pct"/>
                <w:shd w:val="clear" w:color="auto" w:fill="FFFFFF" w:themeFill="background2"/>
                <w:vAlign w:val="center"/>
              </w:tcPr>
              <w:p w14:paraId="7326C299" w14:textId="19752114" w:rsidR="00ED1DDC" w:rsidRPr="0032337D" w:rsidRDefault="00ED1DDC" w:rsidP="00EC6766">
                <w:pPr>
                  <w:pStyle w:val="TableTextLeft"/>
                  <w:spacing w:before="0" w:after="0"/>
                  <w:jc w:val="center"/>
                  <w:rPr>
                    <w:rFonts w:cs="Segoe UI"/>
                    <w:sz w:val="14"/>
                    <w:lang w:eastAsia="it-IT"/>
                  </w:rPr>
                </w:pPr>
                <w:r w:rsidRPr="0032337D">
                  <w:rPr>
                    <w:rFonts w:cs="Segoe UI"/>
                    <w:sz w:val="14"/>
                    <w:lang w:eastAsia="it-IT"/>
                  </w:rPr>
                  <w:t>3,467</w:t>
                </w:r>
              </w:p>
            </w:tc>
            <w:tc>
              <w:tcPr>
                <w:tcW w:w="621" w:type="pct"/>
                <w:shd w:val="clear" w:color="auto" w:fill="FFFFFF" w:themeFill="background2"/>
                <w:vAlign w:val="center"/>
              </w:tcPr>
              <w:p w14:paraId="31044E76" w14:textId="5C4BDEC9" w:rsidR="00ED1DDC" w:rsidRPr="0032337D" w:rsidRDefault="00ED1DDC" w:rsidP="00EC6766">
                <w:pPr>
                  <w:pStyle w:val="TableTextLeft"/>
                  <w:spacing w:before="0" w:after="0"/>
                  <w:jc w:val="center"/>
                  <w:rPr>
                    <w:rFonts w:cs="Segoe UI"/>
                    <w:b/>
                    <w:sz w:val="14"/>
                    <w:lang w:eastAsia="it-IT"/>
                  </w:rPr>
                </w:pPr>
                <w:r w:rsidRPr="0032337D">
                  <w:rPr>
                    <w:rFonts w:cs="Segoe UI"/>
                    <w:b/>
                    <w:sz w:val="14"/>
                    <w:lang w:eastAsia="it-IT"/>
                  </w:rPr>
                  <w:t>40,043</w:t>
                </w:r>
              </w:p>
            </w:tc>
            <w:tc>
              <w:tcPr>
                <w:tcW w:w="621" w:type="pct"/>
                <w:shd w:val="clear" w:color="auto" w:fill="FFFFFF" w:themeFill="background2"/>
                <w:vAlign w:val="center"/>
              </w:tcPr>
              <w:p w14:paraId="0C323B32" w14:textId="78DFFAC5" w:rsidR="00ED1DDC" w:rsidRPr="0032337D" w:rsidRDefault="00ED1DDC" w:rsidP="00EC6766">
                <w:pPr>
                  <w:pStyle w:val="TableTextLeft"/>
                  <w:spacing w:before="0" w:after="0"/>
                  <w:jc w:val="center"/>
                  <w:rPr>
                    <w:rFonts w:cs="Segoe UI"/>
                    <w:b/>
                    <w:sz w:val="14"/>
                    <w:lang w:eastAsia="it-IT"/>
                  </w:rPr>
                </w:pPr>
                <w:r w:rsidRPr="0032337D">
                  <w:rPr>
                    <w:rFonts w:cs="Segoe UI"/>
                    <w:sz w:val="14"/>
                    <w:lang w:eastAsia="it-IT"/>
                  </w:rPr>
                  <w:t>18.6%</w:t>
                </w:r>
              </w:p>
            </w:tc>
            <w:tc>
              <w:tcPr>
                <w:tcW w:w="621" w:type="pct"/>
                <w:shd w:val="clear" w:color="auto" w:fill="FFFFFF" w:themeFill="background2"/>
                <w:vAlign w:val="center"/>
              </w:tcPr>
              <w:p w14:paraId="7E159C11" w14:textId="1104A6B2" w:rsidR="00ED1DDC" w:rsidRPr="0032337D" w:rsidRDefault="00ED1DDC" w:rsidP="00EC6766">
                <w:pPr>
                  <w:pStyle w:val="TableTextLeft"/>
                  <w:spacing w:before="0" w:after="0"/>
                  <w:jc w:val="center"/>
                  <w:rPr>
                    <w:rFonts w:cs="Segoe UI"/>
                    <w:b/>
                    <w:sz w:val="14"/>
                    <w:lang w:eastAsia="it-IT"/>
                  </w:rPr>
                </w:pPr>
                <w:r w:rsidRPr="0032337D">
                  <w:rPr>
                    <w:rFonts w:cs="Segoe UI"/>
                    <w:sz w:val="14"/>
                    <w:lang w:eastAsia="it-IT"/>
                  </w:rPr>
                  <w:t>72.8%</w:t>
                </w:r>
              </w:p>
            </w:tc>
            <w:tc>
              <w:tcPr>
                <w:tcW w:w="615" w:type="pct"/>
                <w:shd w:val="clear" w:color="auto" w:fill="FFFFFF" w:themeFill="background2"/>
                <w:vAlign w:val="center"/>
              </w:tcPr>
              <w:p w14:paraId="1E112D24" w14:textId="77137E64" w:rsidR="00ED1DDC" w:rsidRPr="0032337D" w:rsidRDefault="00ED1DDC" w:rsidP="00EC6766">
                <w:pPr>
                  <w:pStyle w:val="TableTextLeft"/>
                  <w:spacing w:before="0" w:after="0"/>
                  <w:jc w:val="center"/>
                  <w:rPr>
                    <w:rFonts w:cs="Segoe UI"/>
                    <w:b/>
                    <w:sz w:val="14"/>
                    <w:lang w:eastAsia="it-IT"/>
                  </w:rPr>
                </w:pPr>
                <w:r w:rsidRPr="0032337D">
                  <w:rPr>
                    <w:rFonts w:cs="Segoe UI"/>
                    <w:sz w:val="14"/>
                    <w:lang w:eastAsia="it-IT"/>
                  </w:rPr>
                  <w:t>8.7%</w:t>
                </w:r>
              </w:p>
            </w:tc>
          </w:tr>
          <w:tr w:rsidR="00ED1DDC" w:rsidRPr="00ED33EF" w14:paraId="3307DB27" w14:textId="641188F8" w:rsidTr="00A875C2">
            <w:trPr>
              <w:trHeight w:val="283"/>
            </w:trPr>
            <w:tc>
              <w:tcPr>
                <w:tcW w:w="661" w:type="pct"/>
                <w:shd w:val="clear" w:color="auto" w:fill="FFFFFF" w:themeFill="background2"/>
                <w:tcMar>
                  <w:top w:w="60" w:type="dxa"/>
                  <w:left w:w="114" w:type="dxa"/>
                  <w:bottom w:w="60" w:type="dxa"/>
                  <w:right w:w="114" w:type="dxa"/>
                </w:tcMar>
                <w:vAlign w:val="center"/>
              </w:tcPr>
              <w:p w14:paraId="364D2A29" w14:textId="006968C3" w:rsidR="00ED1DDC" w:rsidRPr="0032337D" w:rsidRDefault="00ED1DDC" w:rsidP="004604F5">
                <w:pPr>
                  <w:pStyle w:val="TableIndent3"/>
                  <w:spacing w:before="0" w:after="0"/>
                  <w:ind w:left="0"/>
                  <w:rPr>
                    <w:rFonts w:cs="Segoe UI"/>
                    <w:b/>
                    <w:sz w:val="14"/>
                    <w:lang w:val="en-GB" w:eastAsia="it-IT"/>
                  </w:rPr>
                </w:pPr>
                <w:r w:rsidRPr="003E4478">
                  <w:rPr>
                    <w:rFonts w:cs="Segoe UI"/>
                    <w:b/>
                    <w:sz w:val="14"/>
                    <w:lang w:val="en-GB" w:eastAsia="it-IT"/>
                  </w:rPr>
                  <w:t>31 December 2012</w:t>
                </w:r>
              </w:p>
            </w:tc>
            <w:tc>
              <w:tcPr>
                <w:tcW w:w="620" w:type="pct"/>
                <w:shd w:val="clear" w:color="auto" w:fill="FFFFFF" w:themeFill="background2"/>
                <w:tcMar>
                  <w:top w:w="60" w:type="dxa"/>
                  <w:left w:w="114" w:type="dxa"/>
                  <w:bottom w:w="60" w:type="dxa"/>
                  <w:right w:w="114" w:type="dxa"/>
                </w:tcMar>
                <w:vAlign w:val="center"/>
              </w:tcPr>
              <w:p w14:paraId="49572828" w14:textId="6C20590A" w:rsidR="00ED1DDC" w:rsidRPr="0032337D" w:rsidRDefault="00ED1DDC" w:rsidP="00EC6766">
                <w:pPr>
                  <w:pStyle w:val="TableTextLeft"/>
                  <w:spacing w:before="0" w:after="0"/>
                  <w:jc w:val="center"/>
                  <w:rPr>
                    <w:rFonts w:cs="Segoe UI"/>
                    <w:sz w:val="14"/>
                    <w:lang w:eastAsia="it-IT"/>
                  </w:rPr>
                </w:pPr>
                <w:r w:rsidRPr="0032337D">
                  <w:rPr>
                    <w:rFonts w:cs="Segoe UI"/>
                    <w:sz w:val="14"/>
                    <w:lang w:eastAsia="it-IT"/>
                  </w:rPr>
                  <w:t>4,323</w:t>
                </w:r>
              </w:p>
            </w:tc>
            <w:tc>
              <w:tcPr>
                <w:tcW w:w="620" w:type="pct"/>
                <w:shd w:val="clear" w:color="auto" w:fill="FFFFFF" w:themeFill="background2"/>
                <w:tcMar>
                  <w:top w:w="60" w:type="dxa"/>
                  <w:left w:w="114" w:type="dxa"/>
                  <w:bottom w:w="60" w:type="dxa"/>
                  <w:right w:w="114" w:type="dxa"/>
                </w:tcMar>
                <w:vAlign w:val="center"/>
              </w:tcPr>
              <w:p w14:paraId="2FAC6864" w14:textId="43CD8E6B" w:rsidR="00ED1DDC" w:rsidRPr="0032337D" w:rsidRDefault="00ED1DDC" w:rsidP="00EC6766">
                <w:pPr>
                  <w:pStyle w:val="TableTextLeft"/>
                  <w:spacing w:before="0" w:after="0"/>
                  <w:jc w:val="center"/>
                  <w:rPr>
                    <w:rFonts w:cs="Segoe UI"/>
                    <w:sz w:val="14"/>
                    <w:lang w:eastAsia="it-IT"/>
                  </w:rPr>
                </w:pPr>
                <w:r w:rsidRPr="0032337D">
                  <w:rPr>
                    <w:rFonts w:cs="Segoe UI"/>
                    <w:sz w:val="14"/>
                    <w:lang w:eastAsia="it-IT"/>
                  </w:rPr>
                  <w:t>19,756</w:t>
                </w:r>
              </w:p>
            </w:tc>
            <w:tc>
              <w:tcPr>
                <w:tcW w:w="621" w:type="pct"/>
                <w:shd w:val="clear" w:color="auto" w:fill="FFFFFF" w:themeFill="background2"/>
                <w:vAlign w:val="center"/>
              </w:tcPr>
              <w:p w14:paraId="042D805A" w14:textId="2EAECCD1" w:rsidR="00ED1DDC" w:rsidRPr="0032337D" w:rsidRDefault="00ED1DDC" w:rsidP="00EC6766">
                <w:pPr>
                  <w:pStyle w:val="TableTextLeft"/>
                  <w:spacing w:before="0" w:after="0"/>
                  <w:jc w:val="center"/>
                  <w:rPr>
                    <w:rFonts w:cs="Segoe UI"/>
                    <w:sz w:val="14"/>
                    <w:lang w:eastAsia="it-IT"/>
                  </w:rPr>
                </w:pPr>
                <w:r w:rsidRPr="0032337D">
                  <w:rPr>
                    <w:rFonts w:cs="Segoe UI"/>
                    <w:sz w:val="14"/>
                    <w:lang w:eastAsia="it-IT"/>
                  </w:rPr>
                  <w:t>2,691</w:t>
                </w:r>
              </w:p>
            </w:tc>
            <w:tc>
              <w:tcPr>
                <w:tcW w:w="621" w:type="pct"/>
                <w:shd w:val="clear" w:color="auto" w:fill="FFFFFF" w:themeFill="background2"/>
                <w:vAlign w:val="center"/>
              </w:tcPr>
              <w:p w14:paraId="60A19CC3" w14:textId="6DABFBD1" w:rsidR="00ED1DDC" w:rsidRPr="0032337D" w:rsidRDefault="00ED1DDC" w:rsidP="00EC6766">
                <w:pPr>
                  <w:pStyle w:val="TableTextLeft"/>
                  <w:spacing w:before="0" w:after="0"/>
                  <w:jc w:val="center"/>
                  <w:rPr>
                    <w:rFonts w:cs="Segoe UI"/>
                    <w:b/>
                    <w:sz w:val="14"/>
                    <w:lang w:eastAsia="it-IT"/>
                  </w:rPr>
                </w:pPr>
                <w:r w:rsidRPr="0032337D">
                  <w:rPr>
                    <w:rFonts w:cs="Segoe UI"/>
                    <w:b/>
                    <w:sz w:val="14"/>
                    <w:lang w:eastAsia="it-IT"/>
                  </w:rPr>
                  <w:t>26,770</w:t>
                </w:r>
              </w:p>
            </w:tc>
            <w:tc>
              <w:tcPr>
                <w:tcW w:w="621" w:type="pct"/>
                <w:shd w:val="clear" w:color="auto" w:fill="FFFFFF" w:themeFill="background2"/>
                <w:vAlign w:val="center"/>
              </w:tcPr>
              <w:p w14:paraId="0FC07BBF" w14:textId="64EE776C" w:rsidR="00ED1DDC" w:rsidRPr="0032337D" w:rsidRDefault="00ED1DDC" w:rsidP="00EC6766">
                <w:pPr>
                  <w:pStyle w:val="TableTextLeft"/>
                  <w:spacing w:before="0" w:after="0"/>
                  <w:jc w:val="center"/>
                  <w:rPr>
                    <w:rFonts w:cs="Segoe UI"/>
                    <w:b/>
                    <w:sz w:val="14"/>
                    <w:lang w:eastAsia="it-IT"/>
                  </w:rPr>
                </w:pPr>
                <w:r w:rsidRPr="0032337D">
                  <w:rPr>
                    <w:rFonts w:cs="Segoe UI"/>
                    <w:sz w:val="14"/>
                    <w:lang w:eastAsia="it-IT"/>
                  </w:rPr>
                  <w:t>16.1%</w:t>
                </w:r>
              </w:p>
            </w:tc>
            <w:tc>
              <w:tcPr>
                <w:tcW w:w="621" w:type="pct"/>
                <w:shd w:val="clear" w:color="auto" w:fill="FFFFFF" w:themeFill="background2"/>
                <w:vAlign w:val="center"/>
              </w:tcPr>
              <w:p w14:paraId="665813D8" w14:textId="5B7E0DC3" w:rsidR="00ED1DDC" w:rsidRPr="0032337D" w:rsidRDefault="00ED1DDC" w:rsidP="00EC6766">
                <w:pPr>
                  <w:pStyle w:val="TableTextLeft"/>
                  <w:spacing w:before="0" w:after="0"/>
                  <w:jc w:val="center"/>
                  <w:rPr>
                    <w:rFonts w:cs="Segoe UI"/>
                    <w:b/>
                    <w:sz w:val="14"/>
                    <w:lang w:eastAsia="it-IT"/>
                  </w:rPr>
                </w:pPr>
                <w:r w:rsidRPr="0032337D">
                  <w:rPr>
                    <w:rFonts w:cs="Segoe UI"/>
                    <w:sz w:val="14"/>
                    <w:lang w:eastAsia="it-IT"/>
                  </w:rPr>
                  <w:t>73.8%</w:t>
                </w:r>
              </w:p>
            </w:tc>
            <w:tc>
              <w:tcPr>
                <w:tcW w:w="615" w:type="pct"/>
                <w:shd w:val="clear" w:color="auto" w:fill="FFFFFF" w:themeFill="background2"/>
                <w:vAlign w:val="center"/>
              </w:tcPr>
              <w:p w14:paraId="5BFE2DEB" w14:textId="50CF2255" w:rsidR="00ED1DDC" w:rsidRPr="0032337D" w:rsidRDefault="00ED1DDC" w:rsidP="00EC6766">
                <w:pPr>
                  <w:pStyle w:val="TableTextLeft"/>
                  <w:spacing w:before="0" w:after="0"/>
                  <w:jc w:val="center"/>
                  <w:rPr>
                    <w:rFonts w:cs="Segoe UI"/>
                    <w:b/>
                    <w:sz w:val="14"/>
                    <w:lang w:eastAsia="it-IT"/>
                  </w:rPr>
                </w:pPr>
                <w:r w:rsidRPr="0032337D">
                  <w:rPr>
                    <w:rFonts w:cs="Segoe UI"/>
                    <w:sz w:val="14"/>
                    <w:lang w:eastAsia="it-IT"/>
                  </w:rPr>
                  <w:t>10.1%</w:t>
                </w:r>
              </w:p>
            </w:tc>
          </w:tr>
          <w:tr w:rsidR="00ED1DDC" w:rsidRPr="00ED33EF" w14:paraId="79143824" w14:textId="2FD7A7AF" w:rsidTr="00A875C2">
            <w:trPr>
              <w:trHeight w:val="283"/>
            </w:trPr>
            <w:tc>
              <w:tcPr>
                <w:tcW w:w="661" w:type="pct"/>
                <w:shd w:val="clear" w:color="auto" w:fill="FFFFFF" w:themeFill="background2"/>
                <w:tcMar>
                  <w:top w:w="60" w:type="dxa"/>
                  <w:left w:w="114" w:type="dxa"/>
                  <w:bottom w:w="60" w:type="dxa"/>
                  <w:right w:w="114" w:type="dxa"/>
                </w:tcMar>
                <w:vAlign w:val="center"/>
              </w:tcPr>
              <w:p w14:paraId="38B52110" w14:textId="7AB8E86E" w:rsidR="00ED1DDC" w:rsidRPr="0032337D" w:rsidRDefault="00ED1DDC" w:rsidP="004604F5">
                <w:pPr>
                  <w:pStyle w:val="TableIndent3"/>
                  <w:spacing w:before="0" w:after="0"/>
                  <w:ind w:left="0"/>
                  <w:rPr>
                    <w:rFonts w:cs="Segoe UI"/>
                    <w:b/>
                    <w:sz w:val="14"/>
                    <w:lang w:val="en-GB" w:eastAsia="it-IT"/>
                  </w:rPr>
                </w:pPr>
                <w:r w:rsidRPr="0032337D">
                  <w:rPr>
                    <w:rFonts w:cs="Segoe UI"/>
                    <w:b/>
                    <w:sz w:val="14"/>
                    <w:lang w:val="en-GB" w:eastAsia="it-IT"/>
                  </w:rPr>
                  <w:t>31 December 2013</w:t>
                </w:r>
              </w:p>
            </w:tc>
            <w:tc>
              <w:tcPr>
                <w:tcW w:w="620" w:type="pct"/>
                <w:shd w:val="clear" w:color="auto" w:fill="FFFFFF" w:themeFill="background2"/>
                <w:tcMar>
                  <w:top w:w="60" w:type="dxa"/>
                  <w:left w:w="114" w:type="dxa"/>
                  <w:bottom w:w="60" w:type="dxa"/>
                  <w:right w:w="114" w:type="dxa"/>
                </w:tcMar>
                <w:vAlign w:val="center"/>
              </w:tcPr>
              <w:p w14:paraId="17C22EDE" w14:textId="48F5700B" w:rsidR="00ED1DDC" w:rsidRPr="002E1E6B" w:rsidRDefault="00ED1DDC" w:rsidP="00EC6766">
                <w:pPr>
                  <w:pStyle w:val="TableTextLeft"/>
                  <w:spacing w:before="0" w:after="0"/>
                  <w:jc w:val="center"/>
                  <w:rPr>
                    <w:rFonts w:cs="Segoe UI"/>
                    <w:sz w:val="14"/>
                    <w:lang w:eastAsia="it-IT"/>
                  </w:rPr>
                </w:pPr>
                <w:r w:rsidRPr="0032337D">
                  <w:rPr>
                    <w:rFonts w:cs="Segoe UI"/>
                    <w:sz w:val="14"/>
                    <w:lang w:eastAsia="it-IT"/>
                  </w:rPr>
                  <w:t>5,847</w:t>
                </w:r>
              </w:p>
            </w:tc>
            <w:tc>
              <w:tcPr>
                <w:tcW w:w="620" w:type="pct"/>
                <w:shd w:val="clear" w:color="auto" w:fill="FFFFFF" w:themeFill="background2"/>
                <w:tcMar>
                  <w:top w:w="60" w:type="dxa"/>
                  <w:left w:w="114" w:type="dxa"/>
                  <w:bottom w:w="60" w:type="dxa"/>
                  <w:right w:w="114" w:type="dxa"/>
                </w:tcMar>
                <w:vAlign w:val="center"/>
              </w:tcPr>
              <w:p w14:paraId="0F8CBC24" w14:textId="226819A6" w:rsidR="00ED1DDC" w:rsidRPr="002E1E6B" w:rsidRDefault="00ED1DDC" w:rsidP="00EC6766">
                <w:pPr>
                  <w:pStyle w:val="TableTextLeft"/>
                  <w:spacing w:before="0" w:after="0"/>
                  <w:jc w:val="center"/>
                  <w:rPr>
                    <w:rFonts w:cs="Segoe UI"/>
                    <w:sz w:val="14"/>
                    <w:lang w:eastAsia="it-IT"/>
                  </w:rPr>
                </w:pPr>
                <w:r w:rsidRPr="0032337D">
                  <w:rPr>
                    <w:rFonts w:cs="Segoe UI"/>
                    <w:sz w:val="14"/>
                    <w:lang w:eastAsia="it-IT"/>
                  </w:rPr>
                  <w:t>20,764</w:t>
                </w:r>
              </w:p>
            </w:tc>
            <w:tc>
              <w:tcPr>
                <w:tcW w:w="621" w:type="pct"/>
                <w:shd w:val="clear" w:color="auto" w:fill="FFFFFF" w:themeFill="background2"/>
                <w:vAlign w:val="center"/>
              </w:tcPr>
              <w:p w14:paraId="251A5B1D" w14:textId="14B385B7" w:rsidR="00ED1DDC" w:rsidRPr="002E1E6B" w:rsidRDefault="00ED1DDC" w:rsidP="00EC6766">
                <w:pPr>
                  <w:pStyle w:val="TableTextLeft"/>
                  <w:spacing w:before="0" w:after="0"/>
                  <w:jc w:val="center"/>
                  <w:rPr>
                    <w:rFonts w:cs="Segoe UI"/>
                    <w:sz w:val="14"/>
                    <w:lang w:eastAsia="it-IT"/>
                  </w:rPr>
                </w:pPr>
                <w:r w:rsidRPr="0032337D">
                  <w:rPr>
                    <w:rFonts w:cs="Segoe UI"/>
                    <w:sz w:val="14"/>
                    <w:lang w:eastAsia="it-IT"/>
                  </w:rPr>
                  <w:t>2,659</w:t>
                </w:r>
              </w:p>
            </w:tc>
            <w:tc>
              <w:tcPr>
                <w:tcW w:w="621" w:type="pct"/>
                <w:shd w:val="clear" w:color="auto" w:fill="FFFFFF" w:themeFill="background2"/>
                <w:vAlign w:val="center"/>
              </w:tcPr>
              <w:p w14:paraId="7F263D8D" w14:textId="7218DD75" w:rsidR="00ED1DDC" w:rsidRPr="002E1E6B" w:rsidRDefault="00ED1DDC" w:rsidP="00EC6766">
                <w:pPr>
                  <w:pStyle w:val="TableTextLeft"/>
                  <w:spacing w:before="0" w:after="0"/>
                  <w:jc w:val="center"/>
                  <w:rPr>
                    <w:rFonts w:cs="Segoe UI"/>
                    <w:b/>
                    <w:sz w:val="14"/>
                    <w:lang w:eastAsia="it-IT"/>
                  </w:rPr>
                </w:pPr>
                <w:r w:rsidRPr="0032337D">
                  <w:rPr>
                    <w:rFonts w:cs="Segoe UI"/>
                    <w:b/>
                    <w:sz w:val="14"/>
                    <w:lang w:eastAsia="it-IT"/>
                  </w:rPr>
                  <w:t>29,270</w:t>
                </w:r>
              </w:p>
            </w:tc>
            <w:tc>
              <w:tcPr>
                <w:tcW w:w="621" w:type="pct"/>
                <w:shd w:val="clear" w:color="auto" w:fill="FFFFFF" w:themeFill="background2"/>
                <w:vAlign w:val="center"/>
              </w:tcPr>
              <w:p w14:paraId="7F48B425" w14:textId="50E740E2" w:rsidR="00ED1DDC" w:rsidRPr="002E1E6B" w:rsidRDefault="00ED1DDC" w:rsidP="00EC6766">
                <w:pPr>
                  <w:pStyle w:val="TableTextLeft"/>
                  <w:spacing w:before="0" w:after="0"/>
                  <w:jc w:val="center"/>
                  <w:rPr>
                    <w:rFonts w:cs="Segoe UI"/>
                    <w:b/>
                    <w:sz w:val="14"/>
                    <w:lang w:eastAsia="it-IT"/>
                  </w:rPr>
                </w:pPr>
                <w:r w:rsidRPr="0032337D">
                  <w:rPr>
                    <w:rFonts w:cs="Segoe UI"/>
                    <w:sz w:val="14"/>
                    <w:lang w:eastAsia="it-IT"/>
                  </w:rPr>
                  <w:t>20.0%</w:t>
                </w:r>
              </w:p>
            </w:tc>
            <w:tc>
              <w:tcPr>
                <w:tcW w:w="621" w:type="pct"/>
                <w:shd w:val="clear" w:color="auto" w:fill="FFFFFF" w:themeFill="background2"/>
                <w:vAlign w:val="center"/>
              </w:tcPr>
              <w:p w14:paraId="2333EBE6" w14:textId="6A4FC848" w:rsidR="00ED1DDC" w:rsidRPr="002E1E6B" w:rsidRDefault="00ED1DDC" w:rsidP="00EC6766">
                <w:pPr>
                  <w:pStyle w:val="TableTextLeft"/>
                  <w:spacing w:before="0" w:after="0"/>
                  <w:jc w:val="center"/>
                  <w:rPr>
                    <w:rFonts w:cs="Segoe UI"/>
                    <w:b/>
                    <w:sz w:val="14"/>
                    <w:lang w:eastAsia="it-IT"/>
                  </w:rPr>
                </w:pPr>
                <w:r w:rsidRPr="0032337D">
                  <w:rPr>
                    <w:rFonts w:cs="Segoe UI"/>
                    <w:sz w:val="14"/>
                    <w:lang w:eastAsia="it-IT"/>
                  </w:rPr>
                  <w:t>70.9%</w:t>
                </w:r>
              </w:p>
            </w:tc>
            <w:tc>
              <w:tcPr>
                <w:tcW w:w="615" w:type="pct"/>
                <w:shd w:val="clear" w:color="auto" w:fill="FFFFFF" w:themeFill="background2"/>
                <w:vAlign w:val="center"/>
              </w:tcPr>
              <w:p w14:paraId="19EDA528" w14:textId="0E720E5A" w:rsidR="00ED1DDC" w:rsidRPr="002E1E6B" w:rsidRDefault="00ED1DDC" w:rsidP="00EC6766">
                <w:pPr>
                  <w:pStyle w:val="TableTextLeft"/>
                  <w:spacing w:before="0" w:after="0"/>
                  <w:jc w:val="center"/>
                  <w:rPr>
                    <w:rFonts w:cs="Segoe UI"/>
                    <w:b/>
                    <w:sz w:val="14"/>
                    <w:lang w:eastAsia="it-IT"/>
                  </w:rPr>
                </w:pPr>
                <w:r w:rsidRPr="0032337D">
                  <w:rPr>
                    <w:rFonts w:cs="Segoe UI"/>
                    <w:sz w:val="14"/>
                    <w:lang w:eastAsia="it-IT"/>
                  </w:rPr>
                  <w:t>9.1%</w:t>
                </w:r>
              </w:p>
            </w:tc>
          </w:tr>
          <w:tr w:rsidR="00ED1DDC" w:rsidRPr="00ED33EF" w14:paraId="72720BF6" w14:textId="3A289729" w:rsidTr="00A875C2">
            <w:trPr>
              <w:trHeight w:val="283"/>
            </w:trPr>
            <w:tc>
              <w:tcPr>
                <w:tcW w:w="661" w:type="pct"/>
                <w:shd w:val="clear" w:color="auto" w:fill="FFFFFF" w:themeFill="background2"/>
                <w:tcMar>
                  <w:top w:w="60" w:type="dxa"/>
                  <w:left w:w="114" w:type="dxa"/>
                  <w:bottom w:w="60" w:type="dxa"/>
                  <w:right w:w="114" w:type="dxa"/>
                </w:tcMar>
                <w:vAlign w:val="center"/>
              </w:tcPr>
              <w:p w14:paraId="1FD5BD77" w14:textId="561266B7" w:rsidR="00ED1DDC" w:rsidRPr="0032337D" w:rsidRDefault="00ED1DDC" w:rsidP="004604F5">
                <w:pPr>
                  <w:pStyle w:val="TableIndent3"/>
                  <w:spacing w:before="0" w:after="0"/>
                  <w:ind w:left="0"/>
                  <w:rPr>
                    <w:rFonts w:cs="Segoe UI"/>
                    <w:b/>
                    <w:sz w:val="14"/>
                    <w:lang w:val="en-GB" w:eastAsia="it-IT"/>
                  </w:rPr>
                </w:pPr>
                <w:r w:rsidRPr="0032337D">
                  <w:rPr>
                    <w:rFonts w:cs="Segoe UI"/>
                    <w:b/>
                    <w:sz w:val="14"/>
                    <w:lang w:val="en-GB" w:eastAsia="it-IT"/>
                  </w:rPr>
                  <w:t>31 December 2014</w:t>
                </w:r>
              </w:p>
            </w:tc>
            <w:tc>
              <w:tcPr>
                <w:tcW w:w="620" w:type="pct"/>
                <w:shd w:val="clear" w:color="auto" w:fill="FFFFFF" w:themeFill="background2"/>
                <w:tcMar>
                  <w:top w:w="60" w:type="dxa"/>
                  <w:left w:w="114" w:type="dxa"/>
                  <w:bottom w:w="60" w:type="dxa"/>
                  <w:right w:w="114" w:type="dxa"/>
                </w:tcMar>
                <w:vAlign w:val="center"/>
              </w:tcPr>
              <w:p w14:paraId="65D234DA" w14:textId="36630506" w:rsidR="00ED1DDC" w:rsidRPr="002E1E6B" w:rsidRDefault="00ED1DDC" w:rsidP="00EC6766">
                <w:pPr>
                  <w:pStyle w:val="TableTextLeft"/>
                  <w:spacing w:before="0" w:after="0"/>
                  <w:jc w:val="center"/>
                  <w:rPr>
                    <w:rFonts w:cs="Segoe UI"/>
                    <w:sz w:val="14"/>
                    <w:lang w:eastAsia="it-IT"/>
                  </w:rPr>
                </w:pPr>
                <w:r w:rsidRPr="0032337D">
                  <w:rPr>
                    <w:rFonts w:cs="Segoe UI"/>
                    <w:sz w:val="14"/>
                    <w:lang w:eastAsia="it-IT"/>
                  </w:rPr>
                  <w:t>6,703</w:t>
                </w:r>
              </w:p>
            </w:tc>
            <w:tc>
              <w:tcPr>
                <w:tcW w:w="620" w:type="pct"/>
                <w:shd w:val="clear" w:color="auto" w:fill="FFFFFF" w:themeFill="background2"/>
                <w:tcMar>
                  <w:top w:w="60" w:type="dxa"/>
                  <w:left w:w="114" w:type="dxa"/>
                  <w:bottom w:w="60" w:type="dxa"/>
                  <w:right w:w="114" w:type="dxa"/>
                </w:tcMar>
                <w:vAlign w:val="center"/>
              </w:tcPr>
              <w:p w14:paraId="4C4278FE" w14:textId="00BA787D" w:rsidR="00ED1DDC" w:rsidRPr="002E1E6B" w:rsidRDefault="00ED1DDC" w:rsidP="00EC6766">
                <w:pPr>
                  <w:pStyle w:val="TableTextLeft"/>
                  <w:spacing w:before="0" w:after="0"/>
                  <w:jc w:val="center"/>
                  <w:rPr>
                    <w:rFonts w:cs="Segoe UI"/>
                    <w:sz w:val="14"/>
                    <w:lang w:eastAsia="it-IT"/>
                  </w:rPr>
                </w:pPr>
                <w:r w:rsidRPr="0032337D">
                  <w:rPr>
                    <w:rFonts w:cs="Segoe UI"/>
                    <w:sz w:val="14"/>
                    <w:lang w:eastAsia="it-IT"/>
                  </w:rPr>
                  <w:t>19,748</w:t>
                </w:r>
              </w:p>
            </w:tc>
            <w:tc>
              <w:tcPr>
                <w:tcW w:w="621" w:type="pct"/>
                <w:shd w:val="clear" w:color="auto" w:fill="FFFFFF" w:themeFill="background2"/>
                <w:vAlign w:val="center"/>
              </w:tcPr>
              <w:p w14:paraId="2D289465" w14:textId="6283FFF1" w:rsidR="00ED1DDC" w:rsidRPr="002E1E6B" w:rsidRDefault="00ED1DDC" w:rsidP="00EC6766">
                <w:pPr>
                  <w:pStyle w:val="TableTextLeft"/>
                  <w:spacing w:before="0" w:after="0"/>
                  <w:jc w:val="center"/>
                  <w:rPr>
                    <w:rFonts w:cs="Segoe UI"/>
                    <w:sz w:val="14"/>
                    <w:lang w:eastAsia="it-IT"/>
                  </w:rPr>
                </w:pPr>
                <w:r w:rsidRPr="0032337D">
                  <w:rPr>
                    <w:rFonts w:cs="Segoe UI"/>
                    <w:sz w:val="14"/>
                    <w:lang w:eastAsia="it-IT"/>
                  </w:rPr>
                  <w:t>2,957</w:t>
                </w:r>
              </w:p>
            </w:tc>
            <w:tc>
              <w:tcPr>
                <w:tcW w:w="621" w:type="pct"/>
                <w:shd w:val="clear" w:color="auto" w:fill="FFFFFF" w:themeFill="background2"/>
                <w:vAlign w:val="center"/>
              </w:tcPr>
              <w:p w14:paraId="08D1C4A8" w14:textId="50AA968D" w:rsidR="00ED1DDC" w:rsidRPr="002E1E6B" w:rsidRDefault="00ED1DDC" w:rsidP="00EC6766">
                <w:pPr>
                  <w:pStyle w:val="TableTextLeft"/>
                  <w:spacing w:before="0" w:after="0"/>
                  <w:jc w:val="center"/>
                  <w:rPr>
                    <w:rFonts w:cs="Segoe UI"/>
                    <w:b/>
                    <w:sz w:val="14"/>
                    <w:lang w:eastAsia="it-IT"/>
                  </w:rPr>
                </w:pPr>
                <w:r w:rsidRPr="0032337D">
                  <w:rPr>
                    <w:rFonts w:cs="Segoe UI"/>
                    <w:b/>
                    <w:sz w:val="14"/>
                    <w:lang w:eastAsia="it-IT"/>
                  </w:rPr>
                  <w:t>29,408</w:t>
                </w:r>
              </w:p>
            </w:tc>
            <w:tc>
              <w:tcPr>
                <w:tcW w:w="621" w:type="pct"/>
                <w:shd w:val="clear" w:color="auto" w:fill="FFFFFF" w:themeFill="background2"/>
                <w:vAlign w:val="center"/>
              </w:tcPr>
              <w:p w14:paraId="423BC2CE" w14:textId="3120BA74" w:rsidR="00ED1DDC" w:rsidRPr="002E1E6B" w:rsidRDefault="00ED1DDC" w:rsidP="00EC6766">
                <w:pPr>
                  <w:pStyle w:val="TableTextLeft"/>
                  <w:spacing w:before="0" w:after="0"/>
                  <w:jc w:val="center"/>
                  <w:rPr>
                    <w:rFonts w:cs="Segoe UI"/>
                    <w:b/>
                    <w:sz w:val="14"/>
                    <w:lang w:eastAsia="it-IT"/>
                  </w:rPr>
                </w:pPr>
                <w:r w:rsidRPr="0032337D">
                  <w:rPr>
                    <w:rFonts w:cs="Segoe UI"/>
                    <w:sz w:val="14"/>
                    <w:lang w:eastAsia="it-IT"/>
                  </w:rPr>
                  <w:t>22.8%</w:t>
                </w:r>
              </w:p>
            </w:tc>
            <w:tc>
              <w:tcPr>
                <w:tcW w:w="621" w:type="pct"/>
                <w:shd w:val="clear" w:color="auto" w:fill="FFFFFF" w:themeFill="background2"/>
                <w:vAlign w:val="center"/>
              </w:tcPr>
              <w:p w14:paraId="09AD3A8C" w14:textId="71984303" w:rsidR="00ED1DDC" w:rsidRPr="002E1E6B" w:rsidRDefault="00ED1DDC" w:rsidP="00EC6766">
                <w:pPr>
                  <w:pStyle w:val="TableTextLeft"/>
                  <w:spacing w:before="0" w:after="0"/>
                  <w:jc w:val="center"/>
                  <w:rPr>
                    <w:rFonts w:cs="Segoe UI"/>
                    <w:b/>
                    <w:sz w:val="14"/>
                    <w:lang w:eastAsia="it-IT"/>
                  </w:rPr>
                </w:pPr>
                <w:r w:rsidRPr="0032337D">
                  <w:rPr>
                    <w:rFonts w:cs="Segoe UI"/>
                    <w:sz w:val="14"/>
                    <w:lang w:eastAsia="it-IT"/>
                  </w:rPr>
                  <w:t>67.2%</w:t>
                </w:r>
              </w:p>
            </w:tc>
            <w:tc>
              <w:tcPr>
                <w:tcW w:w="615" w:type="pct"/>
                <w:shd w:val="clear" w:color="auto" w:fill="FFFFFF" w:themeFill="background2"/>
                <w:vAlign w:val="center"/>
              </w:tcPr>
              <w:p w14:paraId="55ABBAF0" w14:textId="02758F00" w:rsidR="00ED1DDC" w:rsidRPr="002E1E6B" w:rsidRDefault="00ED1DDC" w:rsidP="00EC6766">
                <w:pPr>
                  <w:pStyle w:val="TableTextLeft"/>
                  <w:spacing w:before="0" w:after="0"/>
                  <w:jc w:val="center"/>
                  <w:rPr>
                    <w:rFonts w:cs="Segoe UI"/>
                    <w:b/>
                    <w:sz w:val="14"/>
                    <w:lang w:eastAsia="it-IT"/>
                  </w:rPr>
                </w:pPr>
                <w:r w:rsidRPr="0032337D">
                  <w:rPr>
                    <w:rFonts w:cs="Segoe UI"/>
                    <w:sz w:val="14"/>
                    <w:lang w:eastAsia="it-IT"/>
                  </w:rPr>
                  <w:t>10.1%</w:t>
                </w:r>
              </w:p>
            </w:tc>
          </w:tr>
          <w:tr w:rsidR="00ED1DDC" w:rsidRPr="00ED33EF" w14:paraId="79ED1754" w14:textId="52369EAE" w:rsidTr="00A875C2">
            <w:trPr>
              <w:trHeight w:val="283"/>
            </w:trPr>
            <w:tc>
              <w:tcPr>
                <w:tcW w:w="661" w:type="pct"/>
                <w:shd w:val="clear" w:color="auto" w:fill="FFFFFF" w:themeFill="background2"/>
                <w:tcMar>
                  <w:top w:w="60" w:type="dxa"/>
                  <w:left w:w="114" w:type="dxa"/>
                  <w:bottom w:w="60" w:type="dxa"/>
                  <w:right w:w="114" w:type="dxa"/>
                </w:tcMar>
                <w:vAlign w:val="center"/>
              </w:tcPr>
              <w:p w14:paraId="1C41DFA5" w14:textId="3BB861CA" w:rsidR="00ED1DDC" w:rsidRPr="0032337D" w:rsidRDefault="00ED1DDC" w:rsidP="004604F5">
                <w:pPr>
                  <w:pStyle w:val="TableIndent3"/>
                  <w:spacing w:before="0" w:after="0"/>
                  <w:ind w:left="0"/>
                  <w:rPr>
                    <w:rFonts w:cs="Segoe UI"/>
                    <w:b/>
                    <w:sz w:val="14"/>
                    <w:lang w:val="en-GB" w:eastAsia="it-IT"/>
                  </w:rPr>
                </w:pPr>
                <w:r w:rsidRPr="0032337D">
                  <w:rPr>
                    <w:rFonts w:cs="Segoe UI"/>
                    <w:b/>
                    <w:sz w:val="14"/>
                    <w:lang w:val="en-GB" w:eastAsia="it-IT"/>
                  </w:rPr>
                  <w:t>31 December 2015</w:t>
                </w:r>
              </w:p>
            </w:tc>
            <w:tc>
              <w:tcPr>
                <w:tcW w:w="620" w:type="pct"/>
                <w:shd w:val="clear" w:color="auto" w:fill="FFFFFF" w:themeFill="background2"/>
                <w:tcMar>
                  <w:top w:w="60" w:type="dxa"/>
                  <w:left w:w="114" w:type="dxa"/>
                  <w:bottom w:w="60" w:type="dxa"/>
                  <w:right w:w="114" w:type="dxa"/>
                </w:tcMar>
                <w:vAlign w:val="center"/>
              </w:tcPr>
              <w:p w14:paraId="262D7969" w14:textId="3F792DE2" w:rsidR="00ED1DDC" w:rsidRPr="002E1E6B" w:rsidRDefault="00ED1DDC" w:rsidP="00EC6766">
                <w:pPr>
                  <w:pStyle w:val="TableTextLeft"/>
                  <w:spacing w:before="0" w:after="0"/>
                  <w:jc w:val="center"/>
                  <w:rPr>
                    <w:rFonts w:cs="Segoe UI"/>
                    <w:sz w:val="14"/>
                    <w:lang w:eastAsia="it-IT"/>
                  </w:rPr>
                </w:pPr>
                <w:r w:rsidRPr="0032337D">
                  <w:rPr>
                    <w:rFonts w:cs="Segoe UI"/>
                    <w:sz w:val="14"/>
                    <w:lang w:eastAsia="it-IT"/>
                  </w:rPr>
                  <w:t>4,636</w:t>
                </w:r>
              </w:p>
            </w:tc>
            <w:tc>
              <w:tcPr>
                <w:tcW w:w="620" w:type="pct"/>
                <w:shd w:val="clear" w:color="auto" w:fill="FFFFFF" w:themeFill="background2"/>
                <w:tcMar>
                  <w:top w:w="60" w:type="dxa"/>
                  <w:left w:w="114" w:type="dxa"/>
                  <w:bottom w:w="60" w:type="dxa"/>
                  <w:right w:w="114" w:type="dxa"/>
                </w:tcMar>
                <w:vAlign w:val="center"/>
              </w:tcPr>
              <w:p w14:paraId="39977B06" w14:textId="4A7FB5E9" w:rsidR="00ED1DDC" w:rsidRPr="002E1E6B" w:rsidRDefault="00ED1DDC" w:rsidP="00EC6766">
                <w:pPr>
                  <w:pStyle w:val="TableTextLeft"/>
                  <w:spacing w:before="0" w:after="0"/>
                  <w:jc w:val="center"/>
                  <w:rPr>
                    <w:rFonts w:cs="Segoe UI"/>
                    <w:sz w:val="14"/>
                    <w:lang w:eastAsia="it-IT"/>
                  </w:rPr>
                </w:pPr>
                <w:r w:rsidRPr="0032337D">
                  <w:rPr>
                    <w:rFonts w:cs="Segoe UI"/>
                    <w:sz w:val="14"/>
                    <w:lang w:eastAsia="it-IT"/>
                  </w:rPr>
                  <w:t>12,593</w:t>
                </w:r>
              </w:p>
            </w:tc>
            <w:tc>
              <w:tcPr>
                <w:tcW w:w="621" w:type="pct"/>
                <w:shd w:val="clear" w:color="auto" w:fill="FFFFFF" w:themeFill="background2"/>
                <w:vAlign w:val="center"/>
              </w:tcPr>
              <w:p w14:paraId="035772C5" w14:textId="65ED66E8" w:rsidR="00ED1DDC" w:rsidRPr="002E1E6B" w:rsidRDefault="00ED1DDC" w:rsidP="00EC6766">
                <w:pPr>
                  <w:pStyle w:val="TableTextLeft"/>
                  <w:spacing w:before="0" w:after="0"/>
                  <w:jc w:val="center"/>
                  <w:rPr>
                    <w:rFonts w:cs="Segoe UI"/>
                    <w:sz w:val="14"/>
                    <w:lang w:eastAsia="it-IT"/>
                  </w:rPr>
                </w:pPr>
                <w:r w:rsidRPr="0032337D">
                  <w:rPr>
                    <w:rFonts w:cs="Segoe UI"/>
                    <w:sz w:val="14"/>
                    <w:lang w:eastAsia="it-IT"/>
                  </w:rPr>
                  <w:t>2,485</w:t>
                </w:r>
              </w:p>
            </w:tc>
            <w:tc>
              <w:tcPr>
                <w:tcW w:w="621" w:type="pct"/>
                <w:shd w:val="clear" w:color="auto" w:fill="FFFFFF" w:themeFill="background2"/>
                <w:vAlign w:val="center"/>
              </w:tcPr>
              <w:p w14:paraId="4CDA9E06" w14:textId="72A77161" w:rsidR="00ED1DDC" w:rsidRPr="002E1E6B" w:rsidRDefault="00ED1DDC" w:rsidP="00EC6766">
                <w:pPr>
                  <w:pStyle w:val="TableTextLeft"/>
                  <w:spacing w:before="0" w:after="0"/>
                  <w:jc w:val="center"/>
                  <w:rPr>
                    <w:rFonts w:cs="Segoe UI"/>
                    <w:b/>
                    <w:sz w:val="14"/>
                    <w:lang w:eastAsia="it-IT"/>
                  </w:rPr>
                </w:pPr>
                <w:r w:rsidRPr="0032337D">
                  <w:rPr>
                    <w:rFonts w:cs="Segoe UI"/>
                    <w:b/>
                    <w:sz w:val="14"/>
                    <w:lang w:eastAsia="it-IT"/>
                  </w:rPr>
                  <w:t>19,714</w:t>
                </w:r>
              </w:p>
            </w:tc>
            <w:tc>
              <w:tcPr>
                <w:tcW w:w="621" w:type="pct"/>
                <w:shd w:val="clear" w:color="auto" w:fill="FFFFFF" w:themeFill="background2"/>
                <w:vAlign w:val="center"/>
              </w:tcPr>
              <w:p w14:paraId="14725C58" w14:textId="7B9E92B6" w:rsidR="00ED1DDC" w:rsidRPr="002E1E6B" w:rsidRDefault="00ED1DDC" w:rsidP="00EC6766">
                <w:pPr>
                  <w:pStyle w:val="TableTextLeft"/>
                  <w:spacing w:before="0" w:after="0"/>
                  <w:jc w:val="center"/>
                  <w:rPr>
                    <w:rFonts w:cs="Segoe UI"/>
                    <w:b/>
                    <w:sz w:val="14"/>
                    <w:lang w:eastAsia="it-IT"/>
                  </w:rPr>
                </w:pPr>
                <w:r w:rsidRPr="0032337D">
                  <w:rPr>
                    <w:rFonts w:cs="Segoe UI"/>
                    <w:sz w:val="14"/>
                    <w:lang w:eastAsia="it-IT"/>
                  </w:rPr>
                  <w:t>23.5%</w:t>
                </w:r>
              </w:p>
            </w:tc>
            <w:tc>
              <w:tcPr>
                <w:tcW w:w="621" w:type="pct"/>
                <w:shd w:val="clear" w:color="auto" w:fill="FFFFFF" w:themeFill="background2"/>
                <w:vAlign w:val="center"/>
              </w:tcPr>
              <w:p w14:paraId="024D5B5D" w14:textId="00C29E7A" w:rsidR="00ED1DDC" w:rsidRPr="002E1E6B" w:rsidRDefault="00ED1DDC" w:rsidP="00EC6766">
                <w:pPr>
                  <w:pStyle w:val="TableTextLeft"/>
                  <w:spacing w:before="0" w:after="0"/>
                  <w:jc w:val="center"/>
                  <w:rPr>
                    <w:rFonts w:cs="Segoe UI"/>
                    <w:b/>
                    <w:sz w:val="14"/>
                    <w:lang w:eastAsia="it-IT"/>
                  </w:rPr>
                </w:pPr>
                <w:r w:rsidRPr="0032337D">
                  <w:rPr>
                    <w:rFonts w:cs="Segoe UI"/>
                    <w:sz w:val="14"/>
                    <w:lang w:eastAsia="it-IT"/>
                  </w:rPr>
                  <w:t>63.9%</w:t>
                </w:r>
              </w:p>
            </w:tc>
            <w:tc>
              <w:tcPr>
                <w:tcW w:w="615" w:type="pct"/>
                <w:shd w:val="clear" w:color="auto" w:fill="FFFFFF" w:themeFill="background2"/>
                <w:vAlign w:val="center"/>
              </w:tcPr>
              <w:p w14:paraId="6CB6A585" w14:textId="36DDCF66" w:rsidR="00ED1DDC" w:rsidRPr="002E1E6B" w:rsidRDefault="00ED1DDC" w:rsidP="00EC6766">
                <w:pPr>
                  <w:pStyle w:val="TableTextLeft"/>
                  <w:spacing w:before="0" w:after="0"/>
                  <w:jc w:val="center"/>
                  <w:rPr>
                    <w:rFonts w:cs="Segoe UI"/>
                    <w:b/>
                    <w:sz w:val="14"/>
                    <w:lang w:eastAsia="it-IT"/>
                  </w:rPr>
                </w:pPr>
                <w:r w:rsidRPr="0032337D">
                  <w:rPr>
                    <w:rFonts w:cs="Segoe UI"/>
                    <w:sz w:val="14"/>
                    <w:lang w:eastAsia="it-IT"/>
                  </w:rPr>
                  <w:t>12.6%</w:t>
                </w:r>
              </w:p>
            </w:tc>
          </w:tr>
          <w:tr w:rsidR="00ED1DDC" w:rsidRPr="00ED33EF" w14:paraId="50D75F33" w14:textId="1504249C" w:rsidTr="00A875C2">
            <w:trPr>
              <w:trHeight w:val="283"/>
            </w:trPr>
            <w:tc>
              <w:tcPr>
                <w:tcW w:w="661" w:type="pct"/>
                <w:shd w:val="clear" w:color="auto" w:fill="FFFFFF" w:themeFill="background2"/>
                <w:tcMar>
                  <w:top w:w="60" w:type="dxa"/>
                  <w:left w:w="114" w:type="dxa"/>
                  <w:bottom w:w="60" w:type="dxa"/>
                  <w:right w:w="114" w:type="dxa"/>
                </w:tcMar>
                <w:vAlign w:val="center"/>
              </w:tcPr>
              <w:p w14:paraId="17A4F8D7" w14:textId="6520E9E2" w:rsidR="00ED1DDC" w:rsidRPr="0032337D" w:rsidRDefault="00ED1DDC" w:rsidP="004604F5">
                <w:pPr>
                  <w:pStyle w:val="TableIndent3"/>
                  <w:spacing w:before="0" w:after="0"/>
                  <w:ind w:left="0"/>
                  <w:rPr>
                    <w:rFonts w:cs="Segoe UI"/>
                    <w:b/>
                    <w:sz w:val="14"/>
                    <w:lang w:val="en-GB" w:eastAsia="it-IT"/>
                  </w:rPr>
                </w:pPr>
                <w:r w:rsidRPr="0032337D">
                  <w:rPr>
                    <w:rFonts w:cs="Segoe UI"/>
                    <w:b/>
                    <w:sz w:val="14"/>
                    <w:lang w:val="en-GB" w:eastAsia="it-IT"/>
                  </w:rPr>
                  <w:t>31 December 2016</w:t>
                </w:r>
              </w:p>
            </w:tc>
            <w:tc>
              <w:tcPr>
                <w:tcW w:w="620" w:type="pct"/>
                <w:shd w:val="clear" w:color="auto" w:fill="FFFFFF" w:themeFill="background2"/>
                <w:tcMar>
                  <w:top w:w="60" w:type="dxa"/>
                  <w:left w:w="114" w:type="dxa"/>
                  <w:bottom w:w="60" w:type="dxa"/>
                  <w:right w:w="114" w:type="dxa"/>
                </w:tcMar>
                <w:vAlign w:val="center"/>
              </w:tcPr>
              <w:p w14:paraId="2EEB0561" w14:textId="7776B575" w:rsidR="00ED1DDC" w:rsidRPr="002E1E6B" w:rsidRDefault="00ED1DDC" w:rsidP="00EC6766">
                <w:pPr>
                  <w:pStyle w:val="TableTextLeft"/>
                  <w:spacing w:before="0" w:after="0"/>
                  <w:jc w:val="center"/>
                  <w:rPr>
                    <w:rFonts w:cs="Segoe UI"/>
                    <w:sz w:val="14"/>
                    <w:lang w:eastAsia="it-IT"/>
                  </w:rPr>
                </w:pPr>
                <w:r w:rsidRPr="0032337D">
                  <w:rPr>
                    <w:rFonts w:cs="Segoe UI"/>
                    <w:sz w:val="14"/>
                    <w:lang w:eastAsia="it-IT"/>
                  </w:rPr>
                  <w:t>7,740</w:t>
                </w:r>
              </w:p>
            </w:tc>
            <w:tc>
              <w:tcPr>
                <w:tcW w:w="620" w:type="pct"/>
                <w:shd w:val="clear" w:color="auto" w:fill="FFFFFF" w:themeFill="background2"/>
                <w:tcMar>
                  <w:top w:w="60" w:type="dxa"/>
                  <w:left w:w="114" w:type="dxa"/>
                  <w:bottom w:w="60" w:type="dxa"/>
                  <w:right w:w="114" w:type="dxa"/>
                </w:tcMar>
                <w:vAlign w:val="center"/>
              </w:tcPr>
              <w:p w14:paraId="093A39B3" w14:textId="7616CF96" w:rsidR="00ED1DDC" w:rsidRPr="002E1E6B" w:rsidRDefault="00ED1DDC" w:rsidP="00EC6766">
                <w:pPr>
                  <w:pStyle w:val="TableTextLeft"/>
                  <w:spacing w:before="0" w:after="0"/>
                  <w:jc w:val="center"/>
                  <w:rPr>
                    <w:rFonts w:cs="Segoe UI"/>
                    <w:sz w:val="14"/>
                    <w:lang w:eastAsia="it-IT"/>
                  </w:rPr>
                </w:pPr>
                <w:r w:rsidRPr="0032337D">
                  <w:rPr>
                    <w:rFonts w:cs="Segoe UI"/>
                    <w:sz w:val="14"/>
                    <w:lang w:eastAsia="it-IT"/>
                  </w:rPr>
                  <w:t>14,634</w:t>
                </w:r>
              </w:p>
            </w:tc>
            <w:tc>
              <w:tcPr>
                <w:tcW w:w="621" w:type="pct"/>
                <w:shd w:val="clear" w:color="auto" w:fill="FFFFFF" w:themeFill="background2"/>
                <w:vAlign w:val="center"/>
              </w:tcPr>
              <w:p w14:paraId="19C44B3E" w14:textId="3AF0B6B1" w:rsidR="00ED1DDC" w:rsidRPr="002E1E6B" w:rsidRDefault="00ED1DDC" w:rsidP="00EC6766">
                <w:pPr>
                  <w:pStyle w:val="TableTextLeft"/>
                  <w:spacing w:before="0" w:after="0"/>
                  <w:jc w:val="center"/>
                  <w:rPr>
                    <w:rFonts w:cs="Segoe UI"/>
                    <w:sz w:val="14"/>
                    <w:lang w:eastAsia="it-IT"/>
                  </w:rPr>
                </w:pPr>
                <w:r w:rsidRPr="0032337D">
                  <w:rPr>
                    <w:rFonts w:cs="Segoe UI"/>
                    <w:sz w:val="14"/>
                    <w:lang w:eastAsia="it-IT"/>
                  </w:rPr>
                  <w:t>2,912</w:t>
                </w:r>
              </w:p>
            </w:tc>
            <w:tc>
              <w:tcPr>
                <w:tcW w:w="621" w:type="pct"/>
                <w:shd w:val="clear" w:color="auto" w:fill="FFFFFF" w:themeFill="background2"/>
                <w:vAlign w:val="center"/>
              </w:tcPr>
              <w:p w14:paraId="1A873A61" w14:textId="14D54118" w:rsidR="00ED1DDC" w:rsidRPr="002E1E6B" w:rsidRDefault="00ED1DDC" w:rsidP="00EC6766">
                <w:pPr>
                  <w:pStyle w:val="TableTextLeft"/>
                  <w:spacing w:before="0" w:after="0"/>
                  <w:jc w:val="center"/>
                  <w:rPr>
                    <w:rFonts w:cs="Segoe UI"/>
                    <w:b/>
                    <w:sz w:val="14"/>
                    <w:lang w:eastAsia="it-IT"/>
                  </w:rPr>
                </w:pPr>
                <w:r w:rsidRPr="0032337D">
                  <w:rPr>
                    <w:rFonts w:cs="Segoe UI"/>
                    <w:b/>
                    <w:sz w:val="14"/>
                    <w:lang w:eastAsia="it-IT"/>
                  </w:rPr>
                  <w:t>25,286</w:t>
                </w:r>
              </w:p>
            </w:tc>
            <w:tc>
              <w:tcPr>
                <w:tcW w:w="621" w:type="pct"/>
                <w:shd w:val="clear" w:color="auto" w:fill="FFFFFF" w:themeFill="background2"/>
                <w:vAlign w:val="center"/>
              </w:tcPr>
              <w:p w14:paraId="5AFD2DFE" w14:textId="27B4C954" w:rsidR="00ED1DDC" w:rsidRPr="002E1E6B" w:rsidRDefault="00ED1DDC" w:rsidP="00EC6766">
                <w:pPr>
                  <w:pStyle w:val="TableTextLeft"/>
                  <w:spacing w:before="0" w:after="0"/>
                  <w:jc w:val="center"/>
                  <w:rPr>
                    <w:rFonts w:cs="Segoe UI"/>
                    <w:b/>
                    <w:sz w:val="14"/>
                    <w:lang w:eastAsia="it-IT"/>
                  </w:rPr>
                </w:pPr>
                <w:r w:rsidRPr="0032337D">
                  <w:rPr>
                    <w:rFonts w:cs="Segoe UI"/>
                    <w:sz w:val="14"/>
                    <w:lang w:eastAsia="it-IT"/>
                  </w:rPr>
                  <w:t>30.6%</w:t>
                </w:r>
              </w:p>
            </w:tc>
            <w:tc>
              <w:tcPr>
                <w:tcW w:w="621" w:type="pct"/>
                <w:shd w:val="clear" w:color="auto" w:fill="FFFFFF" w:themeFill="background2"/>
                <w:vAlign w:val="center"/>
              </w:tcPr>
              <w:p w14:paraId="3DDA4164" w14:textId="5304BB9F" w:rsidR="00ED1DDC" w:rsidRPr="002E1E6B" w:rsidRDefault="00ED1DDC" w:rsidP="00EC6766">
                <w:pPr>
                  <w:pStyle w:val="TableTextLeft"/>
                  <w:spacing w:before="0" w:after="0"/>
                  <w:jc w:val="center"/>
                  <w:rPr>
                    <w:rFonts w:cs="Segoe UI"/>
                    <w:b/>
                    <w:sz w:val="14"/>
                    <w:lang w:eastAsia="it-IT"/>
                  </w:rPr>
                </w:pPr>
                <w:r w:rsidRPr="0032337D">
                  <w:rPr>
                    <w:rFonts w:cs="Segoe UI"/>
                    <w:sz w:val="14"/>
                    <w:lang w:eastAsia="it-IT"/>
                  </w:rPr>
                  <w:t>57.9%</w:t>
                </w:r>
              </w:p>
            </w:tc>
            <w:tc>
              <w:tcPr>
                <w:tcW w:w="615" w:type="pct"/>
                <w:shd w:val="clear" w:color="auto" w:fill="FFFFFF" w:themeFill="background2"/>
                <w:vAlign w:val="center"/>
              </w:tcPr>
              <w:p w14:paraId="790B642E" w14:textId="1D93D2F8" w:rsidR="00ED1DDC" w:rsidRPr="002E1E6B" w:rsidRDefault="00ED1DDC" w:rsidP="00EC6766">
                <w:pPr>
                  <w:pStyle w:val="TableTextLeft"/>
                  <w:spacing w:before="0" w:after="0"/>
                  <w:jc w:val="center"/>
                  <w:rPr>
                    <w:rFonts w:cs="Segoe UI"/>
                    <w:b/>
                    <w:sz w:val="14"/>
                    <w:lang w:eastAsia="it-IT"/>
                  </w:rPr>
                </w:pPr>
                <w:r w:rsidRPr="0032337D">
                  <w:rPr>
                    <w:rFonts w:cs="Segoe UI"/>
                    <w:sz w:val="14"/>
                    <w:lang w:eastAsia="it-IT"/>
                  </w:rPr>
                  <w:t>11.5%</w:t>
                </w:r>
              </w:p>
            </w:tc>
          </w:tr>
          <w:tr w:rsidR="00ED1DDC" w:rsidRPr="00ED33EF" w14:paraId="0302DA4E" w14:textId="02382AA2" w:rsidTr="00A875C2">
            <w:trPr>
              <w:trHeight w:val="283"/>
            </w:trPr>
            <w:tc>
              <w:tcPr>
                <w:tcW w:w="661" w:type="pct"/>
                <w:shd w:val="clear" w:color="auto" w:fill="FFFFFF" w:themeFill="background2"/>
                <w:tcMar>
                  <w:top w:w="60" w:type="dxa"/>
                  <w:left w:w="114" w:type="dxa"/>
                  <w:bottom w:w="60" w:type="dxa"/>
                  <w:right w:w="114" w:type="dxa"/>
                </w:tcMar>
                <w:vAlign w:val="center"/>
              </w:tcPr>
              <w:p w14:paraId="716BF7B3" w14:textId="6F35BA88" w:rsidR="00ED1DDC" w:rsidRPr="0032337D" w:rsidRDefault="00ED1DDC" w:rsidP="004604F5">
                <w:pPr>
                  <w:pStyle w:val="TableIndent3"/>
                  <w:spacing w:before="0" w:after="0"/>
                  <w:ind w:left="0"/>
                  <w:rPr>
                    <w:rFonts w:cs="Segoe UI"/>
                    <w:b/>
                    <w:sz w:val="14"/>
                    <w:lang w:val="en-GB" w:eastAsia="it-IT"/>
                  </w:rPr>
                </w:pPr>
                <w:r w:rsidRPr="0032337D">
                  <w:rPr>
                    <w:rFonts w:cs="Segoe UI"/>
                    <w:b/>
                    <w:sz w:val="14"/>
                    <w:lang w:val="en-GB" w:eastAsia="it-IT"/>
                  </w:rPr>
                  <w:t>31 December 2017</w:t>
                </w:r>
              </w:p>
            </w:tc>
            <w:tc>
              <w:tcPr>
                <w:tcW w:w="620" w:type="pct"/>
                <w:shd w:val="clear" w:color="auto" w:fill="FFFFFF" w:themeFill="background2"/>
                <w:tcMar>
                  <w:top w:w="60" w:type="dxa"/>
                  <w:left w:w="114" w:type="dxa"/>
                  <w:bottom w:w="60" w:type="dxa"/>
                  <w:right w:w="114" w:type="dxa"/>
                </w:tcMar>
                <w:vAlign w:val="center"/>
              </w:tcPr>
              <w:p w14:paraId="560A7581" w14:textId="2AD848AE" w:rsidR="00ED1DDC" w:rsidRPr="002E1E6B" w:rsidRDefault="00ED1DDC" w:rsidP="00EC6766">
                <w:pPr>
                  <w:pStyle w:val="TableTextLeft"/>
                  <w:spacing w:before="0" w:after="0"/>
                  <w:jc w:val="center"/>
                  <w:rPr>
                    <w:rFonts w:cs="Segoe UI"/>
                    <w:sz w:val="14"/>
                    <w:lang w:eastAsia="it-IT"/>
                  </w:rPr>
                </w:pPr>
                <w:r w:rsidRPr="0032337D">
                  <w:rPr>
                    <w:rFonts w:cs="Segoe UI"/>
                    <w:sz w:val="14"/>
                    <w:lang w:eastAsia="it-IT"/>
                  </w:rPr>
                  <w:t>7,289</w:t>
                </w:r>
              </w:p>
            </w:tc>
            <w:tc>
              <w:tcPr>
                <w:tcW w:w="620" w:type="pct"/>
                <w:shd w:val="clear" w:color="auto" w:fill="FFFFFF" w:themeFill="background2"/>
                <w:tcMar>
                  <w:top w:w="60" w:type="dxa"/>
                  <w:left w:w="114" w:type="dxa"/>
                  <w:bottom w:w="60" w:type="dxa"/>
                  <w:right w:w="114" w:type="dxa"/>
                </w:tcMar>
                <w:vAlign w:val="center"/>
              </w:tcPr>
              <w:p w14:paraId="6A4AA9DB" w14:textId="47792F7B" w:rsidR="00ED1DDC" w:rsidRPr="002E1E6B" w:rsidRDefault="00ED1DDC" w:rsidP="00EC6766">
                <w:pPr>
                  <w:pStyle w:val="TableTextLeft"/>
                  <w:spacing w:before="0" w:after="0"/>
                  <w:jc w:val="center"/>
                  <w:rPr>
                    <w:rFonts w:cs="Segoe UI"/>
                    <w:sz w:val="14"/>
                    <w:lang w:eastAsia="it-IT"/>
                  </w:rPr>
                </w:pPr>
                <w:r w:rsidRPr="0032337D">
                  <w:rPr>
                    <w:rFonts w:cs="Segoe UI"/>
                    <w:sz w:val="14"/>
                    <w:lang w:eastAsia="it-IT"/>
                  </w:rPr>
                  <w:t>14,490</w:t>
                </w:r>
              </w:p>
            </w:tc>
            <w:tc>
              <w:tcPr>
                <w:tcW w:w="621" w:type="pct"/>
                <w:shd w:val="clear" w:color="auto" w:fill="FFFFFF" w:themeFill="background2"/>
                <w:vAlign w:val="center"/>
              </w:tcPr>
              <w:p w14:paraId="4D632826" w14:textId="43235D0A" w:rsidR="00ED1DDC" w:rsidRPr="002E1E6B" w:rsidRDefault="00ED1DDC" w:rsidP="00EC6766">
                <w:pPr>
                  <w:pStyle w:val="TableTextLeft"/>
                  <w:spacing w:before="0" w:after="0"/>
                  <w:jc w:val="center"/>
                  <w:rPr>
                    <w:rFonts w:cs="Segoe UI"/>
                    <w:sz w:val="14"/>
                    <w:lang w:eastAsia="it-IT"/>
                  </w:rPr>
                </w:pPr>
                <w:r w:rsidRPr="0032337D">
                  <w:rPr>
                    <w:rFonts w:cs="Segoe UI"/>
                    <w:sz w:val="14"/>
                    <w:lang w:eastAsia="it-IT"/>
                  </w:rPr>
                  <w:t>2,890</w:t>
                </w:r>
              </w:p>
            </w:tc>
            <w:tc>
              <w:tcPr>
                <w:tcW w:w="621" w:type="pct"/>
                <w:shd w:val="clear" w:color="auto" w:fill="FFFFFF" w:themeFill="background2"/>
                <w:vAlign w:val="center"/>
              </w:tcPr>
              <w:p w14:paraId="700821BA" w14:textId="44C79B56" w:rsidR="00ED1DDC" w:rsidRPr="002E1E6B" w:rsidRDefault="00ED1DDC" w:rsidP="00EC6766">
                <w:pPr>
                  <w:pStyle w:val="TableTextLeft"/>
                  <w:spacing w:before="0" w:after="0"/>
                  <w:jc w:val="center"/>
                  <w:rPr>
                    <w:rFonts w:cs="Segoe UI"/>
                    <w:b/>
                    <w:sz w:val="14"/>
                    <w:lang w:eastAsia="it-IT"/>
                  </w:rPr>
                </w:pPr>
                <w:r w:rsidRPr="0032337D">
                  <w:rPr>
                    <w:rFonts w:cs="Segoe UI"/>
                    <w:b/>
                    <w:sz w:val="14"/>
                    <w:lang w:eastAsia="it-IT"/>
                  </w:rPr>
                  <w:t>24,669</w:t>
                </w:r>
              </w:p>
            </w:tc>
            <w:tc>
              <w:tcPr>
                <w:tcW w:w="621" w:type="pct"/>
                <w:shd w:val="clear" w:color="auto" w:fill="FFFFFF" w:themeFill="background2"/>
                <w:vAlign w:val="center"/>
              </w:tcPr>
              <w:p w14:paraId="3FC833F0" w14:textId="4AC73A78" w:rsidR="00ED1DDC" w:rsidRPr="002E1E6B" w:rsidRDefault="00ED1DDC" w:rsidP="00EC6766">
                <w:pPr>
                  <w:pStyle w:val="TableTextLeft"/>
                  <w:spacing w:before="0" w:after="0"/>
                  <w:jc w:val="center"/>
                  <w:rPr>
                    <w:rFonts w:cs="Segoe UI"/>
                    <w:b/>
                    <w:sz w:val="14"/>
                    <w:lang w:eastAsia="it-IT"/>
                  </w:rPr>
                </w:pPr>
                <w:r w:rsidRPr="0032337D">
                  <w:rPr>
                    <w:rFonts w:cs="Segoe UI"/>
                    <w:sz w:val="14"/>
                    <w:lang w:eastAsia="it-IT"/>
                  </w:rPr>
                  <w:t>29.5%</w:t>
                </w:r>
              </w:p>
            </w:tc>
            <w:tc>
              <w:tcPr>
                <w:tcW w:w="621" w:type="pct"/>
                <w:shd w:val="clear" w:color="auto" w:fill="FFFFFF" w:themeFill="background2"/>
                <w:vAlign w:val="center"/>
              </w:tcPr>
              <w:p w14:paraId="7E7D42AC" w14:textId="1D4406F2" w:rsidR="00ED1DDC" w:rsidRPr="002E1E6B" w:rsidRDefault="00ED1DDC" w:rsidP="00EC6766">
                <w:pPr>
                  <w:pStyle w:val="TableTextLeft"/>
                  <w:spacing w:before="0" w:after="0"/>
                  <w:jc w:val="center"/>
                  <w:rPr>
                    <w:rFonts w:cs="Segoe UI"/>
                    <w:b/>
                    <w:sz w:val="14"/>
                    <w:lang w:eastAsia="it-IT"/>
                  </w:rPr>
                </w:pPr>
                <w:r w:rsidRPr="0032337D">
                  <w:rPr>
                    <w:rFonts w:cs="Segoe UI"/>
                    <w:sz w:val="14"/>
                    <w:lang w:eastAsia="it-IT"/>
                  </w:rPr>
                  <w:t>58.7%</w:t>
                </w:r>
              </w:p>
            </w:tc>
            <w:tc>
              <w:tcPr>
                <w:tcW w:w="615" w:type="pct"/>
                <w:shd w:val="clear" w:color="auto" w:fill="FFFFFF" w:themeFill="background2"/>
                <w:vAlign w:val="center"/>
              </w:tcPr>
              <w:p w14:paraId="2673B214" w14:textId="6D71BE7B" w:rsidR="00ED1DDC" w:rsidRPr="002E1E6B" w:rsidRDefault="00ED1DDC" w:rsidP="00EC6766">
                <w:pPr>
                  <w:pStyle w:val="TableTextLeft"/>
                  <w:spacing w:before="0" w:after="0"/>
                  <w:jc w:val="center"/>
                  <w:rPr>
                    <w:rFonts w:cs="Segoe UI"/>
                    <w:b/>
                    <w:sz w:val="14"/>
                    <w:lang w:eastAsia="it-IT"/>
                  </w:rPr>
                </w:pPr>
                <w:r w:rsidRPr="0032337D">
                  <w:rPr>
                    <w:rFonts w:cs="Segoe UI"/>
                    <w:sz w:val="14"/>
                    <w:lang w:eastAsia="it-IT"/>
                  </w:rPr>
                  <w:t>11.7%</w:t>
                </w:r>
              </w:p>
            </w:tc>
          </w:tr>
          <w:tr w:rsidR="00ED1DDC" w:rsidRPr="00ED33EF" w14:paraId="6CFD66B2" w14:textId="12E86780" w:rsidTr="00A875C2">
            <w:trPr>
              <w:trHeight w:val="283"/>
            </w:trPr>
            <w:tc>
              <w:tcPr>
                <w:tcW w:w="661" w:type="pct"/>
                <w:shd w:val="clear" w:color="auto" w:fill="FFFFFF" w:themeFill="background2"/>
                <w:tcMar>
                  <w:top w:w="60" w:type="dxa"/>
                  <w:left w:w="114" w:type="dxa"/>
                  <w:bottom w:w="60" w:type="dxa"/>
                  <w:right w:w="114" w:type="dxa"/>
                </w:tcMar>
                <w:vAlign w:val="center"/>
              </w:tcPr>
              <w:p w14:paraId="1F7D8E05" w14:textId="46F85770" w:rsidR="00ED1DDC" w:rsidRPr="0032337D" w:rsidRDefault="00ED1DDC" w:rsidP="004604F5">
                <w:pPr>
                  <w:pStyle w:val="TableIndent3"/>
                  <w:spacing w:before="0" w:after="0"/>
                  <w:ind w:left="0"/>
                  <w:rPr>
                    <w:rFonts w:cs="Segoe UI"/>
                    <w:b/>
                    <w:sz w:val="14"/>
                    <w:lang w:val="en-GB" w:eastAsia="it-IT"/>
                  </w:rPr>
                </w:pPr>
                <w:r w:rsidRPr="0032337D">
                  <w:rPr>
                    <w:rFonts w:cs="Segoe UI"/>
                    <w:b/>
                    <w:sz w:val="14"/>
                    <w:lang w:val="en-GB" w:eastAsia="it-IT"/>
                  </w:rPr>
                  <w:lastRenderedPageBreak/>
                  <w:t>31 December 2018</w:t>
                </w:r>
              </w:p>
            </w:tc>
            <w:tc>
              <w:tcPr>
                <w:tcW w:w="620" w:type="pct"/>
                <w:shd w:val="clear" w:color="auto" w:fill="FFFFFF" w:themeFill="background2"/>
                <w:tcMar>
                  <w:top w:w="60" w:type="dxa"/>
                  <w:left w:w="114" w:type="dxa"/>
                  <w:bottom w:w="60" w:type="dxa"/>
                  <w:right w:w="114" w:type="dxa"/>
                </w:tcMar>
                <w:vAlign w:val="center"/>
              </w:tcPr>
              <w:p w14:paraId="2EBE2BB0" w14:textId="57BA7819" w:rsidR="00ED1DDC" w:rsidRPr="002E1E6B" w:rsidRDefault="00ED1DDC" w:rsidP="00EC6766">
                <w:pPr>
                  <w:pStyle w:val="TableTextLeft"/>
                  <w:spacing w:before="0" w:after="0"/>
                  <w:jc w:val="center"/>
                  <w:rPr>
                    <w:rFonts w:cs="Segoe UI"/>
                    <w:sz w:val="14"/>
                    <w:lang w:eastAsia="it-IT"/>
                  </w:rPr>
                </w:pPr>
                <w:r w:rsidRPr="0032337D">
                  <w:rPr>
                    <w:rFonts w:cs="Segoe UI"/>
                    <w:sz w:val="14"/>
                    <w:lang w:eastAsia="it-IT"/>
                  </w:rPr>
                  <w:t>5,402</w:t>
                </w:r>
              </w:p>
            </w:tc>
            <w:tc>
              <w:tcPr>
                <w:tcW w:w="620" w:type="pct"/>
                <w:shd w:val="clear" w:color="auto" w:fill="FFFFFF" w:themeFill="background2"/>
                <w:tcMar>
                  <w:top w:w="60" w:type="dxa"/>
                  <w:left w:w="114" w:type="dxa"/>
                  <w:bottom w:w="60" w:type="dxa"/>
                  <w:right w:w="114" w:type="dxa"/>
                </w:tcMar>
                <w:vAlign w:val="center"/>
              </w:tcPr>
              <w:p w14:paraId="509ECF8F" w14:textId="7D03A5AB" w:rsidR="00ED1DDC" w:rsidRPr="002E1E6B" w:rsidRDefault="00ED1DDC" w:rsidP="00EC6766">
                <w:pPr>
                  <w:pStyle w:val="TableTextLeft"/>
                  <w:spacing w:before="0" w:after="0"/>
                  <w:jc w:val="center"/>
                  <w:rPr>
                    <w:rFonts w:cs="Segoe UI"/>
                    <w:sz w:val="14"/>
                    <w:lang w:eastAsia="it-IT"/>
                  </w:rPr>
                </w:pPr>
                <w:r w:rsidRPr="0032337D">
                  <w:rPr>
                    <w:rFonts w:cs="Segoe UI"/>
                    <w:sz w:val="14"/>
                    <w:lang w:eastAsia="it-IT"/>
                  </w:rPr>
                  <w:t>16,044</w:t>
                </w:r>
              </w:p>
            </w:tc>
            <w:tc>
              <w:tcPr>
                <w:tcW w:w="621" w:type="pct"/>
                <w:shd w:val="clear" w:color="auto" w:fill="FFFFFF" w:themeFill="background2"/>
                <w:vAlign w:val="center"/>
              </w:tcPr>
              <w:p w14:paraId="778D8BDE" w14:textId="2552E890" w:rsidR="00ED1DDC" w:rsidRPr="002E1E6B" w:rsidRDefault="00ED1DDC" w:rsidP="00EC6766">
                <w:pPr>
                  <w:pStyle w:val="TableTextLeft"/>
                  <w:spacing w:before="0" w:after="0"/>
                  <w:jc w:val="center"/>
                  <w:rPr>
                    <w:rFonts w:cs="Segoe UI"/>
                    <w:sz w:val="14"/>
                    <w:lang w:eastAsia="it-IT"/>
                  </w:rPr>
                </w:pPr>
                <w:r w:rsidRPr="0032337D">
                  <w:rPr>
                    <w:rFonts w:cs="Segoe UI"/>
                    <w:sz w:val="14"/>
                    <w:lang w:eastAsia="it-IT"/>
                  </w:rPr>
                  <w:t>3,269</w:t>
                </w:r>
              </w:p>
            </w:tc>
            <w:tc>
              <w:tcPr>
                <w:tcW w:w="621" w:type="pct"/>
                <w:shd w:val="clear" w:color="auto" w:fill="FFFFFF" w:themeFill="background2"/>
                <w:vAlign w:val="center"/>
              </w:tcPr>
              <w:p w14:paraId="0C3BCB92" w14:textId="2AA291DF" w:rsidR="00ED1DDC" w:rsidRPr="002E1E6B" w:rsidRDefault="00ED1DDC" w:rsidP="00EC6766">
                <w:pPr>
                  <w:pStyle w:val="TableTextLeft"/>
                  <w:spacing w:before="0" w:after="0"/>
                  <w:jc w:val="center"/>
                  <w:rPr>
                    <w:rFonts w:cs="Segoe UI"/>
                    <w:b/>
                    <w:sz w:val="14"/>
                    <w:lang w:eastAsia="it-IT"/>
                  </w:rPr>
                </w:pPr>
                <w:r w:rsidRPr="0032337D">
                  <w:rPr>
                    <w:rFonts w:cs="Segoe UI"/>
                    <w:b/>
                    <w:sz w:val="14"/>
                    <w:lang w:eastAsia="it-IT"/>
                  </w:rPr>
                  <w:t>24,715</w:t>
                </w:r>
              </w:p>
            </w:tc>
            <w:tc>
              <w:tcPr>
                <w:tcW w:w="621" w:type="pct"/>
                <w:shd w:val="clear" w:color="auto" w:fill="FFFFFF" w:themeFill="background2"/>
                <w:vAlign w:val="center"/>
              </w:tcPr>
              <w:p w14:paraId="78D7616E" w14:textId="06355056" w:rsidR="00ED1DDC" w:rsidRPr="002E1E6B" w:rsidRDefault="00ED1DDC" w:rsidP="00EC6766">
                <w:pPr>
                  <w:pStyle w:val="TableTextLeft"/>
                  <w:spacing w:before="0" w:after="0"/>
                  <w:jc w:val="center"/>
                  <w:rPr>
                    <w:rFonts w:cs="Segoe UI"/>
                    <w:b/>
                    <w:sz w:val="14"/>
                    <w:lang w:eastAsia="it-IT"/>
                  </w:rPr>
                </w:pPr>
                <w:r w:rsidRPr="0032337D">
                  <w:rPr>
                    <w:rFonts w:cs="Segoe UI"/>
                    <w:sz w:val="14"/>
                    <w:lang w:eastAsia="it-IT"/>
                  </w:rPr>
                  <w:t>21.9%</w:t>
                </w:r>
              </w:p>
            </w:tc>
            <w:tc>
              <w:tcPr>
                <w:tcW w:w="621" w:type="pct"/>
                <w:shd w:val="clear" w:color="auto" w:fill="FFFFFF" w:themeFill="background2"/>
                <w:vAlign w:val="center"/>
              </w:tcPr>
              <w:p w14:paraId="79C1A12F" w14:textId="2DB49AB9" w:rsidR="00ED1DDC" w:rsidRPr="002E1E6B" w:rsidRDefault="00ED1DDC" w:rsidP="00EC6766">
                <w:pPr>
                  <w:pStyle w:val="TableTextLeft"/>
                  <w:spacing w:before="0" w:after="0"/>
                  <w:jc w:val="center"/>
                  <w:rPr>
                    <w:rFonts w:cs="Segoe UI"/>
                    <w:b/>
                    <w:sz w:val="14"/>
                    <w:lang w:eastAsia="it-IT"/>
                  </w:rPr>
                </w:pPr>
                <w:r w:rsidRPr="0032337D">
                  <w:rPr>
                    <w:rFonts w:cs="Segoe UI"/>
                    <w:sz w:val="14"/>
                    <w:lang w:eastAsia="it-IT"/>
                  </w:rPr>
                  <w:t>64.9%</w:t>
                </w:r>
              </w:p>
            </w:tc>
            <w:tc>
              <w:tcPr>
                <w:tcW w:w="615" w:type="pct"/>
                <w:shd w:val="clear" w:color="auto" w:fill="FFFFFF" w:themeFill="background2"/>
                <w:vAlign w:val="center"/>
              </w:tcPr>
              <w:p w14:paraId="14517B64" w14:textId="18A4E281" w:rsidR="00ED1DDC" w:rsidRPr="002E1E6B" w:rsidRDefault="00ED1DDC" w:rsidP="00EC6766">
                <w:pPr>
                  <w:pStyle w:val="TableTextLeft"/>
                  <w:spacing w:before="0" w:after="0"/>
                  <w:jc w:val="center"/>
                  <w:rPr>
                    <w:rFonts w:cs="Segoe UI"/>
                    <w:b/>
                    <w:sz w:val="14"/>
                    <w:lang w:eastAsia="it-IT"/>
                  </w:rPr>
                </w:pPr>
                <w:r w:rsidRPr="0032337D">
                  <w:rPr>
                    <w:rFonts w:cs="Segoe UI"/>
                    <w:sz w:val="14"/>
                    <w:lang w:eastAsia="it-IT"/>
                  </w:rPr>
                  <w:t>13.2%</w:t>
                </w:r>
              </w:p>
            </w:tc>
          </w:tr>
          <w:tr w:rsidR="00ED1DDC" w:rsidRPr="00ED33EF" w14:paraId="6B207631" w14:textId="4BC1E400" w:rsidTr="00A875C2">
            <w:trPr>
              <w:trHeight w:val="283"/>
            </w:trPr>
            <w:tc>
              <w:tcPr>
                <w:tcW w:w="661" w:type="pct"/>
                <w:shd w:val="clear" w:color="auto" w:fill="FFFFFF" w:themeFill="background2"/>
                <w:tcMar>
                  <w:top w:w="60" w:type="dxa"/>
                  <w:left w:w="114" w:type="dxa"/>
                  <w:bottom w:w="60" w:type="dxa"/>
                  <w:right w:w="114" w:type="dxa"/>
                </w:tcMar>
                <w:vAlign w:val="center"/>
              </w:tcPr>
              <w:p w14:paraId="656036ED" w14:textId="6D808422" w:rsidR="00ED1DDC" w:rsidRPr="0032337D" w:rsidRDefault="00ED1DDC" w:rsidP="004604F5">
                <w:pPr>
                  <w:pStyle w:val="TableIndent3"/>
                  <w:spacing w:before="0" w:after="0"/>
                  <w:ind w:left="0"/>
                  <w:rPr>
                    <w:rFonts w:cs="Segoe UI"/>
                    <w:b/>
                    <w:sz w:val="14"/>
                    <w:lang w:val="en-GB" w:eastAsia="it-IT"/>
                  </w:rPr>
                </w:pPr>
                <w:r w:rsidRPr="0032337D">
                  <w:rPr>
                    <w:rFonts w:cs="Segoe UI"/>
                    <w:b/>
                    <w:sz w:val="14"/>
                    <w:lang w:val="en-GB" w:eastAsia="it-IT"/>
                  </w:rPr>
                  <w:t>31 December 2019</w:t>
                </w:r>
              </w:p>
            </w:tc>
            <w:tc>
              <w:tcPr>
                <w:tcW w:w="620" w:type="pct"/>
                <w:shd w:val="clear" w:color="auto" w:fill="FFFFFF" w:themeFill="background2"/>
                <w:tcMar>
                  <w:top w:w="60" w:type="dxa"/>
                  <w:left w:w="114" w:type="dxa"/>
                  <w:bottom w:w="60" w:type="dxa"/>
                  <w:right w:w="114" w:type="dxa"/>
                </w:tcMar>
                <w:vAlign w:val="center"/>
              </w:tcPr>
              <w:p w14:paraId="37280DEC" w14:textId="72D7EC6C" w:rsidR="00ED1DDC" w:rsidRPr="002E1E6B" w:rsidRDefault="00ED1DDC" w:rsidP="00EC6766">
                <w:pPr>
                  <w:pStyle w:val="TableTextLeft"/>
                  <w:spacing w:before="0" w:after="0"/>
                  <w:jc w:val="center"/>
                  <w:rPr>
                    <w:rFonts w:cs="Segoe UI"/>
                    <w:sz w:val="14"/>
                    <w:lang w:eastAsia="it-IT"/>
                  </w:rPr>
                </w:pPr>
                <w:r w:rsidRPr="0032337D">
                  <w:rPr>
                    <w:rFonts w:cs="Segoe UI"/>
                    <w:sz w:val="14"/>
                    <w:lang w:eastAsia="it-IT"/>
                  </w:rPr>
                  <w:t>6,200</w:t>
                </w:r>
              </w:p>
            </w:tc>
            <w:tc>
              <w:tcPr>
                <w:tcW w:w="620" w:type="pct"/>
                <w:shd w:val="clear" w:color="auto" w:fill="FFFFFF" w:themeFill="background2"/>
                <w:tcMar>
                  <w:top w:w="60" w:type="dxa"/>
                  <w:left w:w="114" w:type="dxa"/>
                  <w:bottom w:w="60" w:type="dxa"/>
                  <w:right w:w="114" w:type="dxa"/>
                </w:tcMar>
                <w:vAlign w:val="center"/>
              </w:tcPr>
              <w:p w14:paraId="16AAD8D3" w14:textId="72143DD4" w:rsidR="00ED1DDC" w:rsidRPr="002E1E6B" w:rsidRDefault="00ED1DDC" w:rsidP="00EC6766">
                <w:pPr>
                  <w:pStyle w:val="TableTextLeft"/>
                  <w:spacing w:before="0" w:after="0"/>
                  <w:jc w:val="center"/>
                  <w:rPr>
                    <w:rFonts w:cs="Segoe UI"/>
                    <w:sz w:val="14"/>
                    <w:lang w:eastAsia="it-IT"/>
                  </w:rPr>
                </w:pPr>
                <w:r w:rsidRPr="0032337D">
                  <w:rPr>
                    <w:rFonts w:cs="Segoe UI"/>
                    <w:sz w:val="14"/>
                    <w:lang w:eastAsia="it-IT"/>
                  </w:rPr>
                  <w:t>17,499</w:t>
                </w:r>
              </w:p>
            </w:tc>
            <w:tc>
              <w:tcPr>
                <w:tcW w:w="621" w:type="pct"/>
                <w:shd w:val="clear" w:color="auto" w:fill="FFFFFF" w:themeFill="background2"/>
                <w:vAlign w:val="center"/>
              </w:tcPr>
              <w:p w14:paraId="334CD212" w14:textId="247E17C9" w:rsidR="00ED1DDC" w:rsidRPr="002E1E6B" w:rsidRDefault="00ED1DDC" w:rsidP="00EC6766">
                <w:pPr>
                  <w:pStyle w:val="TableTextLeft"/>
                  <w:spacing w:before="0" w:after="0"/>
                  <w:jc w:val="center"/>
                  <w:rPr>
                    <w:rFonts w:cs="Segoe UI"/>
                    <w:sz w:val="14"/>
                    <w:lang w:eastAsia="it-IT"/>
                  </w:rPr>
                </w:pPr>
                <w:r w:rsidRPr="0032337D">
                  <w:rPr>
                    <w:rFonts w:cs="Segoe UI"/>
                    <w:sz w:val="14"/>
                    <w:lang w:eastAsia="it-IT"/>
                  </w:rPr>
                  <w:t>3,489</w:t>
                </w:r>
              </w:p>
            </w:tc>
            <w:tc>
              <w:tcPr>
                <w:tcW w:w="621" w:type="pct"/>
                <w:shd w:val="clear" w:color="auto" w:fill="FFFFFF" w:themeFill="background2"/>
                <w:vAlign w:val="center"/>
              </w:tcPr>
              <w:p w14:paraId="2523D7F4" w14:textId="4039203E" w:rsidR="00ED1DDC" w:rsidRPr="002E1E6B" w:rsidRDefault="00ED1DDC" w:rsidP="00EC6766">
                <w:pPr>
                  <w:pStyle w:val="TableTextLeft"/>
                  <w:spacing w:before="0" w:after="0"/>
                  <w:jc w:val="center"/>
                  <w:rPr>
                    <w:rFonts w:cs="Segoe UI"/>
                    <w:b/>
                    <w:sz w:val="14"/>
                    <w:lang w:eastAsia="it-IT"/>
                  </w:rPr>
                </w:pPr>
                <w:r w:rsidRPr="0032337D">
                  <w:rPr>
                    <w:rFonts w:cs="Segoe UI"/>
                    <w:b/>
                    <w:sz w:val="14"/>
                    <w:lang w:eastAsia="it-IT"/>
                  </w:rPr>
                  <w:t>27,188</w:t>
                </w:r>
              </w:p>
            </w:tc>
            <w:tc>
              <w:tcPr>
                <w:tcW w:w="621" w:type="pct"/>
                <w:shd w:val="clear" w:color="auto" w:fill="FFFFFF" w:themeFill="background2"/>
                <w:vAlign w:val="center"/>
              </w:tcPr>
              <w:p w14:paraId="6854BE79" w14:textId="34E3D65D" w:rsidR="00ED1DDC" w:rsidRPr="002E1E6B" w:rsidRDefault="00ED1DDC" w:rsidP="00EC6766">
                <w:pPr>
                  <w:pStyle w:val="TableTextLeft"/>
                  <w:spacing w:before="0" w:after="0"/>
                  <w:jc w:val="center"/>
                  <w:rPr>
                    <w:rFonts w:cs="Segoe UI"/>
                    <w:b/>
                    <w:sz w:val="14"/>
                    <w:lang w:eastAsia="it-IT"/>
                  </w:rPr>
                </w:pPr>
                <w:r w:rsidRPr="0032337D">
                  <w:rPr>
                    <w:rFonts w:cs="Segoe UI"/>
                    <w:sz w:val="14"/>
                    <w:lang w:eastAsia="it-IT"/>
                  </w:rPr>
                  <w:t>22.8%</w:t>
                </w:r>
              </w:p>
            </w:tc>
            <w:tc>
              <w:tcPr>
                <w:tcW w:w="621" w:type="pct"/>
                <w:shd w:val="clear" w:color="auto" w:fill="FFFFFF" w:themeFill="background2"/>
                <w:vAlign w:val="center"/>
              </w:tcPr>
              <w:p w14:paraId="161C0612" w14:textId="521887FF" w:rsidR="00ED1DDC" w:rsidRPr="002E1E6B" w:rsidRDefault="00ED1DDC" w:rsidP="00EC6766">
                <w:pPr>
                  <w:pStyle w:val="TableTextLeft"/>
                  <w:spacing w:before="0" w:after="0"/>
                  <w:jc w:val="center"/>
                  <w:rPr>
                    <w:rFonts w:cs="Segoe UI"/>
                    <w:b/>
                    <w:sz w:val="14"/>
                    <w:lang w:eastAsia="it-IT"/>
                  </w:rPr>
                </w:pPr>
                <w:r w:rsidRPr="0032337D">
                  <w:rPr>
                    <w:rFonts w:cs="Segoe UI"/>
                    <w:sz w:val="14"/>
                    <w:lang w:eastAsia="it-IT"/>
                  </w:rPr>
                  <w:t>64.4%</w:t>
                </w:r>
              </w:p>
            </w:tc>
            <w:tc>
              <w:tcPr>
                <w:tcW w:w="615" w:type="pct"/>
                <w:shd w:val="clear" w:color="auto" w:fill="FFFFFF" w:themeFill="background2"/>
                <w:vAlign w:val="center"/>
              </w:tcPr>
              <w:p w14:paraId="4C219969" w14:textId="5C8E36C1" w:rsidR="00ED1DDC" w:rsidRPr="002E1E6B" w:rsidRDefault="00ED1DDC" w:rsidP="00EC6766">
                <w:pPr>
                  <w:pStyle w:val="TableTextLeft"/>
                  <w:spacing w:before="0" w:after="0"/>
                  <w:jc w:val="center"/>
                  <w:rPr>
                    <w:rFonts w:cs="Segoe UI"/>
                    <w:b/>
                    <w:sz w:val="14"/>
                    <w:lang w:eastAsia="it-IT"/>
                  </w:rPr>
                </w:pPr>
                <w:r w:rsidRPr="0032337D">
                  <w:rPr>
                    <w:rFonts w:cs="Segoe UI"/>
                    <w:sz w:val="14"/>
                    <w:lang w:eastAsia="it-IT"/>
                  </w:rPr>
                  <w:t>12.8%</w:t>
                </w:r>
              </w:p>
            </w:tc>
          </w:tr>
          <w:tr w:rsidR="00ED1DDC" w:rsidRPr="00ED33EF" w14:paraId="6416705B" w14:textId="2B3ACE47" w:rsidTr="00A875C2">
            <w:trPr>
              <w:trHeight w:val="283"/>
            </w:trPr>
            <w:tc>
              <w:tcPr>
                <w:tcW w:w="661" w:type="pct"/>
                <w:shd w:val="clear" w:color="auto" w:fill="FFFFFF" w:themeFill="background2"/>
                <w:tcMar>
                  <w:top w:w="60" w:type="dxa"/>
                  <w:left w:w="114" w:type="dxa"/>
                  <w:bottom w:w="60" w:type="dxa"/>
                  <w:right w:w="114" w:type="dxa"/>
                </w:tcMar>
                <w:vAlign w:val="center"/>
              </w:tcPr>
              <w:p w14:paraId="57632BBD" w14:textId="24F94193" w:rsidR="00ED1DDC" w:rsidRPr="0032337D" w:rsidRDefault="00ED1DDC" w:rsidP="004604F5">
                <w:pPr>
                  <w:pStyle w:val="TableIndent3"/>
                  <w:spacing w:before="0" w:after="0"/>
                  <w:ind w:left="0"/>
                  <w:rPr>
                    <w:rFonts w:cs="Segoe UI"/>
                    <w:b/>
                    <w:sz w:val="14"/>
                    <w:lang w:val="en-GB" w:eastAsia="it-IT"/>
                  </w:rPr>
                </w:pPr>
                <w:r w:rsidRPr="0032337D">
                  <w:rPr>
                    <w:rFonts w:cs="Segoe UI"/>
                    <w:b/>
                    <w:sz w:val="14"/>
                    <w:lang w:val="en-GB" w:eastAsia="it-IT"/>
                  </w:rPr>
                  <w:t>31 December 20</w:t>
                </w:r>
                <w:r>
                  <w:rPr>
                    <w:rFonts w:cs="Segoe UI"/>
                    <w:b/>
                    <w:sz w:val="14"/>
                    <w:lang w:val="en-GB" w:eastAsia="it-IT"/>
                  </w:rPr>
                  <w:t>20</w:t>
                </w:r>
              </w:p>
            </w:tc>
            <w:tc>
              <w:tcPr>
                <w:tcW w:w="620" w:type="pct"/>
                <w:shd w:val="clear" w:color="auto" w:fill="FFFFFF" w:themeFill="background2"/>
                <w:tcMar>
                  <w:top w:w="60" w:type="dxa"/>
                  <w:left w:w="114" w:type="dxa"/>
                  <w:bottom w:w="60" w:type="dxa"/>
                  <w:right w:w="114" w:type="dxa"/>
                </w:tcMar>
                <w:vAlign w:val="center"/>
              </w:tcPr>
              <w:p w14:paraId="1291C7E8" w14:textId="2E0FD6C2" w:rsidR="00ED1DDC" w:rsidRPr="002E1E6B" w:rsidRDefault="00ED1DDC" w:rsidP="00EC6766">
                <w:pPr>
                  <w:pStyle w:val="TableTextLeft"/>
                  <w:spacing w:before="0" w:after="0"/>
                  <w:jc w:val="center"/>
                  <w:rPr>
                    <w:rFonts w:cs="Segoe UI"/>
                    <w:sz w:val="14"/>
                    <w:lang w:eastAsia="it-IT"/>
                  </w:rPr>
                </w:pPr>
                <w:r w:rsidRPr="002E1E6B">
                  <w:rPr>
                    <w:rFonts w:cs="Segoe UI"/>
                    <w:sz w:val="14"/>
                    <w:lang w:eastAsia="it-IT"/>
                  </w:rPr>
                  <w:t>5</w:t>
                </w:r>
                <w:r>
                  <w:rPr>
                    <w:rFonts w:cs="Segoe UI"/>
                    <w:sz w:val="14"/>
                    <w:lang w:eastAsia="it-IT"/>
                  </w:rPr>
                  <w:t>,</w:t>
                </w:r>
                <w:r w:rsidRPr="002E1E6B">
                  <w:rPr>
                    <w:rFonts w:cs="Segoe UI"/>
                    <w:sz w:val="14"/>
                    <w:lang w:eastAsia="it-IT"/>
                  </w:rPr>
                  <w:t>820</w:t>
                </w:r>
              </w:p>
            </w:tc>
            <w:tc>
              <w:tcPr>
                <w:tcW w:w="620" w:type="pct"/>
                <w:shd w:val="clear" w:color="auto" w:fill="FFFFFF" w:themeFill="background2"/>
                <w:tcMar>
                  <w:top w:w="60" w:type="dxa"/>
                  <w:left w:w="114" w:type="dxa"/>
                  <w:bottom w:w="60" w:type="dxa"/>
                  <w:right w:w="114" w:type="dxa"/>
                </w:tcMar>
                <w:vAlign w:val="center"/>
              </w:tcPr>
              <w:p w14:paraId="7DAEC560" w14:textId="382D5292" w:rsidR="00ED1DDC" w:rsidRPr="002E1E6B" w:rsidRDefault="00ED1DDC" w:rsidP="00EC6766">
                <w:pPr>
                  <w:pStyle w:val="TableTextLeft"/>
                  <w:spacing w:before="0" w:after="0"/>
                  <w:jc w:val="center"/>
                  <w:rPr>
                    <w:rFonts w:cs="Segoe UI"/>
                    <w:sz w:val="14"/>
                    <w:lang w:eastAsia="it-IT"/>
                  </w:rPr>
                </w:pPr>
                <w:r w:rsidRPr="002E1E6B">
                  <w:rPr>
                    <w:rFonts w:cs="Segoe UI"/>
                    <w:sz w:val="14"/>
                    <w:lang w:eastAsia="it-IT"/>
                  </w:rPr>
                  <w:t>16</w:t>
                </w:r>
                <w:r>
                  <w:rPr>
                    <w:rFonts w:cs="Segoe UI"/>
                    <w:sz w:val="14"/>
                    <w:lang w:eastAsia="it-IT"/>
                  </w:rPr>
                  <w:t>,</w:t>
                </w:r>
                <w:r w:rsidRPr="002E1E6B">
                  <w:rPr>
                    <w:rFonts w:cs="Segoe UI"/>
                    <w:sz w:val="14"/>
                    <w:lang w:eastAsia="it-IT"/>
                  </w:rPr>
                  <w:t>637</w:t>
                </w:r>
              </w:p>
            </w:tc>
            <w:tc>
              <w:tcPr>
                <w:tcW w:w="621" w:type="pct"/>
                <w:shd w:val="clear" w:color="auto" w:fill="FFFFFF" w:themeFill="background2"/>
                <w:vAlign w:val="center"/>
              </w:tcPr>
              <w:p w14:paraId="34D6F99F" w14:textId="5ED7CE47" w:rsidR="00ED1DDC" w:rsidRPr="002E1E6B" w:rsidRDefault="00ED1DDC" w:rsidP="00EC6766">
                <w:pPr>
                  <w:pStyle w:val="TableTextLeft"/>
                  <w:spacing w:before="0" w:after="0"/>
                  <w:jc w:val="center"/>
                  <w:rPr>
                    <w:rFonts w:cs="Segoe UI"/>
                    <w:sz w:val="14"/>
                    <w:lang w:eastAsia="it-IT"/>
                  </w:rPr>
                </w:pPr>
                <w:r w:rsidRPr="002E1E6B">
                  <w:rPr>
                    <w:rFonts w:cs="Segoe UI"/>
                    <w:sz w:val="14"/>
                    <w:lang w:eastAsia="it-IT"/>
                  </w:rPr>
                  <w:t>3</w:t>
                </w:r>
                <w:r>
                  <w:rPr>
                    <w:rFonts w:cs="Segoe UI"/>
                    <w:sz w:val="14"/>
                    <w:lang w:eastAsia="it-IT"/>
                  </w:rPr>
                  <w:t>,</w:t>
                </w:r>
                <w:r w:rsidRPr="002E1E6B">
                  <w:rPr>
                    <w:rFonts w:cs="Segoe UI"/>
                    <w:sz w:val="14"/>
                    <w:lang w:eastAsia="it-IT"/>
                  </w:rPr>
                  <w:t>587</w:t>
                </w:r>
              </w:p>
            </w:tc>
            <w:tc>
              <w:tcPr>
                <w:tcW w:w="621" w:type="pct"/>
                <w:shd w:val="clear" w:color="auto" w:fill="FFFFFF" w:themeFill="background2"/>
                <w:vAlign w:val="center"/>
              </w:tcPr>
              <w:p w14:paraId="36332B71" w14:textId="6E2C43B7" w:rsidR="00ED1DDC" w:rsidRPr="002E1E6B" w:rsidRDefault="00ED1DDC" w:rsidP="00EC6766">
                <w:pPr>
                  <w:pStyle w:val="TableTextLeft"/>
                  <w:spacing w:before="0" w:after="0"/>
                  <w:jc w:val="center"/>
                  <w:rPr>
                    <w:rFonts w:cs="Segoe UI"/>
                    <w:b/>
                    <w:sz w:val="14"/>
                    <w:lang w:eastAsia="it-IT"/>
                  </w:rPr>
                </w:pPr>
                <w:r w:rsidRPr="002E1E6B">
                  <w:rPr>
                    <w:rFonts w:cs="Segoe UI"/>
                    <w:b/>
                    <w:sz w:val="14"/>
                    <w:lang w:eastAsia="it-IT"/>
                  </w:rPr>
                  <w:t>26</w:t>
                </w:r>
                <w:r>
                  <w:rPr>
                    <w:rFonts w:cs="Segoe UI"/>
                    <w:b/>
                    <w:sz w:val="14"/>
                    <w:lang w:eastAsia="it-IT"/>
                  </w:rPr>
                  <w:t>,</w:t>
                </w:r>
                <w:r w:rsidRPr="002E1E6B">
                  <w:rPr>
                    <w:rFonts w:cs="Segoe UI"/>
                    <w:b/>
                    <w:sz w:val="14"/>
                    <w:lang w:eastAsia="it-IT"/>
                  </w:rPr>
                  <w:t>044</w:t>
                </w:r>
              </w:p>
            </w:tc>
            <w:tc>
              <w:tcPr>
                <w:tcW w:w="621" w:type="pct"/>
                <w:shd w:val="clear" w:color="auto" w:fill="FFFFFF" w:themeFill="background2"/>
                <w:vAlign w:val="center"/>
              </w:tcPr>
              <w:p w14:paraId="0A085489" w14:textId="2377C95C" w:rsidR="00ED1DDC" w:rsidRPr="002E1E6B" w:rsidRDefault="00ED1DDC" w:rsidP="00EC6766">
                <w:pPr>
                  <w:pStyle w:val="TableTextLeft"/>
                  <w:spacing w:before="0" w:after="0"/>
                  <w:jc w:val="center"/>
                  <w:rPr>
                    <w:rFonts w:cs="Segoe UI"/>
                    <w:b/>
                    <w:sz w:val="14"/>
                    <w:lang w:eastAsia="it-IT"/>
                  </w:rPr>
                </w:pPr>
                <w:r w:rsidRPr="00615ACE">
                  <w:rPr>
                    <w:rFonts w:cs="Segoe UI"/>
                    <w:sz w:val="14"/>
                    <w:lang w:eastAsia="it-IT"/>
                  </w:rPr>
                  <w:t>22.3%</w:t>
                </w:r>
              </w:p>
            </w:tc>
            <w:tc>
              <w:tcPr>
                <w:tcW w:w="621" w:type="pct"/>
                <w:shd w:val="clear" w:color="auto" w:fill="FFFFFF" w:themeFill="background2"/>
                <w:vAlign w:val="center"/>
              </w:tcPr>
              <w:p w14:paraId="7C9FBDF8" w14:textId="26CF8ADE" w:rsidR="00ED1DDC" w:rsidRPr="002E1E6B" w:rsidRDefault="00ED1DDC" w:rsidP="00EC6766">
                <w:pPr>
                  <w:pStyle w:val="TableTextLeft"/>
                  <w:spacing w:before="0" w:after="0"/>
                  <w:jc w:val="center"/>
                  <w:rPr>
                    <w:rFonts w:cs="Segoe UI"/>
                    <w:b/>
                    <w:sz w:val="14"/>
                    <w:lang w:eastAsia="it-IT"/>
                  </w:rPr>
                </w:pPr>
                <w:r w:rsidRPr="00615ACE">
                  <w:rPr>
                    <w:rFonts w:cs="Segoe UI"/>
                    <w:sz w:val="14"/>
                    <w:lang w:eastAsia="it-IT"/>
                  </w:rPr>
                  <w:t>63.9%</w:t>
                </w:r>
              </w:p>
            </w:tc>
            <w:tc>
              <w:tcPr>
                <w:tcW w:w="615" w:type="pct"/>
                <w:shd w:val="clear" w:color="auto" w:fill="FFFFFF" w:themeFill="background2"/>
                <w:vAlign w:val="center"/>
              </w:tcPr>
              <w:p w14:paraId="1747C7C3" w14:textId="79554229" w:rsidR="00ED1DDC" w:rsidRPr="002E1E6B" w:rsidRDefault="00ED1DDC" w:rsidP="00EC6766">
                <w:pPr>
                  <w:pStyle w:val="TableTextLeft"/>
                  <w:spacing w:before="0" w:after="0"/>
                  <w:jc w:val="center"/>
                  <w:rPr>
                    <w:rFonts w:cs="Segoe UI"/>
                    <w:b/>
                    <w:sz w:val="14"/>
                    <w:lang w:eastAsia="it-IT"/>
                  </w:rPr>
                </w:pPr>
                <w:r w:rsidRPr="00615ACE">
                  <w:rPr>
                    <w:rFonts w:cs="Segoe UI"/>
                    <w:sz w:val="14"/>
                    <w:lang w:eastAsia="it-IT"/>
                  </w:rPr>
                  <w:t>13.8%</w:t>
                </w:r>
              </w:p>
            </w:tc>
          </w:tr>
          <w:tr w:rsidR="00ED1DDC" w:rsidRPr="00ED33EF" w14:paraId="24093EF8" w14:textId="11A9E6C1" w:rsidTr="00A875C2">
            <w:trPr>
              <w:trHeight w:val="283"/>
            </w:trPr>
            <w:tc>
              <w:tcPr>
                <w:tcW w:w="661" w:type="pct"/>
                <w:shd w:val="clear" w:color="auto" w:fill="FFFFFF" w:themeFill="background2"/>
                <w:tcMar>
                  <w:top w:w="60" w:type="dxa"/>
                  <w:left w:w="114" w:type="dxa"/>
                  <w:bottom w:w="60" w:type="dxa"/>
                  <w:right w:w="114" w:type="dxa"/>
                </w:tcMar>
                <w:vAlign w:val="center"/>
              </w:tcPr>
              <w:p w14:paraId="4BE138E3" w14:textId="394B2C12" w:rsidR="00ED1DDC" w:rsidRPr="0032337D" w:rsidRDefault="00ED1DDC" w:rsidP="004604F5">
                <w:pPr>
                  <w:pStyle w:val="TableIndent3"/>
                  <w:spacing w:before="0" w:after="0"/>
                  <w:ind w:left="0"/>
                  <w:rPr>
                    <w:rFonts w:cs="Segoe UI"/>
                    <w:b/>
                    <w:sz w:val="14"/>
                    <w:lang w:val="en-GB" w:eastAsia="it-IT"/>
                  </w:rPr>
                </w:pPr>
                <w:r w:rsidRPr="009254EE">
                  <w:rPr>
                    <w:rFonts w:cs="Segoe UI"/>
                    <w:b/>
                    <w:sz w:val="14"/>
                    <w:lang w:val="en-GB" w:eastAsia="it-IT"/>
                  </w:rPr>
                  <w:t>31 December 2021</w:t>
                </w:r>
              </w:p>
            </w:tc>
            <w:tc>
              <w:tcPr>
                <w:tcW w:w="620" w:type="pct"/>
                <w:shd w:val="clear" w:color="auto" w:fill="FFFFFF" w:themeFill="background2"/>
                <w:tcMar>
                  <w:top w:w="60" w:type="dxa"/>
                  <w:left w:w="114" w:type="dxa"/>
                  <w:bottom w:w="60" w:type="dxa"/>
                  <w:right w:w="114" w:type="dxa"/>
                </w:tcMar>
                <w:vAlign w:val="center"/>
              </w:tcPr>
              <w:p w14:paraId="1A503089" w14:textId="0B67414E" w:rsidR="00ED1DDC" w:rsidRPr="002E1E6B" w:rsidRDefault="00ED1DDC" w:rsidP="00EC6766">
                <w:pPr>
                  <w:pStyle w:val="TableTextLeft"/>
                  <w:spacing w:before="0" w:after="0"/>
                  <w:jc w:val="center"/>
                  <w:rPr>
                    <w:rFonts w:cs="Segoe UI"/>
                    <w:sz w:val="14"/>
                    <w:lang w:eastAsia="it-IT"/>
                  </w:rPr>
                </w:pPr>
                <w:r w:rsidRPr="009254EE">
                  <w:rPr>
                    <w:rFonts w:cs="Segoe UI"/>
                    <w:sz w:val="14"/>
                    <w:lang w:eastAsia="it-IT"/>
                  </w:rPr>
                  <w:t>2,887</w:t>
                </w:r>
              </w:p>
            </w:tc>
            <w:tc>
              <w:tcPr>
                <w:tcW w:w="620" w:type="pct"/>
                <w:shd w:val="clear" w:color="auto" w:fill="FFFFFF" w:themeFill="background2"/>
                <w:tcMar>
                  <w:top w:w="60" w:type="dxa"/>
                  <w:left w:w="114" w:type="dxa"/>
                  <w:bottom w:w="60" w:type="dxa"/>
                  <w:right w:w="114" w:type="dxa"/>
                </w:tcMar>
                <w:vAlign w:val="center"/>
              </w:tcPr>
              <w:p w14:paraId="1162C9F8" w14:textId="411F0DD8" w:rsidR="00ED1DDC" w:rsidRPr="002E1E6B" w:rsidRDefault="00ED1DDC" w:rsidP="00EC6766">
                <w:pPr>
                  <w:pStyle w:val="TableTextLeft"/>
                  <w:spacing w:before="0" w:after="0"/>
                  <w:jc w:val="center"/>
                  <w:rPr>
                    <w:rFonts w:cs="Segoe UI"/>
                    <w:sz w:val="14"/>
                    <w:lang w:eastAsia="it-IT"/>
                  </w:rPr>
                </w:pPr>
                <w:r w:rsidRPr="009254EE">
                  <w:rPr>
                    <w:rFonts w:cs="Segoe UI"/>
                    <w:sz w:val="14"/>
                    <w:lang w:eastAsia="it-IT"/>
                  </w:rPr>
                  <w:t>10,291</w:t>
                </w:r>
              </w:p>
            </w:tc>
            <w:tc>
              <w:tcPr>
                <w:tcW w:w="621" w:type="pct"/>
                <w:shd w:val="clear" w:color="auto" w:fill="FFFFFF" w:themeFill="background2"/>
                <w:vAlign w:val="center"/>
              </w:tcPr>
              <w:p w14:paraId="15EAEC8A" w14:textId="72FE07CA" w:rsidR="00ED1DDC" w:rsidRPr="002E1E6B" w:rsidRDefault="00ED1DDC" w:rsidP="00EC6766">
                <w:pPr>
                  <w:pStyle w:val="TableTextLeft"/>
                  <w:spacing w:before="0" w:after="0"/>
                  <w:jc w:val="center"/>
                  <w:rPr>
                    <w:rFonts w:cs="Segoe UI"/>
                    <w:sz w:val="14"/>
                    <w:lang w:eastAsia="it-IT"/>
                  </w:rPr>
                </w:pPr>
                <w:r w:rsidRPr="009254EE">
                  <w:rPr>
                    <w:rFonts w:cs="Segoe UI"/>
                    <w:sz w:val="14"/>
                    <w:lang w:eastAsia="it-IT"/>
                  </w:rPr>
                  <w:t>3,105</w:t>
                </w:r>
              </w:p>
            </w:tc>
            <w:tc>
              <w:tcPr>
                <w:tcW w:w="621" w:type="pct"/>
                <w:shd w:val="clear" w:color="auto" w:fill="FFFFFF" w:themeFill="background2"/>
                <w:vAlign w:val="center"/>
              </w:tcPr>
              <w:p w14:paraId="70811B82" w14:textId="720B8F95" w:rsidR="00ED1DDC" w:rsidRPr="002E1E6B" w:rsidRDefault="00ED1DDC" w:rsidP="00EC6766">
                <w:pPr>
                  <w:pStyle w:val="TableTextLeft"/>
                  <w:spacing w:before="0" w:after="0"/>
                  <w:jc w:val="center"/>
                  <w:rPr>
                    <w:rFonts w:cs="Segoe UI"/>
                    <w:b/>
                    <w:sz w:val="14"/>
                    <w:lang w:eastAsia="it-IT"/>
                  </w:rPr>
                </w:pPr>
                <w:r w:rsidRPr="009254EE">
                  <w:rPr>
                    <w:rFonts w:cs="Segoe UI"/>
                    <w:b/>
                    <w:sz w:val="14"/>
                    <w:lang w:eastAsia="it-IT"/>
                  </w:rPr>
                  <w:t>16,283</w:t>
                </w:r>
              </w:p>
            </w:tc>
            <w:tc>
              <w:tcPr>
                <w:tcW w:w="621" w:type="pct"/>
                <w:shd w:val="clear" w:color="auto" w:fill="FFFFFF" w:themeFill="background2"/>
                <w:vAlign w:val="center"/>
              </w:tcPr>
              <w:p w14:paraId="3E062533" w14:textId="765BA43F" w:rsidR="00ED1DDC" w:rsidRPr="002E1E6B" w:rsidRDefault="00ED1DDC" w:rsidP="00EC6766">
                <w:pPr>
                  <w:pStyle w:val="TableTextLeft"/>
                  <w:spacing w:before="0" w:after="0"/>
                  <w:jc w:val="center"/>
                  <w:rPr>
                    <w:rFonts w:cs="Segoe UI"/>
                    <w:b/>
                    <w:sz w:val="14"/>
                    <w:lang w:eastAsia="it-IT"/>
                  </w:rPr>
                </w:pPr>
                <w:r w:rsidRPr="009254EE">
                  <w:rPr>
                    <w:rFonts w:cs="Segoe UI"/>
                    <w:sz w:val="14"/>
                    <w:lang w:eastAsia="it-IT"/>
                  </w:rPr>
                  <w:t>17.7%</w:t>
                </w:r>
              </w:p>
            </w:tc>
            <w:tc>
              <w:tcPr>
                <w:tcW w:w="621" w:type="pct"/>
                <w:shd w:val="clear" w:color="auto" w:fill="FFFFFF" w:themeFill="background2"/>
                <w:vAlign w:val="center"/>
              </w:tcPr>
              <w:p w14:paraId="0CCDDA04" w14:textId="3741C97B" w:rsidR="00ED1DDC" w:rsidRPr="002E1E6B" w:rsidRDefault="00ED1DDC" w:rsidP="00EC6766">
                <w:pPr>
                  <w:pStyle w:val="TableTextLeft"/>
                  <w:spacing w:before="0" w:after="0"/>
                  <w:jc w:val="center"/>
                  <w:rPr>
                    <w:rFonts w:cs="Segoe UI"/>
                    <w:b/>
                    <w:sz w:val="14"/>
                    <w:lang w:eastAsia="it-IT"/>
                  </w:rPr>
                </w:pPr>
                <w:r w:rsidRPr="009254EE">
                  <w:rPr>
                    <w:rFonts w:cs="Segoe UI"/>
                    <w:sz w:val="14"/>
                    <w:lang w:eastAsia="it-IT"/>
                  </w:rPr>
                  <w:t>63.2%</w:t>
                </w:r>
              </w:p>
            </w:tc>
            <w:tc>
              <w:tcPr>
                <w:tcW w:w="615" w:type="pct"/>
                <w:shd w:val="clear" w:color="auto" w:fill="FFFFFF" w:themeFill="background2"/>
                <w:vAlign w:val="center"/>
              </w:tcPr>
              <w:p w14:paraId="50317FAD" w14:textId="0678F100" w:rsidR="00ED1DDC" w:rsidRPr="002E1E6B" w:rsidRDefault="00ED1DDC" w:rsidP="00EC6766">
                <w:pPr>
                  <w:pStyle w:val="TableTextLeft"/>
                  <w:spacing w:before="0" w:after="0"/>
                  <w:jc w:val="center"/>
                  <w:rPr>
                    <w:rFonts w:cs="Segoe UI"/>
                    <w:b/>
                    <w:sz w:val="14"/>
                    <w:lang w:eastAsia="it-IT"/>
                  </w:rPr>
                </w:pPr>
                <w:r w:rsidRPr="009254EE">
                  <w:rPr>
                    <w:rFonts w:cs="Segoe UI"/>
                    <w:sz w:val="14"/>
                    <w:lang w:eastAsia="it-IT"/>
                  </w:rPr>
                  <w:t>19.1%</w:t>
                </w:r>
              </w:p>
            </w:tc>
          </w:tr>
          <w:tr w:rsidR="00144742" w:rsidRPr="00ED33EF" w14:paraId="11C05B2C" w14:textId="7973C846" w:rsidTr="00A875C2">
            <w:trPr>
              <w:trHeight w:val="283"/>
            </w:trPr>
            <w:tc>
              <w:tcPr>
                <w:tcW w:w="661" w:type="pct"/>
                <w:shd w:val="clear" w:color="auto" w:fill="FFFFFF" w:themeFill="background2"/>
                <w:tcMar>
                  <w:top w:w="60" w:type="dxa"/>
                  <w:left w:w="114" w:type="dxa"/>
                  <w:bottom w:w="60" w:type="dxa"/>
                  <w:right w:w="114" w:type="dxa"/>
                </w:tcMar>
                <w:vAlign w:val="center"/>
              </w:tcPr>
              <w:p w14:paraId="11C16393" w14:textId="7F921597" w:rsidR="00144742" w:rsidRPr="0032337D" w:rsidRDefault="00144742" w:rsidP="004604F5">
                <w:pPr>
                  <w:pStyle w:val="TableIndent3"/>
                  <w:spacing w:before="0" w:after="0"/>
                  <w:ind w:left="0"/>
                  <w:rPr>
                    <w:rFonts w:cs="Segoe UI"/>
                    <w:b/>
                    <w:sz w:val="14"/>
                    <w:lang w:val="en-GB" w:eastAsia="it-IT"/>
                  </w:rPr>
                </w:pPr>
                <w:r w:rsidRPr="009254EE">
                  <w:rPr>
                    <w:rFonts w:cs="Segoe UI"/>
                    <w:b/>
                    <w:sz w:val="14"/>
                    <w:lang w:val="en-GB" w:eastAsia="it-IT"/>
                  </w:rPr>
                  <w:t>31 December 202</w:t>
                </w:r>
                <w:r>
                  <w:rPr>
                    <w:rFonts w:cs="Segoe UI"/>
                    <w:b/>
                    <w:sz w:val="14"/>
                    <w:lang w:val="en-GB" w:eastAsia="it-IT"/>
                  </w:rPr>
                  <w:t>2</w:t>
                </w:r>
              </w:p>
            </w:tc>
            <w:tc>
              <w:tcPr>
                <w:tcW w:w="620" w:type="pct"/>
                <w:shd w:val="clear" w:color="auto" w:fill="FFFFFF" w:themeFill="background2"/>
                <w:tcMar>
                  <w:top w:w="60" w:type="dxa"/>
                  <w:left w:w="114" w:type="dxa"/>
                  <w:bottom w:w="60" w:type="dxa"/>
                  <w:right w:w="114" w:type="dxa"/>
                </w:tcMar>
                <w:vAlign w:val="center"/>
              </w:tcPr>
              <w:p w14:paraId="4315A9B6" w14:textId="6A15798A" w:rsidR="00144742" w:rsidRPr="002E1E6B" w:rsidRDefault="00144742" w:rsidP="00EC6766">
                <w:pPr>
                  <w:pStyle w:val="TableTextLeft"/>
                  <w:spacing w:before="0" w:after="0"/>
                  <w:jc w:val="center"/>
                  <w:rPr>
                    <w:rFonts w:cs="Segoe UI"/>
                    <w:sz w:val="14"/>
                    <w:lang w:eastAsia="it-IT"/>
                  </w:rPr>
                </w:pPr>
                <w:r>
                  <w:rPr>
                    <w:rFonts w:cs="Segoe UI"/>
                    <w:sz w:val="14"/>
                    <w:lang w:eastAsia="it-IT"/>
                  </w:rPr>
                  <w:t>2,247</w:t>
                </w:r>
              </w:p>
            </w:tc>
            <w:tc>
              <w:tcPr>
                <w:tcW w:w="620" w:type="pct"/>
                <w:shd w:val="clear" w:color="auto" w:fill="FFFFFF" w:themeFill="background2"/>
                <w:tcMar>
                  <w:top w:w="60" w:type="dxa"/>
                  <w:left w:w="114" w:type="dxa"/>
                  <w:bottom w:w="60" w:type="dxa"/>
                  <w:right w:w="114" w:type="dxa"/>
                </w:tcMar>
                <w:vAlign w:val="center"/>
              </w:tcPr>
              <w:p w14:paraId="311C8482" w14:textId="7B3EFA1B" w:rsidR="00144742" w:rsidRPr="002E1E6B" w:rsidRDefault="00144742" w:rsidP="00EC6766">
                <w:pPr>
                  <w:pStyle w:val="TableTextLeft"/>
                  <w:spacing w:before="0" w:after="0"/>
                  <w:jc w:val="center"/>
                  <w:rPr>
                    <w:rFonts w:cs="Segoe UI"/>
                    <w:sz w:val="14"/>
                    <w:lang w:eastAsia="it-IT"/>
                  </w:rPr>
                </w:pPr>
                <w:r>
                  <w:rPr>
                    <w:rFonts w:cs="Segoe UI"/>
                    <w:sz w:val="14"/>
                    <w:lang w:eastAsia="it-IT"/>
                  </w:rPr>
                  <w:t>10,884</w:t>
                </w:r>
              </w:p>
            </w:tc>
            <w:tc>
              <w:tcPr>
                <w:tcW w:w="621" w:type="pct"/>
                <w:shd w:val="clear" w:color="auto" w:fill="FFFFFF" w:themeFill="background2"/>
                <w:vAlign w:val="center"/>
              </w:tcPr>
              <w:p w14:paraId="2E143D74" w14:textId="0E8EC5D9" w:rsidR="00144742" w:rsidRPr="00144742" w:rsidRDefault="00144742" w:rsidP="00EC6766">
                <w:pPr>
                  <w:pStyle w:val="TableTextLeft"/>
                  <w:spacing w:before="0" w:after="0"/>
                  <w:jc w:val="center"/>
                  <w:rPr>
                    <w:rFonts w:cs="Segoe UI"/>
                    <w:sz w:val="14"/>
                    <w:lang w:eastAsia="it-IT"/>
                  </w:rPr>
                </w:pPr>
                <w:r w:rsidRPr="00144742">
                  <w:rPr>
                    <w:rFonts w:cs="Segoe UI"/>
                    <w:sz w:val="14"/>
                    <w:lang w:eastAsia="it-IT"/>
                  </w:rPr>
                  <w:t>3,614</w:t>
                </w:r>
              </w:p>
            </w:tc>
            <w:tc>
              <w:tcPr>
                <w:tcW w:w="621" w:type="pct"/>
                <w:shd w:val="clear" w:color="auto" w:fill="FFFFFF" w:themeFill="background2"/>
                <w:vAlign w:val="center"/>
              </w:tcPr>
              <w:p w14:paraId="598656E4" w14:textId="7DD7EAD6" w:rsidR="00144742" w:rsidRPr="002E1E6B" w:rsidRDefault="00144742" w:rsidP="00EC6766">
                <w:pPr>
                  <w:pStyle w:val="TableTextLeft"/>
                  <w:spacing w:before="0" w:after="0"/>
                  <w:jc w:val="center"/>
                  <w:rPr>
                    <w:rFonts w:cs="Segoe UI"/>
                    <w:b/>
                    <w:sz w:val="14"/>
                    <w:lang w:eastAsia="it-IT"/>
                  </w:rPr>
                </w:pPr>
                <w:r>
                  <w:rPr>
                    <w:rFonts w:cs="Segoe UI"/>
                    <w:b/>
                    <w:sz w:val="14"/>
                    <w:lang w:eastAsia="it-IT"/>
                  </w:rPr>
                  <w:t>16,745</w:t>
                </w:r>
              </w:p>
            </w:tc>
            <w:tc>
              <w:tcPr>
                <w:tcW w:w="621" w:type="pct"/>
                <w:shd w:val="clear" w:color="auto" w:fill="FFFFFF" w:themeFill="background2"/>
                <w:vAlign w:val="center"/>
              </w:tcPr>
              <w:p w14:paraId="69D71AD7" w14:textId="41CDBFD6" w:rsidR="00144742" w:rsidRPr="00144742" w:rsidRDefault="00144742" w:rsidP="00EC6766">
                <w:pPr>
                  <w:pStyle w:val="TableTextLeft"/>
                  <w:spacing w:before="0" w:after="0"/>
                  <w:jc w:val="center"/>
                  <w:rPr>
                    <w:rFonts w:cs="Segoe UI"/>
                    <w:sz w:val="14"/>
                    <w:lang w:eastAsia="it-IT"/>
                  </w:rPr>
                </w:pPr>
                <w:r w:rsidRPr="00144742">
                  <w:rPr>
                    <w:rFonts w:cs="Segoe UI"/>
                    <w:sz w:val="14"/>
                    <w:lang w:eastAsia="it-IT"/>
                  </w:rPr>
                  <w:t>13</w:t>
                </w:r>
                <w:r w:rsidR="00E360D9">
                  <w:rPr>
                    <w:rFonts w:cs="Segoe UI"/>
                    <w:sz w:val="14"/>
                    <w:lang w:eastAsia="it-IT"/>
                  </w:rPr>
                  <w:t>.</w:t>
                </w:r>
                <w:r w:rsidRPr="00144742">
                  <w:rPr>
                    <w:rFonts w:cs="Segoe UI"/>
                    <w:sz w:val="14"/>
                    <w:lang w:eastAsia="it-IT"/>
                  </w:rPr>
                  <w:t>4%</w:t>
                </w:r>
              </w:p>
            </w:tc>
            <w:tc>
              <w:tcPr>
                <w:tcW w:w="621" w:type="pct"/>
                <w:shd w:val="clear" w:color="auto" w:fill="FFFFFF" w:themeFill="background2"/>
                <w:vAlign w:val="center"/>
              </w:tcPr>
              <w:p w14:paraId="7C2D9C38" w14:textId="38B626DA" w:rsidR="00144742" w:rsidRPr="00144742" w:rsidRDefault="00144742" w:rsidP="00EC6766">
                <w:pPr>
                  <w:pStyle w:val="TableTextLeft"/>
                  <w:spacing w:before="0" w:after="0"/>
                  <w:jc w:val="center"/>
                  <w:rPr>
                    <w:rFonts w:cs="Segoe UI"/>
                    <w:sz w:val="14"/>
                    <w:lang w:eastAsia="it-IT"/>
                  </w:rPr>
                </w:pPr>
                <w:r w:rsidRPr="00144742">
                  <w:rPr>
                    <w:rFonts w:cs="Segoe UI"/>
                    <w:sz w:val="14"/>
                    <w:lang w:eastAsia="it-IT"/>
                  </w:rPr>
                  <w:t>65</w:t>
                </w:r>
                <w:r w:rsidR="00E360D9">
                  <w:rPr>
                    <w:rFonts w:cs="Segoe UI"/>
                    <w:sz w:val="14"/>
                    <w:lang w:eastAsia="it-IT"/>
                  </w:rPr>
                  <w:t>.</w:t>
                </w:r>
                <w:r w:rsidRPr="00144742">
                  <w:rPr>
                    <w:rFonts w:cs="Segoe UI"/>
                    <w:sz w:val="14"/>
                    <w:lang w:eastAsia="it-IT"/>
                  </w:rPr>
                  <w:t>0%</w:t>
                </w:r>
              </w:p>
            </w:tc>
            <w:tc>
              <w:tcPr>
                <w:tcW w:w="615" w:type="pct"/>
                <w:shd w:val="clear" w:color="auto" w:fill="FFFFFF" w:themeFill="background2"/>
                <w:vAlign w:val="center"/>
              </w:tcPr>
              <w:p w14:paraId="7CCF02AE" w14:textId="1505ED5D" w:rsidR="00144742" w:rsidRPr="00144742" w:rsidRDefault="00144742" w:rsidP="00EC6766">
                <w:pPr>
                  <w:pStyle w:val="TableTextLeft"/>
                  <w:spacing w:before="0" w:after="0"/>
                  <w:jc w:val="center"/>
                  <w:rPr>
                    <w:rFonts w:cs="Segoe UI"/>
                    <w:sz w:val="14"/>
                    <w:lang w:eastAsia="it-IT"/>
                  </w:rPr>
                </w:pPr>
                <w:r w:rsidRPr="00144742">
                  <w:rPr>
                    <w:rFonts w:cs="Segoe UI"/>
                    <w:sz w:val="14"/>
                    <w:lang w:eastAsia="it-IT"/>
                  </w:rPr>
                  <w:t>21</w:t>
                </w:r>
                <w:r w:rsidR="00E360D9">
                  <w:rPr>
                    <w:rFonts w:cs="Segoe UI"/>
                    <w:sz w:val="14"/>
                    <w:lang w:eastAsia="it-IT"/>
                  </w:rPr>
                  <w:t>.</w:t>
                </w:r>
                <w:r w:rsidRPr="00144742">
                  <w:rPr>
                    <w:rFonts w:cs="Segoe UI"/>
                    <w:sz w:val="14"/>
                    <w:lang w:eastAsia="it-IT"/>
                  </w:rPr>
                  <w:t>6%</w:t>
                </w:r>
              </w:p>
            </w:tc>
          </w:tr>
          <w:tr w:rsidR="00795A42" w:rsidRPr="00ED33EF" w14:paraId="513426C3" w14:textId="77777777" w:rsidTr="00A875C2">
            <w:trPr>
              <w:trHeight w:val="283"/>
            </w:trPr>
            <w:tc>
              <w:tcPr>
                <w:tcW w:w="661" w:type="pct"/>
                <w:shd w:val="clear" w:color="auto" w:fill="FFFFFF" w:themeFill="background2"/>
                <w:tcMar>
                  <w:top w:w="60" w:type="dxa"/>
                  <w:left w:w="114" w:type="dxa"/>
                  <w:bottom w:w="60" w:type="dxa"/>
                  <w:right w:w="114" w:type="dxa"/>
                </w:tcMar>
                <w:vAlign w:val="center"/>
              </w:tcPr>
              <w:p w14:paraId="02F8BB55" w14:textId="3D225C54" w:rsidR="00795A42" w:rsidRPr="009254EE" w:rsidRDefault="00795A42" w:rsidP="004604F5">
                <w:pPr>
                  <w:pStyle w:val="TableIndent3"/>
                  <w:spacing w:before="0" w:after="0"/>
                  <w:ind w:left="0"/>
                  <w:jc w:val="center"/>
                  <w:rPr>
                    <w:rFonts w:cs="Segoe UI"/>
                    <w:b/>
                    <w:sz w:val="14"/>
                    <w:lang w:val="en-GB" w:eastAsia="it-IT"/>
                  </w:rPr>
                </w:pPr>
                <w:r>
                  <w:rPr>
                    <w:rFonts w:cs="Segoe UI"/>
                    <w:b/>
                    <w:sz w:val="14"/>
                    <w:lang w:val="en-GB" w:eastAsia="it-IT"/>
                  </w:rPr>
                  <w:t>Total</w:t>
                </w:r>
              </w:p>
            </w:tc>
            <w:tc>
              <w:tcPr>
                <w:tcW w:w="620" w:type="pct"/>
                <w:shd w:val="clear" w:color="auto" w:fill="FFFFFF" w:themeFill="background2"/>
                <w:tcMar>
                  <w:top w:w="60" w:type="dxa"/>
                  <w:left w:w="114" w:type="dxa"/>
                  <w:bottom w:w="60" w:type="dxa"/>
                  <w:right w:w="114" w:type="dxa"/>
                </w:tcMar>
                <w:vAlign w:val="center"/>
              </w:tcPr>
              <w:p w14:paraId="1B3760C8" w14:textId="71C727E9" w:rsidR="00795A42" w:rsidRPr="004604F5" w:rsidRDefault="00795A42" w:rsidP="004604F5">
                <w:pPr>
                  <w:pStyle w:val="TableTextLeft"/>
                  <w:spacing w:before="0" w:after="0"/>
                  <w:jc w:val="center"/>
                  <w:rPr>
                    <w:rFonts w:cs="Segoe UI"/>
                    <w:b/>
                    <w:bCs/>
                    <w:sz w:val="14"/>
                    <w:lang w:eastAsia="it-IT"/>
                  </w:rPr>
                </w:pPr>
                <w:r w:rsidRPr="004604F5">
                  <w:rPr>
                    <w:rFonts w:cs="Segoe UI"/>
                    <w:b/>
                    <w:bCs/>
                    <w:sz w:val="14"/>
                    <w:lang w:eastAsia="it-IT"/>
                  </w:rPr>
                  <w:t>162</w:t>
                </w:r>
                <w:r w:rsidR="00715C0D">
                  <w:rPr>
                    <w:rFonts w:cs="Segoe UI"/>
                    <w:b/>
                    <w:bCs/>
                    <w:sz w:val="14"/>
                    <w:lang w:eastAsia="it-IT"/>
                  </w:rPr>
                  <w:t>,</w:t>
                </w:r>
                <w:r w:rsidRPr="004604F5">
                  <w:rPr>
                    <w:rFonts w:cs="Segoe UI"/>
                    <w:b/>
                    <w:bCs/>
                    <w:sz w:val="14"/>
                    <w:lang w:eastAsia="it-IT"/>
                  </w:rPr>
                  <w:t>172</w:t>
                </w:r>
              </w:p>
            </w:tc>
            <w:tc>
              <w:tcPr>
                <w:tcW w:w="620" w:type="pct"/>
                <w:shd w:val="clear" w:color="auto" w:fill="FFFFFF" w:themeFill="background2"/>
                <w:tcMar>
                  <w:top w:w="60" w:type="dxa"/>
                  <w:left w:w="114" w:type="dxa"/>
                  <w:bottom w:w="60" w:type="dxa"/>
                  <w:right w:w="114" w:type="dxa"/>
                </w:tcMar>
                <w:vAlign w:val="center"/>
              </w:tcPr>
              <w:p w14:paraId="36889547" w14:textId="0D7FE2C2" w:rsidR="00795A42" w:rsidRPr="004604F5" w:rsidRDefault="00795A42" w:rsidP="004604F5">
                <w:pPr>
                  <w:pStyle w:val="TableTextLeft"/>
                  <w:spacing w:before="0" w:after="0"/>
                  <w:jc w:val="center"/>
                  <w:rPr>
                    <w:rFonts w:cs="Segoe UI"/>
                    <w:b/>
                    <w:bCs/>
                    <w:sz w:val="14"/>
                    <w:lang w:eastAsia="it-IT"/>
                  </w:rPr>
                </w:pPr>
                <w:r w:rsidRPr="004604F5">
                  <w:rPr>
                    <w:rFonts w:cs="Segoe UI"/>
                    <w:b/>
                    <w:bCs/>
                    <w:sz w:val="14"/>
                    <w:lang w:eastAsia="it-IT"/>
                  </w:rPr>
                  <w:t>319</w:t>
                </w:r>
                <w:r w:rsidR="00715C0D">
                  <w:rPr>
                    <w:rFonts w:cs="Segoe UI"/>
                    <w:b/>
                    <w:bCs/>
                    <w:sz w:val="14"/>
                    <w:lang w:eastAsia="it-IT"/>
                  </w:rPr>
                  <w:t>,</w:t>
                </w:r>
                <w:r w:rsidRPr="004604F5">
                  <w:rPr>
                    <w:rFonts w:cs="Segoe UI"/>
                    <w:b/>
                    <w:bCs/>
                    <w:sz w:val="14"/>
                    <w:lang w:eastAsia="it-IT"/>
                  </w:rPr>
                  <w:t>465</w:t>
                </w:r>
              </w:p>
            </w:tc>
            <w:tc>
              <w:tcPr>
                <w:tcW w:w="621" w:type="pct"/>
                <w:shd w:val="clear" w:color="auto" w:fill="FFFFFF" w:themeFill="background2"/>
                <w:vAlign w:val="center"/>
              </w:tcPr>
              <w:p w14:paraId="30D38D40" w14:textId="4FC9FD91" w:rsidR="00795A42" w:rsidRPr="004604F5" w:rsidRDefault="00795A42" w:rsidP="004604F5">
                <w:pPr>
                  <w:pStyle w:val="TableTextLeft"/>
                  <w:spacing w:before="0" w:after="0"/>
                  <w:jc w:val="center"/>
                  <w:rPr>
                    <w:rFonts w:cs="Segoe UI"/>
                    <w:b/>
                    <w:bCs/>
                    <w:sz w:val="14"/>
                    <w:lang w:eastAsia="it-IT"/>
                  </w:rPr>
                </w:pPr>
                <w:r w:rsidRPr="004604F5">
                  <w:rPr>
                    <w:rFonts w:cs="Segoe UI"/>
                    <w:b/>
                    <w:bCs/>
                    <w:sz w:val="14"/>
                    <w:lang w:eastAsia="it-IT"/>
                  </w:rPr>
                  <w:t>48</w:t>
                </w:r>
                <w:r w:rsidR="00715C0D">
                  <w:rPr>
                    <w:rFonts w:cs="Segoe UI"/>
                    <w:b/>
                    <w:bCs/>
                    <w:sz w:val="14"/>
                    <w:lang w:eastAsia="it-IT"/>
                  </w:rPr>
                  <w:t>,</w:t>
                </w:r>
                <w:r w:rsidRPr="004604F5">
                  <w:rPr>
                    <w:rFonts w:cs="Segoe UI"/>
                    <w:b/>
                    <w:bCs/>
                    <w:sz w:val="14"/>
                    <w:lang w:eastAsia="it-IT"/>
                  </w:rPr>
                  <w:t>353</w:t>
                </w:r>
              </w:p>
            </w:tc>
            <w:tc>
              <w:tcPr>
                <w:tcW w:w="621" w:type="pct"/>
                <w:shd w:val="clear" w:color="auto" w:fill="FFFFFF" w:themeFill="background2"/>
                <w:vAlign w:val="center"/>
              </w:tcPr>
              <w:p w14:paraId="3EDE9C87" w14:textId="54630509" w:rsidR="00795A42" w:rsidRPr="004604F5" w:rsidRDefault="00795A42" w:rsidP="004604F5">
                <w:pPr>
                  <w:pStyle w:val="TableTextLeft"/>
                  <w:spacing w:before="0" w:after="0"/>
                  <w:jc w:val="center"/>
                  <w:rPr>
                    <w:rFonts w:cs="Segoe UI"/>
                    <w:b/>
                    <w:bCs/>
                    <w:sz w:val="14"/>
                    <w:lang w:eastAsia="it-IT"/>
                  </w:rPr>
                </w:pPr>
                <w:r w:rsidRPr="004604F5">
                  <w:rPr>
                    <w:rFonts w:cs="Segoe UI"/>
                    <w:b/>
                    <w:bCs/>
                    <w:sz w:val="14"/>
                    <w:lang w:eastAsia="it-IT"/>
                  </w:rPr>
                  <w:t>529</w:t>
                </w:r>
                <w:r w:rsidR="00341337" w:rsidRPr="004604F5">
                  <w:rPr>
                    <w:rFonts w:cs="Segoe UI"/>
                    <w:b/>
                    <w:bCs/>
                    <w:sz w:val="14"/>
                    <w:lang w:eastAsia="it-IT"/>
                  </w:rPr>
                  <w:t>,</w:t>
                </w:r>
                <w:r w:rsidRPr="004604F5">
                  <w:rPr>
                    <w:rFonts w:cs="Segoe UI"/>
                    <w:b/>
                    <w:bCs/>
                    <w:sz w:val="14"/>
                    <w:lang w:eastAsia="it-IT"/>
                  </w:rPr>
                  <w:t>990</w:t>
                </w:r>
              </w:p>
            </w:tc>
            <w:tc>
              <w:tcPr>
                <w:tcW w:w="621" w:type="pct"/>
                <w:shd w:val="clear" w:color="auto" w:fill="FFFFFF" w:themeFill="background2"/>
                <w:vAlign w:val="center"/>
              </w:tcPr>
              <w:p w14:paraId="7D27BD6F" w14:textId="1B3777CB" w:rsidR="00795A42" w:rsidRPr="004604F5" w:rsidRDefault="00795A42" w:rsidP="004604F5">
                <w:pPr>
                  <w:pStyle w:val="TableTextLeft"/>
                  <w:spacing w:before="0" w:after="0"/>
                  <w:jc w:val="center"/>
                  <w:rPr>
                    <w:rFonts w:cs="Segoe UI"/>
                    <w:b/>
                    <w:bCs/>
                    <w:sz w:val="14"/>
                    <w:lang w:eastAsia="it-IT"/>
                  </w:rPr>
                </w:pPr>
                <w:r w:rsidRPr="004604F5">
                  <w:rPr>
                    <w:rFonts w:cs="Segoe UI"/>
                    <w:b/>
                    <w:bCs/>
                    <w:sz w:val="14"/>
                    <w:lang w:eastAsia="it-IT"/>
                  </w:rPr>
                  <w:t>30</w:t>
                </w:r>
                <w:r w:rsidR="00E360D9" w:rsidRPr="004604F5">
                  <w:rPr>
                    <w:rFonts w:cs="Segoe UI"/>
                    <w:b/>
                    <w:bCs/>
                    <w:sz w:val="14"/>
                    <w:lang w:eastAsia="it-IT"/>
                  </w:rPr>
                  <w:t>.</w:t>
                </w:r>
                <w:r w:rsidRPr="004604F5">
                  <w:rPr>
                    <w:rFonts w:cs="Segoe UI"/>
                    <w:b/>
                    <w:bCs/>
                    <w:sz w:val="14"/>
                    <w:lang w:eastAsia="it-IT"/>
                  </w:rPr>
                  <w:t>6%</w:t>
                </w:r>
              </w:p>
            </w:tc>
            <w:tc>
              <w:tcPr>
                <w:tcW w:w="621" w:type="pct"/>
                <w:shd w:val="clear" w:color="auto" w:fill="FFFFFF" w:themeFill="background2"/>
                <w:vAlign w:val="center"/>
              </w:tcPr>
              <w:p w14:paraId="789B35B8" w14:textId="7B4B082B" w:rsidR="00795A42" w:rsidRPr="004604F5" w:rsidRDefault="00795A42" w:rsidP="004604F5">
                <w:pPr>
                  <w:pStyle w:val="TableTextLeft"/>
                  <w:spacing w:before="0" w:after="0"/>
                  <w:jc w:val="center"/>
                  <w:rPr>
                    <w:rFonts w:cs="Segoe UI"/>
                    <w:b/>
                    <w:bCs/>
                    <w:sz w:val="14"/>
                    <w:lang w:eastAsia="it-IT"/>
                  </w:rPr>
                </w:pPr>
                <w:r w:rsidRPr="004604F5">
                  <w:rPr>
                    <w:rFonts w:cs="Segoe UI"/>
                    <w:b/>
                    <w:bCs/>
                    <w:sz w:val="14"/>
                    <w:lang w:eastAsia="it-IT"/>
                  </w:rPr>
                  <w:t>60</w:t>
                </w:r>
                <w:r w:rsidR="00E360D9" w:rsidRPr="004604F5">
                  <w:rPr>
                    <w:rFonts w:cs="Segoe UI"/>
                    <w:b/>
                    <w:bCs/>
                    <w:sz w:val="14"/>
                    <w:lang w:eastAsia="it-IT"/>
                  </w:rPr>
                  <w:t>.</w:t>
                </w:r>
                <w:r w:rsidRPr="004604F5">
                  <w:rPr>
                    <w:rFonts w:cs="Segoe UI"/>
                    <w:b/>
                    <w:bCs/>
                    <w:sz w:val="14"/>
                    <w:lang w:eastAsia="it-IT"/>
                  </w:rPr>
                  <w:t>3%</w:t>
                </w:r>
              </w:p>
            </w:tc>
            <w:tc>
              <w:tcPr>
                <w:tcW w:w="615" w:type="pct"/>
                <w:shd w:val="clear" w:color="auto" w:fill="FFFFFF" w:themeFill="background2"/>
                <w:vAlign w:val="center"/>
              </w:tcPr>
              <w:p w14:paraId="7568D159" w14:textId="7DDC9085" w:rsidR="00795A42" w:rsidRPr="004604F5" w:rsidRDefault="00795A42" w:rsidP="004604F5">
                <w:pPr>
                  <w:pStyle w:val="TableTextLeft"/>
                  <w:spacing w:before="0" w:after="0"/>
                  <w:jc w:val="center"/>
                  <w:rPr>
                    <w:rFonts w:cs="Segoe UI"/>
                    <w:b/>
                    <w:bCs/>
                    <w:sz w:val="14"/>
                    <w:lang w:eastAsia="it-IT"/>
                  </w:rPr>
                </w:pPr>
                <w:r w:rsidRPr="004604F5">
                  <w:rPr>
                    <w:rFonts w:cs="Segoe UI"/>
                    <w:b/>
                    <w:bCs/>
                    <w:sz w:val="14"/>
                    <w:lang w:eastAsia="it-IT"/>
                  </w:rPr>
                  <w:t>9</w:t>
                </w:r>
                <w:r w:rsidR="00E360D9" w:rsidRPr="004604F5">
                  <w:rPr>
                    <w:rFonts w:cs="Segoe UI"/>
                    <w:b/>
                    <w:bCs/>
                    <w:sz w:val="14"/>
                    <w:lang w:eastAsia="it-IT"/>
                  </w:rPr>
                  <w:t>.</w:t>
                </w:r>
                <w:r w:rsidRPr="004604F5">
                  <w:rPr>
                    <w:rFonts w:cs="Segoe UI"/>
                    <w:b/>
                    <w:bCs/>
                    <w:sz w:val="14"/>
                    <w:lang w:eastAsia="it-IT"/>
                  </w:rPr>
                  <w:t>1%</w:t>
                </w:r>
              </w:p>
            </w:tc>
          </w:tr>
        </w:tbl>
        <w:p w14:paraId="3A254A3F" w14:textId="4987EBE1" w:rsidR="008A30F1" w:rsidRPr="008A30F1" w:rsidRDefault="008A30F1" w:rsidP="008A30F1">
          <w:pPr>
            <w:pStyle w:val="Didascalia"/>
            <w:rPr>
              <w:rFonts w:ascii="Segoe UI" w:hAnsi="Segoe UI" w:cs="Segoe UI"/>
              <w:bCs/>
              <w:i/>
              <w:color w:val="002E5A" w:themeColor="text2"/>
              <w:sz w:val="14"/>
              <w:szCs w:val="24"/>
              <w:lang w:val="en-GB"/>
            </w:rPr>
          </w:pPr>
          <w:bookmarkStart w:id="20" w:name="_Toc130806304"/>
          <w:bookmarkStart w:id="21" w:name="_Toc166675644"/>
          <w:bookmarkStart w:id="22" w:name="_Toc167131771"/>
          <w:r w:rsidRPr="0032337D">
            <w:rPr>
              <w:rFonts w:ascii="Segoe UI" w:hAnsi="Segoe UI" w:cs="Segoe UI"/>
              <w:i/>
              <w:color w:val="002E5A" w:themeColor="text2"/>
              <w:sz w:val="14"/>
              <w:szCs w:val="24"/>
              <w:lang w:val="en-GB"/>
            </w:rPr>
            <w:t xml:space="preserve">Exhibit </w:t>
          </w:r>
          <w:r>
            <w:rPr>
              <w:rFonts w:ascii="Segoe UI" w:hAnsi="Segoe UI" w:cs="Segoe UI"/>
              <w:bCs/>
              <w:i/>
              <w:color w:val="002E5A" w:themeColor="text2"/>
              <w:sz w:val="14"/>
              <w:szCs w:val="24"/>
              <w:lang w:val="en-GB"/>
            </w:rPr>
            <w:fldChar w:fldCharType="begin"/>
          </w:r>
          <w:r>
            <w:rPr>
              <w:rFonts w:ascii="Segoe UI" w:hAnsi="Segoe UI" w:cs="Segoe UI"/>
              <w:i/>
              <w:color w:val="002E5A" w:themeColor="text2"/>
              <w:sz w:val="14"/>
              <w:szCs w:val="24"/>
              <w:lang w:val="en-GB"/>
            </w:rPr>
            <w:instrText xml:space="preserve"> SEQ Exhibit \* ARABIC </w:instrText>
          </w:r>
          <w:r>
            <w:rPr>
              <w:rFonts w:ascii="Segoe UI" w:hAnsi="Segoe UI" w:cs="Segoe UI"/>
              <w:bCs/>
              <w:i/>
              <w:color w:val="002E5A" w:themeColor="text2"/>
              <w:sz w:val="14"/>
              <w:szCs w:val="24"/>
              <w:lang w:val="en-GB"/>
            </w:rPr>
            <w:fldChar w:fldCharType="separate"/>
          </w:r>
          <w:r w:rsidR="009857B6">
            <w:rPr>
              <w:rFonts w:ascii="Segoe UI" w:hAnsi="Segoe UI" w:cs="Segoe UI"/>
              <w:i/>
              <w:noProof/>
              <w:color w:val="002E5A" w:themeColor="text2"/>
              <w:sz w:val="14"/>
              <w:szCs w:val="24"/>
              <w:lang w:val="en-GB"/>
            </w:rPr>
            <w:t>3</w:t>
          </w:r>
          <w:r>
            <w:rPr>
              <w:rFonts w:ascii="Segoe UI" w:hAnsi="Segoe UI" w:cs="Segoe UI"/>
              <w:bCs/>
              <w:i/>
              <w:color w:val="002E5A" w:themeColor="text2"/>
              <w:sz w:val="14"/>
              <w:szCs w:val="24"/>
              <w:lang w:val="en-GB"/>
            </w:rPr>
            <w:fldChar w:fldCharType="end"/>
          </w:r>
          <w:r w:rsidRPr="0032337D">
            <w:rPr>
              <w:rFonts w:ascii="Segoe UI" w:hAnsi="Segoe UI" w:cs="Segoe UI"/>
              <w:i/>
              <w:color w:val="002E5A" w:themeColor="text2"/>
              <w:sz w:val="14"/>
              <w:szCs w:val="24"/>
              <w:lang w:val="en-GB"/>
            </w:rPr>
            <w:t>: Breakdown of rated entities by size</w:t>
          </w:r>
          <w:bookmarkEnd w:id="20"/>
          <w:bookmarkEnd w:id="21"/>
          <w:bookmarkEnd w:id="22"/>
        </w:p>
        <w:p w14:paraId="2373D15D" w14:textId="77FBAB5D" w:rsidR="0011324E" w:rsidRDefault="0011324E" w:rsidP="004101BF">
          <w:pPr>
            <w:rPr>
              <w:rFonts w:cs="Segoe UI"/>
              <w:lang w:val="en-GB"/>
            </w:rPr>
          </w:pPr>
          <w:r w:rsidRPr="00B4209D">
            <w:rPr>
              <w:noProof/>
              <w:shd w:val="clear" w:color="auto" w:fill="92D050"/>
            </w:rPr>
            <w:drawing>
              <wp:inline distT="0" distB="0" distL="0" distR="0" wp14:anchorId="0CEA16EF" wp14:editId="66314EA5">
                <wp:extent cx="6570980" cy="3718560"/>
                <wp:effectExtent l="0" t="0" r="1270" b="0"/>
                <wp:docPr id="1218020282" name="Gra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338E91B" w14:textId="60B7850A" w:rsidR="004101BF" w:rsidRPr="0032337D" w:rsidRDefault="00162B6A" w:rsidP="001A02C7">
          <w:pPr>
            <w:rPr>
              <w:rFonts w:cs="Segoe UI"/>
              <w:color w:val="1F85BB"/>
              <w:sz w:val="24"/>
              <w:szCs w:val="32"/>
              <w:lang w:val="en-GB"/>
            </w:rPr>
          </w:pPr>
          <w:r>
            <w:rPr>
              <w:rFonts w:cs="Segoe UI"/>
              <w:lang w:val="en-GB"/>
            </w:rPr>
            <w:t>After three years of continued decrease, a</w:t>
          </w:r>
          <w:r w:rsidR="004101BF" w:rsidRPr="0032337D">
            <w:rPr>
              <w:rFonts w:cs="Segoe UI"/>
              <w:lang w:val="en-GB"/>
            </w:rPr>
            <w:t>t the end of 20</w:t>
          </w:r>
          <w:r w:rsidR="004101BF">
            <w:rPr>
              <w:rFonts w:cs="Segoe UI"/>
              <w:lang w:val="en-GB"/>
            </w:rPr>
            <w:t>2</w:t>
          </w:r>
          <w:r w:rsidR="000621AF">
            <w:rPr>
              <w:rFonts w:cs="Segoe UI"/>
              <w:lang w:val="en-GB"/>
            </w:rPr>
            <w:t>2</w:t>
          </w:r>
          <w:r w:rsidR="00624516">
            <w:rPr>
              <w:rFonts w:cs="Segoe UI"/>
              <w:lang w:val="en-GB"/>
            </w:rPr>
            <w:t xml:space="preserve"> we saw an increase in</w:t>
          </w:r>
          <w:r w:rsidR="00A51300">
            <w:rPr>
              <w:rFonts w:cs="Segoe UI"/>
              <w:lang w:val="en-GB"/>
            </w:rPr>
            <w:t xml:space="preserve"> the</w:t>
          </w:r>
          <w:r w:rsidR="004101BF" w:rsidRPr="0032337D">
            <w:rPr>
              <w:rFonts w:cs="Segoe UI"/>
              <w:lang w:val="en-GB"/>
            </w:rPr>
            <w:t xml:space="preserve"> </w:t>
          </w:r>
          <w:r w:rsidR="00A51300">
            <w:rPr>
              <w:rFonts w:cs="Segoe UI"/>
              <w:lang w:val="en-GB"/>
            </w:rPr>
            <w:t xml:space="preserve">portfolio’s share of </w:t>
          </w:r>
          <w:r w:rsidR="004101BF" w:rsidRPr="0032337D">
            <w:rPr>
              <w:rFonts w:cs="Segoe UI"/>
              <w:lang w:val="en-GB"/>
            </w:rPr>
            <w:t>SMEs</w:t>
          </w:r>
          <w:r w:rsidR="00033EA2">
            <w:rPr>
              <w:rFonts w:cs="Segoe UI"/>
              <w:lang w:val="en-GB"/>
            </w:rPr>
            <w:t>,</w:t>
          </w:r>
          <w:r w:rsidR="00A51300">
            <w:rPr>
              <w:rFonts w:cs="Segoe UI"/>
              <w:lang w:val="en-GB"/>
            </w:rPr>
            <w:t xml:space="preserve"> </w:t>
          </w:r>
          <w:r w:rsidR="00624516">
            <w:rPr>
              <w:rFonts w:cs="Segoe UI"/>
              <w:lang w:val="en-GB"/>
            </w:rPr>
            <w:t xml:space="preserve">which </w:t>
          </w:r>
          <w:r w:rsidR="00103892">
            <w:rPr>
              <w:rFonts w:cs="Segoe UI"/>
              <w:lang w:val="en-GB"/>
            </w:rPr>
            <w:t>reach</w:t>
          </w:r>
          <w:r w:rsidR="00624516">
            <w:rPr>
              <w:rFonts w:cs="Segoe UI"/>
              <w:lang w:val="en-GB"/>
            </w:rPr>
            <w:t>ed</w:t>
          </w:r>
          <w:r w:rsidR="004101BF" w:rsidRPr="0032337D">
            <w:rPr>
              <w:rFonts w:cs="Segoe UI"/>
              <w:lang w:val="en-GB"/>
            </w:rPr>
            <w:t xml:space="preserve"> </w:t>
          </w:r>
          <w:r w:rsidR="00765A27">
            <w:rPr>
              <w:rFonts w:cs="Segoe UI"/>
              <w:lang w:val="en-GB"/>
            </w:rPr>
            <w:t>65%</w:t>
          </w:r>
          <w:r w:rsidR="004101BF" w:rsidRPr="0032337D">
            <w:rPr>
              <w:rFonts w:cs="Segoe UI"/>
              <w:lang w:val="en-GB"/>
            </w:rPr>
            <w:t xml:space="preserve"> of the</w:t>
          </w:r>
          <w:r w:rsidR="00765A27">
            <w:rPr>
              <w:rFonts w:cs="Segoe UI"/>
              <w:lang w:val="en-GB"/>
            </w:rPr>
            <w:t xml:space="preserve"> whole</w:t>
          </w:r>
          <w:r w:rsidR="004101BF" w:rsidRPr="0032337D">
            <w:rPr>
              <w:rFonts w:cs="Segoe UI"/>
              <w:lang w:val="en-GB"/>
            </w:rPr>
            <w:t xml:space="preserve"> </w:t>
          </w:r>
          <w:r w:rsidR="00103892">
            <w:rPr>
              <w:rFonts w:cs="Segoe UI"/>
              <w:lang w:val="en-GB"/>
            </w:rPr>
            <w:t>sample</w:t>
          </w:r>
          <w:r w:rsidR="00F75893">
            <w:rPr>
              <w:rFonts w:cs="Segoe UI"/>
              <w:lang w:val="en-GB"/>
            </w:rPr>
            <w:t>,</w:t>
          </w:r>
          <w:r w:rsidR="00FD3E76">
            <w:rPr>
              <w:rFonts w:cs="Segoe UI"/>
              <w:lang w:val="en-GB"/>
            </w:rPr>
            <w:t xml:space="preserve"> the highest </w:t>
          </w:r>
          <w:r w:rsidR="00765A27">
            <w:rPr>
              <w:rFonts w:cs="Segoe UI"/>
              <w:lang w:val="en-GB"/>
            </w:rPr>
            <w:t>values</w:t>
          </w:r>
          <w:r w:rsidR="00FD3E76">
            <w:rPr>
              <w:rFonts w:cs="Segoe UI"/>
              <w:lang w:val="en-GB"/>
            </w:rPr>
            <w:t xml:space="preserve"> since 2014</w:t>
          </w:r>
          <w:r w:rsidR="00A51300">
            <w:rPr>
              <w:rFonts w:cs="Segoe UI"/>
              <w:lang w:val="en-GB"/>
            </w:rPr>
            <w:t>.</w:t>
          </w:r>
          <w:r w:rsidR="005A6B4A">
            <w:rPr>
              <w:rFonts w:cs="Segoe UI"/>
              <w:lang w:val="en-GB"/>
            </w:rPr>
            <w:t xml:space="preserve"> The share of large companies increases too, </w:t>
          </w:r>
          <w:r w:rsidR="00B8105F">
            <w:rPr>
              <w:rFonts w:cs="Segoe UI"/>
              <w:lang w:val="en-GB"/>
            </w:rPr>
            <w:t>touching 21</w:t>
          </w:r>
          <w:r w:rsidR="00C11768">
            <w:rPr>
              <w:rFonts w:cs="Segoe UI"/>
              <w:lang w:val="en-GB"/>
            </w:rPr>
            <w:t>.</w:t>
          </w:r>
          <w:r w:rsidR="00B8105F">
            <w:rPr>
              <w:rFonts w:cs="Segoe UI"/>
              <w:lang w:val="en-GB"/>
            </w:rPr>
            <w:t xml:space="preserve">6% of the </w:t>
          </w:r>
          <w:r w:rsidR="009D4A63">
            <w:rPr>
              <w:rFonts w:cs="Segoe UI"/>
              <w:lang w:val="en-GB"/>
            </w:rPr>
            <w:t>whole companies</w:t>
          </w:r>
          <w:r w:rsidR="00B8105F">
            <w:rPr>
              <w:rFonts w:cs="Segoe UI"/>
              <w:lang w:val="en-GB"/>
            </w:rPr>
            <w:t xml:space="preserve">. </w:t>
          </w:r>
          <w:r w:rsidR="001D0162">
            <w:rPr>
              <w:rFonts w:cs="Segoe UI"/>
              <w:lang w:val="en-GB"/>
            </w:rPr>
            <w:t>The only declining category is represented by</w:t>
          </w:r>
          <w:r w:rsidR="009D4A63">
            <w:rPr>
              <w:rFonts w:cs="Segoe UI"/>
              <w:lang w:val="en-GB"/>
            </w:rPr>
            <w:t xml:space="preserve"> the</w:t>
          </w:r>
          <w:r w:rsidR="001D0162">
            <w:rPr>
              <w:rFonts w:cs="Segoe UI"/>
              <w:lang w:val="en-GB"/>
            </w:rPr>
            <w:t xml:space="preserve"> m</w:t>
          </w:r>
          <w:r>
            <w:rPr>
              <w:rFonts w:cs="Segoe UI"/>
              <w:lang w:val="en-GB"/>
            </w:rPr>
            <w:t>icro</w:t>
          </w:r>
          <w:r w:rsidR="007C7DE7">
            <w:rPr>
              <w:rFonts w:cs="Segoe UI"/>
              <w:lang w:val="en-GB"/>
            </w:rPr>
            <w:t xml:space="preserve"> enterprises</w:t>
          </w:r>
          <w:r w:rsidR="001D0162">
            <w:rPr>
              <w:rFonts w:cs="Segoe UI"/>
              <w:lang w:val="en-GB"/>
            </w:rPr>
            <w:t>, which</w:t>
          </w:r>
          <w:r w:rsidR="007C7DE7">
            <w:rPr>
              <w:rFonts w:cs="Segoe UI"/>
              <w:lang w:val="en-GB"/>
            </w:rPr>
            <w:t xml:space="preserve"> persist on their </w:t>
          </w:r>
          <w:r w:rsidR="002D228A">
            <w:rPr>
              <w:rFonts w:cs="Segoe UI"/>
              <w:lang w:val="en-GB"/>
            </w:rPr>
            <w:t xml:space="preserve">declining trend and now amount to 13% of the </w:t>
          </w:r>
          <w:r w:rsidR="00033EA2">
            <w:rPr>
              <w:rFonts w:cs="Segoe UI"/>
              <w:lang w:val="en-GB"/>
            </w:rPr>
            <w:t xml:space="preserve">portfolio’s </w:t>
          </w:r>
          <w:r w:rsidR="001D0162">
            <w:rPr>
              <w:rFonts w:cs="Segoe UI"/>
              <w:lang w:val="en-GB"/>
            </w:rPr>
            <w:t>companies</w:t>
          </w:r>
          <w:r w:rsidR="00033EA2">
            <w:rPr>
              <w:rFonts w:cs="Segoe UI"/>
              <w:lang w:val="en-GB"/>
            </w:rPr>
            <w:t>.</w:t>
          </w:r>
          <w:r w:rsidR="004101BF" w:rsidRPr="0032337D">
            <w:rPr>
              <w:rFonts w:cs="Segoe UI"/>
              <w:lang w:val="en-GB"/>
            </w:rPr>
            <w:br w:type="page"/>
          </w:r>
        </w:p>
        <w:p w14:paraId="3953511A" w14:textId="77777777" w:rsidR="004101BF" w:rsidRPr="003B4096" w:rsidRDefault="004101BF" w:rsidP="004101BF">
          <w:pPr>
            <w:pStyle w:val="Titolo3"/>
            <w:rPr>
              <w:lang w:val="en-GB"/>
            </w:rPr>
          </w:pPr>
          <w:bookmarkStart w:id="23" w:name="_Toc130806397"/>
          <w:bookmarkStart w:id="24" w:name="_Toc167131718"/>
          <w:r w:rsidRPr="00A3443E">
            <w:rPr>
              <w:lang w:val="en-GB"/>
            </w:rPr>
            <w:lastRenderedPageBreak/>
            <w:t>Breakdown of rated entities by legal form</w:t>
          </w:r>
          <w:bookmarkEnd w:id="23"/>
          <w:bookmarkEnd w:id="24"/>
        </w:p>
        <w:p w14:paraId="4C5B374D" w14:textId="77777777" w:rsidR="004101BF" w:rsidRPr="0032337D" w:rsidRDefault="004101BF" w:rsidP="004101BF">
          <w:pPr>
            <w:rPr>
              <w:rFonts w:cs="Segoe UI"/>
              <w:lang w:val="en-GB"/>
            </w:rPr>
          </w:pPr>
          <w:r w:rsidRPr="0032337D">
            <w:rPr>
              <w:rFonts w:cs="Segoe UI"/>
              <w:lang w:val="en-GB"/>
            </w:rPr>
            <w:t>Exhibits 4 and 5 show the distribution of rated entities by legal form:</w:t>
          </w:r>
        </w:p>
        <w:p w14:paraId="6265622F" w14:textId="0192B9BD" w:rsidR="004101BF" w:rsidRDefault="004101BF" w:rsidP="004101BF">
          <w:pPr>
            <w:pStyle w:val="Didascalia"/>
            <w:rPr>
              <w:rFonts w:ascii="Segoe UI" w:hAnsi="Segoe UI" w:cs="Segoe UI"/>
              <w:i/>
              <w:color w:val="002E5A" w:themeColor="text2"/>
              <w:sz w:val="14"/>
              <w:szCs w:val="24"/>
              <w:lang w:val="en-GB"/>
            </w:rPr>
          </w:pPr>
          <w:bookmarkStart w:id="25" w:name="_Toc130806305"/>
          <w:bookmarkStart w:id="26" w:name="_Toc166675645"/>
          <w:bookmarkStart w:id="27" w:name="_Toc167131772"/>
          <w:r w:rsidRPr="0032337D">
            <w:rPr>
              <w:rFonts w:ascii="Segoe UI" w:hAnsi="Segoe UI" w:cs="Segoe UI"/>
              <w:i/>
              <w:color w:val="002E5A" w:themeColor="text2"/>
              <w:sz w:val="14"/>
              <w:szCs w:val="24"/>
              <w:lang w:val="en-GB"/>
            </w:rPr>
            <w:t xml:space="preserve">Exhibit </w:t>
          </w:r>
          <w:r>
            <w:rPr>
              <w:rFonts w:ascii="Segoe UI" w:hAnsi="Segoe UI" w:cs="Segoe UI"/>
              <w:bCs/>
              <w:i/>
              <w:color w:val="002E5A" w:themeColor="text2"/>
              <w:sz w:val="14"/>
              <w:szCs w:val="24"/>
              <w:lang w:val="en-GB"/>
            </w:rPr>
            <w:fldChar w:fldCharType="begin"/>
          </w:r>
          <w:r>
            <w:rPr>
              <w:rFonts w:ascii="Segoe UI" w:hAnsi="Segoe UI" w:cs="Segoe UI"/>
              <w:i/>
              <w:color w:val="002E5A" w:themeColor="text2"/>
              <w:sz w:val="14"/>
              <w:szCs w:val="24"/>
              <w:lang w:val="en-GB"/>
            </w:rPr>
            <w:instrText xml:space="preserve"> SEQ Exhibit \* ARABIC </w:instrText>
          </w:r>
          <w:r>
            <w:rPr>
              <w:rFonts w:ascii="Segoe UI" w:hAnsi="Segoe UI" w:cs="Segoe UI"/>
              <w:bCs/>
              <w:i/>
              <w:color w:val="002E5A" w:themeColor="text2"/>
              <w:sz w:val="14"/>
              <w:szCs w:val="24"/>
              <w:lang w:val="en-GB"/>
            </w:rPr>
            <w:fldChar w:fldCharType="separate"/>
          </w:r>
          <w:r w:rsidR="009857B6">
            <w:rPr>
              <w:rFonts w:ascii="Segoe UI" w:hAnsi="Segoe UI" w:cs="Segoe UI"/>
              <w:i/>
              <w:noProof/>
              <w:color w:val="002E5A" w:themeColor="text2"/>
              <w:sz w:val="14"/>
              <w:szCs w:val="24"/>
              <w:lang w:val="en-GB"/>
            </w:rPr>
            <w:t>4</w:t>
          </w:r>
          <w:r>
            <w:rPr>
              <w:rFonts w:ascii="Segoe UI" w:hAnsi="Segoe UI" w:cs="Segoe UI"/>
              <w:bCs/>
              <w:i/>
              <w:color w:val="002E5A" w:themeColor="text2"/>
              <w:sz w:val="14"/>
              <w:szCs w:val="24"/>
              <w:lang w:val="en-GB"/>
            </w:rPr>
            <w:fldChar w:fldCharType="end"/>
          </w:r>
          <w:r w:rsidRPr="0032337D">
            <w:rPr>
              <w:rFonts w:ascii="Segoe UI" w:hAnsi="Segoe UI" w:cs="Segoe UI"/>
              <w:i/>
              <w:color w:val="002E5A" w:themeColor="text2"/>
              <w:sz w:val="14"/>
              <w:szCs w:val="24"/>
              <w:lang w:val="en-GB"/>
            </w:rPr>
            <w:t>: Distribution of rated entities by legal form</w:t>
          </w:r>
          <w:r>
            <w:rPr>
              <w:rFonts w:ascii="Segoe UI" w:hAnsi="Segoe UI" w:cs="Segoe UI"/>
              <w:i/>
              <w:color w:val="002E5A" w:themeColor="text2"/>
              <w:sz w:val="14"/>
              <w:szCs w:val="24"/>
              <w:lang w:val="en-GB"/>
            </w:rPr>
            <w:t xml:space="preserve"> (table)</w:t>
          </w:r>
          <w:bookmarkEnd w:id="25"/>
          <w:bookmarkEnd w:id="26"/>
          <w:bookmarkEnd w:id="27"/>
        </w:p>
        <w:tbl>
          <w:tblPr>
            <w:tblW w:w="5000" w:type="pct"/>
            <w:tblBorders>
              <w:top w:val="single" w:sz="4" w:space="0" w:color="AFAFB4" w:themeColor="accent4"/>
              <w:bottom w:val="single" w:sz="4" w:space="0" w:color="AFAFB4" w:themeColor="accent4"/>
              <w:insideH w:val="single" w:sz="4" w:space="0" w:color="AFAFB4" w:themeColor="accent4"/>
            </w:tblBorders>
            <w:shd w:val="clear" w:color="auto" w:fill="FFFFFF" w:themeFill="background2"/>
            <w:tblCellMar>
              <w:left w:w="0" w:type="dxa"/>
              <w:right w:w="0" w:type="dxa"/>
            </w:tblCellMar>
            <w:tblLook w:val="0620" w:firstRow="1" w:lastRow="0" w:firstColumn="0" w:lastColumn="0" w:noHBand="1" w:noVBand="1"/>
            <w:tblDescription w:val="{&quot;Ott&quot;:{&quot;FirstRow&quot;:{&quot;BackgroundColor&quot;:{&quot;Key&quot;:&quot;Light2&quot;},&quot;Font&quot;:{&quot;Name&quot;:&quot;Source Sans Pro&quot;,&quot;Size&quot;:14.0,&quot;Bold&quot;:false,&quot;Italic&quot;:false,&quot;Color&quot;:{&quot;Key&quot;:&quot;Dark2&quot;}},&quot;ExcelCellFormatting&quot;:&quot;General&quot;,&quot;Alignment&quot;:{&quot;Horizontal&quot;:&quot;Left&quot;,&quot;Vertical&quot;:&quot;Bottom&quot;},&quot;Borders&quot;:{&quot;Vertical&quot;:{&quot;Visible&quot;:false},&quot;Left&quot;:{&quot;Visible&quot;:false},&quot;Top&quot;:{&quot;Visible&quot;:false},&quot;Right&quot;:{&quot;Visible&quot;:false},&quot;Bottom&quot;:{&quot;Color&quot;:{&quot;Key&quot;:&quot;Accent4&quot;},&quot;BorderWeight&quot;:&quot;Pt1_5&quot;,&quot;Type&quot;:&quot;Solid&quot;,&quot;Visible&quot;:true}}},&quot;FitRowHeightPp&quot;:true,&quot;ZeroMarginsWord&quot;:true,&quot;BackgroundColor&quot;:{&quot;Key&quot;:&quot;Light2&quot;},&quot;Font&quot;:{&quot;Name&quot;:&quot;Source Sans Pro&quot;,&quot;Size&quot;:11.0,&quot;Bold&quot;:false,&quot;Italic&quot;:false,&quot;Color&quot;:{&quot;Key&quot;:&quot;Dark2&quot;}},&quot;LineSpacing&quot;:{&quot;Rule&quot;:&quot;Single&quot;},&quot;Alignment&quot;:{&quot;Horizontal&quot;:&quot;Left&quot;,&quot;Vertical&quot;:&quot;Top&quot;},&quot;Margin&quot;:{&quot;Left&quot;:5.7,&quot;Top&quot;:3.0,&quot;Right&quot;:5.7,&quot;Bottom&quot;:3.0},&quot;Borders&quot;:{&quot;Vertical&quot;:{&quot;Visible&quot;:false},&quot;Horizontal&quot;:{&quot;Color&quot;:{&quot;Key&quot;:&quot;Accent4&quot;},&quot;BorderWeight&quot;:&quot;Pt0_5&quot;,&quot;Type&quot;:&quot;Solid&quot;,&quot;Visible&quot;:true}},&quot;ParagraphSpacing&quot;:{&quot;SpaceBefore&quot;:2.0,&quot;SpaceAfter&quot;:2.0},&quot;ExcelWrapText&quot;:true},&quot;Ccs&quot;:{&quot;DarkBlue&quot;:&quot;0, 20, 55&quot;,&quot;Turquoise&quot;:&quot;0, 164, 230&quot;,&quot;Red&quot;:&quot;214, 70, 65&quot;,&quot;LightGrey&quot;:&quot;174, 174, 180&quot;,&quot;BlueGrey&quot;:&quot;77, 91, 115&quot;,&quot;IceBlue&quot;:&quot;178, 184, 195&quot;,&quot;Grey&quot;:&quot;145, 147, 153&quot;,&quot;Background&quot;:&quot;0, 0, 0, 0&quot;,&quot;White&quot;:&quot;White&quot;,&quot;Accent1&quot;:&quot;1, 1, 1, 1&quot;,&quot;Accent2&quot;:&quot;1, 1, 1, 2&quot;,&quot;Accent3&quot;:&quot;1, 1, 1, 3&quot;,&quot;Accent4&quot;:&quot;1, 1, 1, 4&quot;,&quot;Accent5&quot;:&quot;1, 1, 1, 5&quot;,&quot;Accent6&quot;:&quot;1, 1, 1, 6&quot;,&quot;Dark1&quot;:&quot;1, 1, 1, 7&quot;,&quot;Dark2&quot;:&quot;1, 1, 1, 9&quot;,&quot;Light1&quot;:&quot;1, 1, 1, 8&quot;,&quot;Light2&quot;:&quot;1, 1, 1, 10&quot;},&quot;Cop&quot;:{&quot;FirstRow&quot;:true,&quot;LastRow&quot;:false,&quot;FirstColumn&quot;:false,&quot;LastColumn&quot;:false,&quot;BandedRows&quot;:false,&quot;BandedColumns&quot;:false},&quot;Aaf&quot;:false}"/>
          </w:tblPr>
          <w:tblGrid>
            <w:gridCol w:w="1546"/>
            <w:gridCol w:w="1043"/>
            <w:gridCol w:w="1294"/>
            <w:gridCol w:w="1296"/>
            <w:gridCol w:w="1294"/>
            <w:gridCol w:w="1294"/>
            <w:gridCol w:w="1294"/>
            <w:gridCol w:w="1287"/>
          </w:tblGrid>
          <w:tr w:rsidR="001307B2" w:rsidRPr="00ED33EF" w14:paraId="38D378E6" w14:textId="77777777" w:rsidTr="00F211B6">
            <w:trPr>
              <w:trHeight w:val="283"/>
              <w:tblHeader/>
            </w:trPr>
            <w:tc>
              <w:tcPr>
                <w:tcW w:w="747" w:type="pct"/>
                <w:vMerge w:val="restar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27D42526" w14:textId="4488806C" w:rsidR="001307B2" w:rsidRPr="00ED33EF" w:rsidRDefault="001307B2" w:rsidP="001A02C7">
                <w:pPr>
                  <w:spacing w:before="0" w:line="240" w:lineRule="auto"/>
                  <w:jc w:val="center"/>
                  <w:rPr>
                    <w:b/>
                    <w:color w:val="33A1AB" w:themeColor="accent2"/>
                    <w:sz w:val="14"/>
                    <w:szCs w:val="14"/>
                  </w:rPr>
                </w:pPr>
                <w:r>
                  <w:rPr>
                    <w:b/>
                    <w:color w:val="33A1AB" w:themeColor="accent2"/>
                    <w:sz w:val="14"/>
                    <w:szCs w:val="14"/>
                  </w:rPr>
                  <w:t>Year of pool</w:t>
                </w:r>
              </w:p>
            </w:tc>
            <w:tc>
              <w:tcPr>
                <w:tcW w:w="1755" w:type="pct"/>
                <w:gridSpan w:val="3"/>
                <w:tcBorders>
                  <w:top w:val="single" w:sz="12" w:space="0" w:color="AFAFB4" w:themeColor="accent4"/>
                </w:tcBorders>
                <w:shd w:val="clear" w:color="auto" w:fill="FFFFFF" w:themeFill="background2"/>
                <w:vAlign w:val="center"/>
              </w:tcPr>
              <w:p w14:paraId="5D596642" w14:textId="57913D87" w:rsidR="001307B2" w:rsidRPr="00ED33EF" w:rsidRDefault="001307B2" w:rsidP="001A02C7">
                <w:pPr>
                  <w:spacing w:before="0" w:line="240" w:lineRule="auto"/>
                  <w:jc w:val="center"/>
                  <w:rPr>
                    <w:b/>
                    <w:color w:val="33A1AB" w:themeColor="accent2"/>
                    <w:sz w:val="14"/>
                    <w:szCs w:val="14"/>
                  </w:rPr>
                </w:pPr>
                <w:r>
                  <w:rPr>
                    <w:b/>
                    <w:color w:val="33A1AB" w:themeColor="accent2"/>
                    <w:sz w:val="14"/>
                    <w:szCs w:val="14"/>
                  </w:rPr>
                  <w:t>Number of ratings</w:t>
                </w:r>
              </w:p>
            </w:tc>
            <w:tc>
              <w:tcPr>
                <w:tcW w:w="625" w:type="pct"/>
                <w:vMerge w:val="restart"/>
                <w:tcBorders>
                  <w:top w:val="single" w:sz="12" w:space="0" w:color="AFAFB4" w:themeColor="accent4"/>
                </w:tcBorders>
                <w:shd w:val="clear" w:color="auto" w:fill="FFFFFF" w:themeFill="background2"/>
                <w:vAlign w:val="center"/>
              </w:tcPr>
              <w:p w14:paraId="2D39215D" w14:textId="77777777" w:rsidR="001307B2" w:rsidRDefault="001307B2" w:rsidP="001A02C7">
                <w:pPr>
                  <w:spacing w:before="0" w:line="240" w:lineRule="auto"/>
                  <w:jc w:val="center"/>
                  <w:rPr>
                    <w:b/>
                    <w:color w:val="33A1AB" w:themeColor="accent2"/>
                    <w:sz w:val="14"/>
                    <w:szCs w:val="14"/>
                  </w:rPr>
                </w:pPr>
              </w:p>
              <w:p w14:paraId="380B268B" w14:textId="77777777" w:rsidR="001307B2" w:rsidRDefault="001307B2" w:rsidP="001A02C7">
                <w:pPr>
                  <w:spacing w:before="0" w:line="240" w:lineRule="auto"/>
                  <w:jc w:val="center"/>
                  <w:rPr>
                    <w:b/>
                    <w:color w:val="33A1AB" w:themeColor="accent2"/>
                    <w:sz w:val="14"/>
                    <w:szCs w:val="14"/>
                  </w:rPr>
                </w:pPr>
              </w:p>
              <w:p w14:paraId="0CDEB692" w14:textId="77777777" w:rsidR="001307B2" w:rsidRDefault="001307B2" w:rsidP="001A02C7">
                <w:pPr>
                  <w:spacing w:before="0" w:line="240" w:lineRule="auto"/>
                  <w:jc w:val="center"/>
                  <w:rPr>
                    <w:b/>
                    <w:color w:val="33A1AB" w:themeColor="accent2"/>
                    <w:sz w:val="14"/>
                    <w:szCs w:val="14"/>
                  </w:rPr>
                </w:pPr>
              </w:p>
              <w:p w14:paraId="0B41383F" w14:textId="1ED28255" w:rsidR="001307B2" w:rsidRDefault="001307B2" w:rsidP="001A02C7">
                <w:pPr>
                  <w:spacing w:before="0" w:line="240" w:lineRule="auto"/>
                  <w:jc w:val="center"/>
                  <w:rPr>
                    <w:b/>
                    <w:color w:val="33A1AB" w:themeColor="accent2"/>
                    <w:sz w:val="14"/>
                    <w:szCs w:val="14"/>
                  </w:rPr>
                </w:pPr>
                <w:r>
                  <w:rPr>
                    <w:b/>
                    <w:color w:val="33A1AB" w:themeColor="accent2"/>
                    <w:sz w:val="14"/>
                    <w:szCs w:val="14"/>
                  </w:rPr>
                  <w:t>Total</w:t>
                </w:r>
              </w:p>
            </w:tc>
            <w:tc>
              <w:tcPr>
                <w:tcW w:w="1872" w:type="pct"/>
                <w:gridSpan w:val="3"/>
                <w:tcBorders>
                  <w:top w:val="single" w:sz="12" w:space="0" w:color="AFAFB4" w:themeColor="accent4"/>
                </w:tcBorders>
                <w:shd w:val="clear" w:color="auto" w:fill="FFFFFF" w:themeFill="background2"/>
                <w:vAlign w:val="center"/>
              </w:tcPr>
              <w:p w14:paraId="0C05A86A" w14:textId="6BC45F78" w:rsidR="001307B2" w:rsidRDefault="001307B2" w:rsidP="001A02C7">
                <w:pPr>
                  <w:spacing w:before="0" w:line="240" w:lineRule="auto"/>
                  <w:jc w:val="center"/>
                  <w:rPr>
                    <w:b/>
                    <w:color w:val="33A1AB" w:themeColor="accent2"/>
                    <w:sz w:val="14"/>
                    <w:szCs w:val="14"/>
                  </w:rPr>
                </w:pPr>
                <w:r>
                  <w:rPr>
                    <w:b/>
                    <w:color w:val="33A1AB" w:themeColor="accent2"/>
                    <w:sz w:val="14"/>
                    <w:szCs w:val="14"/>
                  </w:rPr>
                  <w:t>Percentage</w:t>
                </w:r>
              </w:p>
            </w:tc>
          </w:tr>
          <w:tr w:rsidR="001307B2" w:rsidRPr="00ED33EF" w14:paraId="480122FB" w14:textId="77777777" w:rsidTr="00F211B6">
            <w:trPr>
              <w:trHeight w:val="283"/>
              <w:tblHeader/>
            </w:trPr>
            <w:tc>
              <w:tcPr>
                <w:tcW w:w="747" w:type="pct"/>
                <w:vMerge/>
                <w:shd w:val="clear" w:color="auto" w:fill="FFFFFF" w:themeFill="background2"/>
                <w:tcMar>
                  <w:top w:w="60" w:type="dxa"/>
                  <w:left w:w="114" w:type="dxa"/>
                  <w:bottom w:w="60" w:type="dxa"/>
                  <w:right w:w="114" w:type="dxa"/>
                </w:tcMar>
              </w:tcPr>
              <w:p w14:paraId="468EFDE4" w14:textId="19FBAECF" w:rsidR="001307B2" w:rsidRPr="00ED33EF" w:rsidRDefault="001307B2" w:rsidP="004412F7">
                <w:pPr>
                  <w:spacing w:before="0" w:line="240" w:lineRule="auto"/>
                  <w:rPr>
                    <w:b/>
                    <w:color w:val="33A1AB" w:themeColor="accent2"/>
                    <w:sz w:val="14"/>
                    <w:szCs w:val="14"/>
                  </w:rPr>
                </w:pPr>
              </w:p>
            </w:tc>
            <w:tc>
              <w:tcPr>
                <w:tcW w:w="504"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76AEE400" w14:textId="6CBB4D54" w:rsidR="001307B2" w:rsidRPr="00ED33EF" w:rsidRDefault="001307B2" w:rsidP="001A02C7">
                <w:pPr>
                  <w:spacing w:before="0" w:line="240" w:lineRule="auto"/>
                  <w:jc w:val="center"/>
                  <w:rPr>
                    <w:b/>
                    <w:color w:val="33A1AB" w:themeColor="accent2"/>
                    <w:sz w:val="14"/>
                    <w:szCs w:val="14"/>
                  </w:rPr>
                </w:pPr>
                <w:r w:rsidRPr="001307B2">
                  <w:rPr>
                    <w:b/>
                    <w:bCs/>
                    <w:color w:val="33A1AB" w:themeColor="accent2"/>
                    <w:sz w:val="14"/>
                    <w:szCs w:val="14"/>
                    <w:lang w:val="en-GB"/>
                  </w:rPr>
                  <w:t>Joint Stock and Limited Liability Company</w:t>
                </w:r>
              </w:p>
            </w:tc>
            <w:tc>
              <w:tcPr>
                <w:tcW w:w="625" w:type="pct"/>
                <w:tcBorders>
                  <w:top w:val="single" w:sz="12" w:space="0" w:color="AFAFB4" w:themeColor="accent4"/>
                </w:tcBorders>
                <w:shd w:val="clear" w:color="auto" w:fill="FFFFFF" w:themeFill="background2"/>
                <w:vAlign w:val="center"/>
              </w:tcPr>
              <w:p w14:paraId="2E6DBB7A" w14:textId="36B13752" w:rsidR="001307B2" w:rsidRPr="00ED33EF" w:rsidRDefault="001307B2" w:rsidP="001A02C7">
                <w:pPr>
                  <w:spacing w:before="0" w:line="240" w:lineRule="auto"/>
                  <w:jc w:val="center"/>
                  <w:rPr>
                    <w:b/>
                    <w:color w:val="33A1AB" w:themeColor="accent2"/>
                    <w:sz w:val="14"/>
                    <w:szCs w:val="14"/>
                  </w:rPr>
                </w:pPr>
                <w:r w:rsidRPr="001307B2">
                  <w:rPr>
                    <w:b/>
                    <w:bCs/>
                    <w:color w:val="33A1AB" w:themeColor="accent2"/>
                    <w:sz w:val="14"/>
                    <w:szCs w:val="14"/>
                    <w:lang w:val="en-GB"/>
                  </w:rPr>
                  <w:t>Unlimited Partnership</w:t>
                </w:r>
              </w:p>
            </w:tc>
            <w:tc>
              <w:tcPr>
                <w:tcW w:w="626" w:type="pct"/>
                <w:tcBorders>
                  <w:top w:val="single" w:sz="12" w:space="0" w:color="AFAFB4" w:themeColor="accent4"/>
                </w:tcBorders>
                <w:shd w:val="clear" w:color="auto" w:fill="FFFFFF" w:themeFill="background2"/>
                <w:vAlign w:val="center"/>
              </w:tcPr>
              <w:p w14:paraId="42BE0B51" w14:textId="18DA82DE" w:rsidR="001307B2" w:rsidRPr="00ED33EF" w:rsidRDefault="001307B2" w:rsidP="001A02C7">
                <w:pPr>
                  <w:spacing w:before="0" w:line="240" w:lineRule="auto"/>
                  <w:jc w:val="center"/>
                  <w:rPr>
                    <w:b/>
                    <w:color w:val="33A1AB" w:themeColor="accent2"/>
                    <w:sz w:val="14"/>
                    <w:szCs w:val="14"/>
                  </w:rPr>
                </w:pPr>
                <w:r w:rsidRPr="001307B2">
                  <w:rPr>
                    <w:b/>
                    <w:bCs/>
                    <w:color w:val="33A1AB" w:themeColor="accent2"/>
                    <w:sz w:val="14"/>
                    <w:szCs w:val="14"/>
                    <w:lang w:val="en-GB"/>
                  </w:rPr>
                  <w:t>Sole Proprietorship</w:t>
                </w:r>
              </w:p>
            </w:tc>
            <w:tc>
              <w:tcPr>
                <w:tcW w:w="625" w:type="pct"/>
                <w:vMerge/>
                <w:shd w:val="clear" w:color="auto" w:fill="FFFFFF" w:themeFill="background2"/>
                <w:vAlign w:val="center"/>
              </w:tcPr>
              <w:p w14:paraId="0FC4EDA8" w14:textId="4AC927B1" w:rsidR="001307B2" w:rsidRPr="00ED33EF" w:rsidRDefault="001307B2" w:rsidP="001A02C7">
                <w:pPr>
                  <w:spacing w:before="0" w:line="240" w:lineRule="auto"/>
                  <w:jc w:val="center"/>
                  <w:rPr>
                    <w:b/>
                    <w:color w:val="33A1AB" w:themeColor="accent2"/>
                    <w:sz w:val="14"/>
                    <w:szCs w:val="14"/>
                  </w:rPr>
                </w:pPr>
              </w:p>
            </w:tc>
            <w:tc>
              <w:tcPr>
                <w:tcW w:w="625" w:type="pct"/>
                <w:tcBorders>
                  <w:top w:val="single" w:sz="12" w:space="0" w:color="AFAFB4" w:themeColor="accent4"/>
                </w:tcBorders>
                <w:shd w:val="clear" w:color="auto" w:fill="FFFFFF" w:themeFill="background2"/>
                <w:vAlign w:val="center"/>
              </w:tcPr>
              <w:p w14:paraId="10DE0799" w14:textId="0E021F4A" w:rsidR="001307B2" w:rsidRPr="00ED33EF" w:rsidRDefault="001307B2" w:rsidP="001A02C7">
                <w:pPr>
                  <w:spacing w:before="0" w:line="240" w:lineRule="auto"/>
                  <w:jc w:val="center"/>
                  <w:rPr>
                    <w:b/>
                    <w:color w:val="33A1AB" w:themeColor="accent2"/>
                    <w:sz w:val="14"/>
                    <w:szCs w:val="14"/>
                  </w:rPr>
                </w:pPr>
                <w:r w:rsidRPr="001307B2">
                  <w:rPr>
                    <w:b/>
                    <w:bCs/>
                    <w:color w:val="33A1AB" w:themeColor="accent2"/>
                    <w:sz w:val="14"/>
                    <w:szCs w:val="14"/>
                    <w:lang w:val="en-GB"/>
                  </w:rPr>
                  <w:t>Joint Stock and Limited Liability Company</w:t>
                </w:r>
              </w:p>
            </w:tc>
            <w:tc>
              <w:tcPr>
                <w:tcW w:w="625" w:type="pct"/>
                <w:tcBorders>
                  <w:top w:val="single" w:sz="12" w:space="0" w:color="AFAFB4" w:themeColor="accent4"/>
                </w:tcBorders>
                <w:shd w:val="clear" w:color="auto" w:fill="FFFFFF" w:themeFill="background2"/>
                <w:vAlign w:val="center"/>
              </w:tcPr>
              <w:p w14:paraId="30D62996" w14:textId="7C82A0BF" w:rsidR="001307B2" w:rsidRPr="00ED33EF" w:rsidRDefault="001307B2" w:rsidP="001A02C7">
                <w:pPr>
                  <w:spacing w:before="0" w:line="240" w:lineRule="auto"/>
                  <w:jc w:val="center"/>
                  <w:rPr>
                    <w:b/>
                    <w:color w:val="33A1AB" w:themeColor="accent2"/>
                    <w:sz w:val="14"/>
                    <w:szCs w:val="14"/>
                  </w:rPr>
                </w:pPr>
                <w:r w:rsidRPr="001307B2">
                  <w:rPr>
                    <w:b/>
                    <w:bCs/>
                    <w:color w:val="33A1AB" w:themeColor="accent2"/>
                    <w:sz w:val="14"/>
                    <w:szCs w:val="14"/>
                    <w:lang w:val="en-GB"/>
                  </w:rPr>
                  <w:t>Unlimited Partnership</w:t>
                </w:r>
              </w:p>
            </w:tc>
            <w:tc>
              <w:tcPr>
                <w:tcW w:w="622" w:type="pct"/>
                <w:tcBorders>
                  <w:top w:val="single" w:sz="12" w:space="0" w:color="AFAFB4" w:themeColor="accent4"/>
                </w:tcBorders>
                <w:shd w:val="clear" w:color="auto" w:fill="FFFFFF" w:themeFill="background2"/>
                <w:vAlign w:val="center"/>
              </w:tcPr>
              <w:p w14:paraId="23063164" w14:textId="168A5FAC" w:rsidR="001307B2" w:rsidRDefault="001307B2" w:rsidP="001A02C7">
                <w:pPr>
                  <w:spacing w:before="0" w:line="240" w:lineRule="auto"/>
                  <w:jc w:val="center"/>
                  <w:rPr>
                    <w:b/>
                    <w:color w:val="33A1AB" w:themeColor="accent2"/>
                    <w:sz w:val="14"/>
                    <w:szCs w:val="14"/>
                  </w:rPr>
                </w:pPr>
                <w:r w:rsidRPr="001307B2">
                  <w:rPr>
                    <w:b/>
                    <w:bCs/>
                    <w:color w:val="33A1AB" w:themeColor="accent2"/>
                    <w:sz w:val="14"/>
                    <w:szCs w:val="14"/>
                    <w:lang w:val="en-GB"/>
                  </w:rPr>
                  <w:t>Sole Proprietorship</w:t>
                </w:r>
              </w:p>
            </w:tc>
          </w:tr>
          <w:tr w:rsidR="00F211B6" w:rsidRPr="003A089A" w14:paraId="1C1680BE" w14:textId="77777777" w:rsidTr="00F211B6">
            <w:trPr>
              <w:trHeight w:val="283"/>
            </w:trPr>
            <w:tc>
              <w:tcPr>
                <w:tcW w:w="747" w:type="pct"/>
                <w:shd w:val="clear" w:color="auto" w:fill="FFFFFF" w:themeFill="background2"/>
                <w:tcMar>
                  <w:top w:w="60" w:type="dxa"/>
                  <w:left w:w="114" w:type="dxa"/>
                  <w:bottom w:w="60" w:type="dxa"/>
                  <w:right w:w="114" w:type="dxa"/>
                </w:tcMar>
                <w:vAlign w:val="center"/>
              </w:tcPr>
              <w:p w14:paraId="3495212D" w14:textId="3A1347C4" w:rsidR="00F211B6" w:rsidRPr="00FF727D" w:rsidRDefault="00F211B6" w:rsidP="00F211B6">
                <w:pPr>
                  <w:spacing w:before="0" w:line="240" w:lineRule="auto"/>
                  <w:jc w:val="left"/>
                  <w:rPr>
                    <w:rFonts w:eastAsia="Times New Roman" w:cs="Segoe UI"/>
                    <w:sz w:val="14"/>
                    <w:szCs w:val="22"/>
                    <w:lang w:val="en-GB" w:eastAsia="it-IT"/>
                  </w:rPr>
                </w:pPr>
                <w:r w:rsidRPr="0032337D">
                  <w:rPr>
                    <w:rFonts w:eastAsia="Times New Roman" w:cs="Segoe UI"/>
                    <w:b/>
                    <w:sz w:val="14"/>
                    <w:szCs w:val="22"/>
                    <w:lang w:val="en-GB" w:eastAsia="it-IT"/>
                  </w:rPr>
                  <w:t>31 December 2008</w:t>
                </w:r>
              </w:p>
            </w:tc>
            <w:tc>
              <w:tcPr>
                <w:tcW w:w="504" w:type="pct"/>
                <w:shd w:val="clear" w:color="auto" w:fill="FFFFFF" w:themeFill="background2"/>
                <w:tcMar>
                  <w:top w:w="60" w:type="dxa"/>
                  <w:left w:w="114" w:type="dxa"/>
                  <w:bottom w:w="60" w:type="dxa"/>
                  <w:right w:w="114" w:type="dxa"/>
                </w:tcMar>
                <w:vAlign w:val="center"/>
              </w:tcPr>
              <w:p w14:paraId="5826829A" w14:textId="7837E191"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47</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429</w:t>
                </w:r>
              </w:p>
            </w:tc>
            <w:tc>
              <w:tcPr>
                <w:tcW w:w="625" w:type="pct"/>
                <w:shd w:val="clear" w:color="auto" w:fill="FFFFFF" w:themeFill="background2"/>
                <w:vAlign w:val="center"/>
              </w:tcPr>
              <w:p w14:paraId="586D442E" w14:textId="02CA4508"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11</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387</w:t>
                </w:r>
              </w:p>
            </w:tc>
            <w:tc>
              <w:tcPr>
                <w:tcW w:w="626" w:type="pct"/>
                <w:shd w:val="clear" w:color="auto" w:fill="FFFFFF" w:themeFill="background2"/>
                <w:vAlign w:val="center"/>
              </w:tcPr>
              <w:p w14:paraId="72DD8AAD" w14:textId="24C7022C"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5</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954</w:t>
                </w:r>
              </w:p>
            </w:tc>
            <w:tc>
              <w:tcPr>
                <w:tcW w:w="625" w:type="pct"/>
                <w:shd w:val="clear" w:color="auto" w:fill="FFFFFF" w:themeFill="background2"/>
                <w:vAlign w:val="center"/>
              </w:tcPr>
              <w:p w14:paraId="381DF341" w14:textId="772A29C5"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64</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770</w:t>
                </w:r>
              </w:p>
            </w:tc>
            <w:tc>
              <w:tcPr>
                <w:tcW w:w="625" w:type="pct"/>
                <w:shd w:val="clear" w:color="auto" w:fill="FFFFFF" w:themeFill="background2"/>
                <w:vAlign w:val="center"/>
              </w:tcPr>
              <w:p w14:paraId="7009C75F" w14:textId="55C05F99"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73.2%</w:t>
                </w:r>
              </w:p>
            </w:tc>
            <w:tc>
              <w:tcPr>
                <w:tcW w:w="625" w:type="pct"/>
                <w:shd w:val="clear" w:color="auto" w:fill="FFFFFF" w:themeFill="background2"/>
                <w:vAlign w:val="center"/>
              </w:tcPr>
              <w:p w14:paraId="423281A5" w14:textId="50204507"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17.6%</w:t>
                </w:r>
              </w:p>
            </w:tc>
            <w:tc>
              <w:tcPr>
                <w:tcW w:w="622" w:type="pct"/>
                <w:shd w:val="clear" w:color="auto" w:fill="FFFFFF" w:themeFill="background2"/>
                <w:vAlign w:val="center"/>
              </w:tcPr>
              <w:p w14:paraId="26A473C8" w14:textId="0104EC39"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9.2%</w:t>
                </w:r>
              </w:p>
            </w:tc>
          </w:tr>
          <w:tr w:rsidR="00F211B6" w:rsidRPr="003A089A" w14:paraId="16E907F1" w14:textId="77777777" w:rsidTr="00F211B6">
            <w:trPr>
              <w:trHeight w:val="283"/>
            </w:trPr>
            <w:tc>
              <w:tcPr>
                <w:tcW w:w="747" w:type="pct"/>
                <w:shd w:val="clear" w:color="auto" w:fill="FFFFFF" w:themeFill="background2"/>
                <w:tcMar>
                  <w:top w:w="60" w:type="dxa"/>
                  <w:left w:w="114" w:type="dxa"/>
                  <w:bottom w:w="60" w:type="dxa"/>
                  <w:right w:w="114" w:type="dxa"/>
                </w:tcMar>
                <w:vAlign w:val="center"/>
              </w:tcPr>
              <w:p w14:paraId="40AA91F5" w14:textId="0A4F3858" w:rsidR="00F211B6" w:rsidRPr="00FF727D" w:rsidRDefault="00F211B6" w:rsidP="00F211B6">
                <w:pPr>
                  <w:spacing w:before="0" w:line="240" w:lineRule="auto"/>
                  <w:jc w:val="left"/>
                  <w:rPr>
                    <w:rFonts w:eastAsia="Times New Roman" w:cs="Segoe UI"/>
                    <w:sz w:val="14"/>
                    <w:szCs w:val="22"/>
                    <w:lang w:val="en-GB" w:eastAsia="it-IT"/>
                  </w:rPr>
                </w:pPr>
                <w:r w:rsidRPr="0032337D">
                  <w:rPr>
                    <w:rFonts w:eastAsia="Times New Roman" w:cs="Segoe UI"/>
                    <w:b/>
                    <w:sz w:val="14"/>
                    <w:szCs w:val="22"/>
                    <w:lang w:val="en-GB" w:eastAsia="it-IT"/>
                  </w:rPr>
                  <w:t>31 December 2009</w:t>
                </w:r>
              </w:p>
            </w:tc>
            <w:tc>
              <w:tcPr>
                <w:tcW w:w="504" w:type="pct"/>
                <w:shd w:val="clear" w:color="auto" w:fill="FFFFFF" w:themeFill="background2"/>
                <w:tcMar>
                  <w:top w:w="60" w:type="dxa"/>
                  <w:left w:w="114" w:type="dxa"/>
                  <w:bottom w:w="60" w:type="dxa"/>
                  <w:right w:w="114" w:type="dxa"/>
                </w:tcMar>
                <w:vAlign w:val="center"/>
              </w:tcPr>
              <w:p w14:paraId="6AAE2ABC" w14:textId="12D5703D"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56</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533</w:t>
                </w:r>
              </w:p>
            </w:tc>
            <w:tc>
              <w:tcPr>
                <w:tcW w:w="625" w:type="pct"/>
                <w:shd w:val="clear" w:color="auto" w:fill="FFFFFF" w:themeFill="background2"/>
                <w:vAlign w:val="center"/>
              </w:tcPr>
              <w:p w14:paraId="36AA5A1F" w14:textId="5373211D"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22</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822</w:t>
                </w:r>
              </w:p>
            </w:tc>
            <w:tc>
              <w:tcPr>
                <w:tcW w:w="626" w:type="pct"/>
                <w:shd w:val="clear" w:color="auto" w:fill="FFFFFF" w:themeFill="background2"/>
                <w:vAlign w:val="center"/>
              </w:tcPr>
              <w:p w14:paraId="40501959" w14:textId="01AB29A8"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4</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947</w:t>
                </w:r>
              </w:p>
            </w:tc>
            <w:tc>
              <w:tcPr>
                <w:tcW w:w="625" w:type="pct"/>
                <w:shd w:val="clear" w:color="auto" w:fill="FFFFFF" w:themeFill="background2"/>
                <w:vAlign w:val="center"/>
              </w:tcPr>
              <w:p w14:paraId="5BE94D1D" w14:textId="279165E6"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84</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302</w:t>
                </w:r>
              </w:p>
            </w:tc>
            <w:tc>
              <w:tcPr>
                <w:tcW w:w="625" w:type="pct"/>
                <w:shd w:val="clear" w:color="auto" w:fill="FFFFFF" w:themeFill="background2"/>
                <w:vAlign w:val="center"/>
              </w:tcPr>
              <w:p w14:paraId="20402CF3" w14:textId="76F07FD9"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67.1%</w:t>
                </w:r>
              </w:p>
            </w:tc>
            <w:tc>
              <w:tcPr>
                <w:tcW w:w="625" w:type="pct"/>
                <w:shd w:val="clear" w:color="auto" w:fill="FFFFFF" w:themeFill="background2"/>
                <w:vAlign w:val="center"/>
              </w:tcPr>
              <w:p w14:paraId="590930D4" w14:textId="0365A0FF"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27.1%</w:t>
                </w:r>
              </w:p>
            </w:tc>
            <w:tc>
              <w:tcPr>
                <w:tcW w:w="622" w:type="pct"/>
                <w:shd w:val="clear" w:color="auto" w:fill="FFFFFF" w:themeFill="background2"/>
                <w:vAlign w:val="center"/>
              </w:tcPr>
              <w:p w14:paraId="50A32AF4" w14:textId="6CDDFF2C"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5.9%</w:t>
                </w:r>
              </w:p>
            </w:tc>
          </w:tr>
          <w:tr w:rsidR="00F211B6" w:rsidRPr="003A089A" w14:paraId="58E34A08" w14:textId="77777777" w:rsidTr="00F211B6">
            <w:trPr>
              <w:trHeight w:val="283"/>
            </w:trPr>
            <w:tc>
              <w:tcPr>
                <w:tcW w:w="747" w:type="pct"/>
                <w:shd w:val="clear" w:color="auto" w:fill="FFFFFF" w:themeFill="background2"/>
                <w:tcMar>
                  <w:top w:w="60" w:type="dxa"/>
                  <w:left w:w="114" w:type="dxa"/>
                  <w:bottom w:w="60" w:type="dxa"/>
                  <w:right w:w="114" w:type="dxa"/>
                </w:tcMar>
                <w:vAlign w:val="center"/>
              </w:tcPr>
              <w:p w14:paraId="7D444F71" w14:textId="2AB933F2" w:rsidR="00F211B6" w:rsidRPr="00FF727D" w:rsidRDefault="00F211B6" w:rsidP="00F211B6">
                <w:pPr>
                  <w:spacing w:before="0" w:line="240" w:lineRule="auto"/>
                  <w:jc w:val="left"/>
                  <w:rPr>
                    <w:rFonts w:eastAsia="Times New Roman" w:cs="Segoe UI"/>
                    <w:sz w:val="14"/>
                    <w:szCs w:val="22"/>
                    <w:lang w:val="en-GB" w:eastAsia="it-IT"/>
                  </w:rPr>
                </w:pPr>
                <w:r w:rsidRPr="0032337D">
                  <w:rPr>
                    <w:rFonts w:eastAsia="Times New Roman" w:cs="Segoe UI"/>
                    <w:b/>
                    <w:sz w:val="14"/>
                    <w:szCs w:val="22"/>
                    <w:lang w:val="en-GB" w:eastAsia="it-IT"/>
                  </w:rPr>
                  <w:t>31 December 2010</w:t>
                </w:r>
              </w:p>
            </w:tc>
            <w:tc>
              <w:tcPr>
                <w:tcW w:w="504" w:type="pct"/>
                <w:shd w:val="clear" w:color="auto" w:fill="FFFFFF" w:themeFill="background2"/>
                <w:tcMar>
                  <w:top w:w="60" w:type="dxa"/>
                  <w:left w:w="114" w:type="dxa"/>
                  <w:bottom w:w="60" w:type="dxa"/>
                  <w:right w:w="114" w:type="dxa"/>
                </w:tcMar>
                <w:vAlign w:val="center"/>
              </w:tcPr>
              <w:p w14:paraId="40A898BD" w14:textId="213F91AE"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53</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141</w:t>
                </w:r>
              </w:p>
            </w:tc>
            <w:tc>
              <w:tcPr>
                <w:tcW w:w="625" w:type="pct"/>
                <w:shd w:val="clear" w:color="auto" w:fill="FFFFFF" w:themeFill="background2"/>
                <w:vAlign w:val="center"/>
              </w:tcPr>
              <w:p w14:paraId="1EF859B6" w14:textId="47243787"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19</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803</w:t>
                </w:r>
              </w:p>
            </w:tc>
            <w:tc>
              <w:tcPr>
                <w:tcW w:w="626" w:type="pct"/>
                <w:shd w:val="clear" w:color="auto" w:fill="FFFFFF" w:themeFill="background2"/>
                <w:vAlign w:val="center"/>
              </w:tcPr>
              <w:p w14:paraId="389666CC" w14:textId="1E69CA14"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1</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839</w:t>
                </w:r>
              </w:p>
            </w:tc>
            <w:tc>
              <w:tcPr>
                <w:tcW w:w="625" w:type="pct"/>
                <w:shd w:val="clear" w:color="auto" w:fill="FFFFFF" w:themeFill="background2"/>
                <w:vAlign w:val="center"/>
              </w:tcPr>
              <w:p w14:paraId="7CF2651D" w14:textId="0FFF01CC"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74</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783</w:t>
                </w:r>
              </w:p>
            </w:tc>
            <w:tc>
              <w:tcPr>
                <w:tcW w:w="625" w:type="pct"/>
                <w:shd w:val="clear" w:color="auto" w:fill="FFFFFF" w:themeFill="background2"/>
                <w:vAlign w:val="center"/>
              </w:tcPr>
              <w:p w14:paraId="7A1E14E6" w14:textId="28C23541"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71.1%</w:t>
                </w:r>
              </w:p>
            </w:tc>
            <w:tc>
              <w:tcPr>
                <w:tcW w:w="625" w:type="pct"/>
                <w:shd w:val="clear" w:color="auto" w:fill="FFFFFF" w:themeFill="background2"/>
                <w:vAlign w:val="center"/>
              </w:tcPr>
              <w:p w14:paraId="6F14B60F" w14:textId="3D81D24F"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26.5%</w:t>
                </w:r>
              </w:p>
            </w:tc>
            <w:tc>
              <w:tcPr>
                <w:tcW w:w="622" w:type="pct"/>
                <w:shd w:val="clear" w:color="auto" w:fill="FFFFFF" w:themeFill="background2"/>
                <w:vAlign w:val="center"/>
              </w:tcPr>
              <w:p w14:paraId="08995D0E" w14:textId="386DF66B"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2.5%</w:t>
                </w:r>
              </w:p>
            </w:tc>
          </w:tr>
          <w:tr w:rsidR="00F211B6" w:rsidRPr="003A089A" w14:paraId="307E913A" w14:textId="77777777" w:rsidTr="00F211B6">
            <w:trPr>
              <w:trHeight w:val="283"/>
            </w:trPr>
            <w:tc>
              <w:tcPr>
                <w:tcW w:w="747" w:type="pct"/>
                <w:shd w:val="clear" w:color="auto" w:fill="FFFFFF" w:themeFill="background2"/>
                <w:tcMar>
                  <w:top w:w="60" w:type="dxa"/>
                  <w:left w:w="114" w:type="dxa"/>
                  <w:bottom w:w="60" w:type="dxa"/>
                  <w:right w:w="114" w:type="dxa"/>
                </w:tcMar>
                <w:vAlign w:val="center"/>
              </w:tcPr>
              <w:p w14:paraId="52B9FBD1" w14:textId="173D2A5C" w:rsidR="00F211B6" w:rsidRPr="00FF727D" w:rsidRDefault="00F211B6" w:rsidP="00F211B6">
                <w:pPr>
                  <w:spacing w:before="0" w:line="240" w:lineRule="auto"/>
                  <w:jc w:val="left"/>
                  <w:rPr>
                    <w:rFonts w:eastAsia="Times New Roman" w:cs="Segoe UI"/>
                    <w:sz w:val="14"/>
                    <w:szCs w:val="22"/>
                    <w:lang w:val="en-GB" w:eastAsia="it-IT"/>
                  </w:rPr>
                </w:pPr>
                <w:r w:rsidRPr="0032337D">
                  <w:rPr>
                    <w:rFonts w:eastAsia="Times New Roman" w:cs="Segoe UI"/>
                    <w:b/>
                    <w:sz w:val="14"/>
                    <w:szCs w:val="22"/>
                    <w:lang w:val="en-GB" w:eastAsia="it-IT"/>
                  </w:rPr>
                  <w:t>31 December 2011</w:t>
                </w:r>
              </w:p>
            </w:tc>
            <w:tc>
              <w:tcPr>
                <w:tcW w:w="504" w:type="pct"/>
                <w:shd w:val="clear" w:color="auto" w:fill="FFFFFF" w:themeFill="background2"/>
                <w:tcMar>
                  <w:top w:w="60" w:type="dxa"/>
                  <w:left w:w="114" w:type="dxa"/>
                  <w:bottom w:w="60" w:type="dxa"/>
                  <w:right w:w="114" w:type="dxa"/>
                </w:tcMar>
                <w:vAlign w:val="center"/>
              </w:tcPr>
              <w:p w14:paraId="43FE5AC4" w14:textId="1EC4788F"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36</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831</w:t>
                </w:r>
              </w:p>
            </w:tc>
            <w:tc>
              <w:tcPr>
                <w:tcW w:w="625" w:type="pct"/>
                <w:shd w:val="clear" w:color="auto" w:fill="FFFFFF" w:themeFill="background2"/>
                <w:vAlign w:val="center"/>
              </w:tcPr>
              <w:p w14:paraId="0FECE2E1" w14:textId="5677A5E5"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2</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860</w:t>
                </w:r>
              </w:p>
            </w:tc>
            <w:tc>
              <w:tcPr>
                <w:tcW w:w="626" w:type="pct"/>
                <w:shd w:val="clear" w:color="auto" w:fill="FFFFFF" w:themeFill="background2"/>
                <w:vAlign w:val="center"/>
              </w:tcPr>
              <w:p w14:paraId="0DC884C5" w14:textId="1E67B54C"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352</w:t>
                </w:r>
              </w:p>
            </w:tc>
            <w:tc>
              <w:tcPr>
                <w:tcW w:w="625" w:type="pct"/>
                <w:shd w:val="clear" w:color="auto" w:fill="FFFFFF" w:themeFill="background2"/>
                <w:vAlign w:val="center"/>
              </w:tcPr>
              <w:p w14:paraId="609A216D" w14:textId="44F4AF66"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40</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043</w:t>
                </w:r>
              </w:p>
            </w:tc>
            <w:tc>
              <w:tcPr>
                <w:tcW w:w="625" w:type="pct"/>
                <w:shd w:val="clear" w:color="auto" w:fill="FFFFFF" w:themeFill="background2"/>
                <w:vAlign w:val="center"/>
              </w:tcPr>
              <w:p w14:paraId="140144B7" w14:textId="018AB2B2"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92.0%</w:t>
                </w:r>
              </w:p>
            </w:tc>
            <w:tc>
              <w:tcPr>
                <w:tcW w:w="625" w:type="pct"/>
                <w:shd w:val="clear" w:color="auto" w:fill="FFFFFF" w:themeFill="background2"/>
                <w:vAlign w:val="center"/>
              </w:tcPr>
              <w:p w14:paraId="0FB5EC76" w14:textId="40F5F7A2"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7.1%</w:t>
                </w:r>
              </w:p>
            </w:tc>
            <w:tc>
              <w:tcPr>
                <w:tcW w:w="622" w:type="pct"/>
                <w:shd w:val="clear" w:color="auto" w:fill="FFFFFF" w:themeFill="background2"/>
                <w:vAlign w:val="center"/>
              </w:tcPr>
              <w:p w14:paraId="513D2563" w14:textId="3729D8B2"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0.9%</w:t>
                </w:r>
              </w:p>
            </w:tc>
          </w:tr>
          <w:tr w:rsidR="00F211B6" w:rsidRPr="003A089A" w14:paraId="153107B0" w14:textId="77777777" w:rsidTr="00F211B6">
            <w:trPr>
              <w:trHeight w:val="283"/>
            </w:trPr>
            <w:tc>
              <w:tcPr>
                <w:tcW w:w="747" w:type="pct"/>
                <w:shd w:val="clear" w:color="auto" w:fill="FFFFFF" w:themeFill="background2"/>
                <w:tcMar>
                  <w:top w:w="60" w:type="dxa"/>
                  <w:left w:w="114" w:type="dxa"/>
                  <w:bottom w:w="60" w:type="dxa"/>
                  <w:right w:w="114" w:type="dxa"/>
                </w:tcMar>
                <w:vAlign w:val="center"/>
              </w:tcPr>
              <w:p w14:paraId="58C90D5B" w14:textId="2188B4D9" w:rsidR="00F211B6" w:rsidRPr="00FF727D" w:rsidRDefault="00F211B6" w:rsidP="00F211B6">
                <w:pPr>
                  <w:spacing w:before="0" w:line="240" w:lineRule="auto"/>
                  <w:jc w:val="left"/>
                  <w:rPr>
                    <w:rFonts w:eastAsia="Times New Roman" w:cs="Segoe UI"/>
                    <w:sz w:val="14"/>
                    <w:szCs w:val="22"/>
                    <w:lang w:val="en-GB" w:eastAsia="it-IT"/>
                  </w:rPr>
                </w:pPr>
                <w:r w:rsidRPr="0032337D">
                  <w:rPr>
                    <w:rFonts w:eastAsia="Times New Roman" w:cs="Segoe UI"/>
                    <w:b/>
                    <w:sz w:val="14"/>
                    <w:szCs w:val="22"/>
                    <w:lang w:val="en-GB" w:eastAsia="it-IT"/>
                  </w:rPr>
                  <w:t>31 December 2012</w:t>
                </w:r>
              </w:p>
            </w:tc>
            <w:tc>
              <w:tcPr>
                <w:tcW w:w="504" w:type="pct"/>
                <w:shd w:val="clear" w:color="auto" w:fill="FFFFFF" w:themeFill="background2"/>
                <w:tcMar>
                  <w:top w:w="60" w:type="dxa"/>
                  <w:left w:w="114" w:type="dxa"/>
                  <w:bottom w:w="60" w:type="dxa"/>
                  <w:right w:w="114" w:type="dxa"/>
                </w:tcMar>
                <w:vAlign w:val="center"/>
              </w:tcPr>
              <w:p w14:paraId="34125166" w14:textId="7251D033"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25</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213</w:t>
                </w:r>
              </w:p>
            </w:tc>
            <w:tc>
              <w:tcPr>
                <w:tcW w:w="625" w:type="pct"/>
                <w:shd w:val="clear" w:color="auto" w:fill="FFFFFF" w:themeFill="background2"/>
                <w:vAlign w:val="center"/>
              </w:tcPr>
              <w:p w14:paraId="3DC991C4" w14:textId="53A75BC0"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1</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402</w:t>
                </w:r>
              </w:p>
            </w:tc>
            <w:tc>
              <w:tcPr>
                <w:tcW w:w="626" w:type="pct"/>
                <w:shd w:val="clear" w:color="auto" w:fill="FFFFFF" w:themeFill="background2"/>
                <w:vAlign w:val="center"/>
              </w:tcPr>
              <w:p w14:paraId="78E9F2A0" w14:textId="60AC8F37"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155</w:t>
                </w:r>
              </w:p>
            </w:tc>
            <w:tc>
              <w:tcPr>
                <w:tcW w:w="625" w:type="pct"/>
                <w:shd w:val="clear" w:color="auto" w:fill="FFFFFF" w:themeFill="background2"/>
                <w:vAlign w:val="center"/>
              </w:tcPr>
              <w:p w14:paraId="420DEFF1" w14:textId="79F9B00C"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26</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770</w:t>
                </w:r>
              </w:p>
            </w:tc>
            <w:tc>
              <w:tcPr>
                <w:tcW w:w="625" w:type="pct"/>
                <w:shd w:val="clear" w:color="auto" w:fill="FFFFFF" w:themeFill="background2"/>
                <w:vAlign w:val="center"/>
              </w:tcPr>
              <w:p w14:paraId="2BBAC84B" w14:textId="15E69712"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94.2%</w:t>
                </w:r>
              </w:p>
            </w:tc>
            <w:tc>
              <w:tcPr>
                <w:tcW w:w="625" w:type="pct"/>
                <w:shd w:val="clear" w:color="auto" w:fill="FFFFFF" w:themeFill="background2"/>
                <w:vAlign w:val="center"/>
              </w:tcPr>
              <w:p w14:paraId="37A2B39F" w14:textId="4A3E430A"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5.2%</w:t>
                </w:r>
              </w:p>
            </w:tc>
            <w:tc>
              <w:tcPr>
                <w:tcW w:w="622" w:type="pct"/>
                <w:shd w:val="clear" w:color="auto" w:fill="FFFFFF" w:themeFill="background2"/>
                <w:vAlign w:val="center"/>
              </w:tcPr>
              <w:p w14:paraId="77D1B473" w14:textId="519EA4A2"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0.6%</w:t>
                </w:r>
              </w:p>
            </w:tc>
          </w:tr>
          <w:tr w:rsidR="00F211B6" w:rsidRPr="003A089A" w14:paraId="09DEF28F" w14:textId="77777777" w:rsidTr="00F211B6">
            <w:trPr>
              <w:trHeight w:val="283"/>
            </w:trPr>
            <w:tc>
              <w:tcPr>
                <w:tcW w:w="747" w:type="pct"/>
                <w:shd w:val="clear" w:color="auto" w:fill="FFFFFF" w:themeFill="background2"/>
                <w:tcMar>
                  <w:top w:w="60" w:type="dxa"/>
                  <w:left w:w="114" w:type="dxa"/>
                  <w:bottom w:w="60" w:type="dxa"/>
                  <w:right w:w="114" w:type="dxa"/>
                </w:tcMar>
                <w:vAlign w:val="center"/>
              </w:tcPr>
              <w:p w14:paraId="57E34AF9" w14:textId="3E7C8F75" w:rsidR="00F211B6" w:rsidRPr="00FF727D" w:rsidRDefault="00F211B6" w:rsidP="00F211B6">
                <w:pPr>
                  <w:spacing w:before="0" w:line="240" w:lineRule="auto"/>
                  <w:jc w:val="left"/>
                  <w:rPr>
                    <w:rFonts w:eastAsia="Times New Roman" w:cs="Segoe UI"/>
                    <w:sz w:val="14"/>
                    <w:szCs w:val="22"/>
                    <w:lang w:val="en-GB" w:eastAsia="it-IT"/>
                  </w:rPr>
                </w:pPr>
                <w:r w:rsidRPr="0032337D">
                  <w:rPr>
                    <w:rFonts w:eastAsia="Times New Roman" w:cs="Segoe UI"/>
                    <w:b/>
                    <w:sz w:val="14"/>
                    <w:szCs w:val="22"/>
                    <w:lang w:val="en-GB" w:eastAsia="it-IT"/>
                  </w:rPr>
                  <w:t>31 December 2013</w:t>
                </w:r>
              </w:p>
            </w:tc>
            <w:tc>
              <w:tcPr>
                <w:tcW w:w="504" w:type="pct"/>
                <w:shd w:val="clear" w:color="auto" w:fill="FFFFFF" w:themeFill="background2"/>
                <w:tcMar>
                  <w:top w:w="60" w:type="dxa"/>
                  <w:left w:w="114" w:type="dxa"/>
                  <w:bottom w:w="60" w:type="dxa"/>
                  <w:right w:w="114" w:type="dxa"/>
                </w:tcMar>
                <w:vAlign w:val="center"/>
              </w:tcPr>
              <w:p w14:paraId="45C02A31" w14:textId="47AD34F4"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27</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568</w:t>
                </w:r>
              </w:p>
            </w:tc>
            <w:tc>
              <w:tcPr>
                <w:tcW w:w="625" w:type="pct"/>
                <w:shd w:val="clear" w:color="auto" w:fill="FFFFFF" w:themeFill="background2"/>
                <w:vAlign w:val="center"/>
              </w:tcPr>
              <w:p w14:paraId="781F7DAD" w14:textId="50A7E274"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1</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518</w:t>
                </w:r>
              </w:p>
            </w:tc>
            <w:tc>
              <w:tcPr>
                <w:tcW w:w="626" w:type="pct"/>
                <w:shd w:val="clear" w:color="auto" w:fill="FFFFFF" w:themeFill="background2"/>
                <w:vAlign w:val="center"/>
              </w:tcPr>
              <w:p w14:paraId="6B255AEB" w14:textId="7EC6B5EC"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184</w:t>
                </w:r>
              </w:p>
            </w:tc>
            <w:tc>
              <w:tcPr>
                <w:tcW w:w="625" w:type="pct"/>
                <w:shd w:val="clear" w:color="auto" w:fill="FFFFFF" w:themeFill="background2"/>
                <w:vAlign w:val="center"/>
              </w:tcPr>
              <w:p w14:paraId="131DD9FE" w14:textId="7AE3ADF3"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29</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270</w:t>
                </w:r>
              </w:p>
            </w:tc>
            <w:tc>
              <w:tcPr>
                <w:tcW w:w="625" w:type="pct"/>
                <w:shd w:val="clear" w:color="auto" w:fill="FFFFFF" w:themeFill="background2"/>
                <w:vAlign w:val="center"/>
              </w:tcPr>
              <w:p w14:paraId="7B40990C" w14:textId="72FEE5E1"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94.2%</w:t>
                </w:r>
              </w:p>
            </w:tc>
            <w:tc>
              <w:tcPr>
                <w:tcW w:w="625" w:type="pct"/>
                <w:shd w:val="clear" w:color="auto" w:fill="FFFFFF" w:themeFill="background2"/>
                <w:vAlign w:val="center"/>
              </w:tcPr>
              <w:p w14:paraId="783C4EE7" w14:textId="37C5DB87"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5.2%</w:t>
                </w:r>
              </w:p>
            </w:tc>
            <w:tc>
              <w:tcPr>
                <w:tcW w:w="622" w:type="pct"/>
                <w:shd w:val="clear" w:color="auto" w:fill="FFFFFF" w:themeFill="background2"/>
                <w:vAlign w:val="center"/>
              </w:tcPr>
              <w:p w14:paraId="3CABE356" w14:textId="3C83AE5F"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0.6%</w:t>
                </w:r>
              </w:p>
            </w:tc>
          </w:tr>
          <w:tr w:rsidR="00F211B6" w:rsidRPr="003A089A" w14:paraId="4677C629" w14:textId="77777777" w:rsidTr="00F211B6">
            <w:trPr>
              <w:trHeight w:val="283"/>
            </w:trPr>
            <w:tc>
              <w:tcPr>
                <w:tcW w:w="747" w:type="pct"/>
                <w:shd w:val="clear" w:color="auto" w:fill="FFFFFF" w:themeFill="background2"/>
                <w:tcMar>
                  <w:top w:w="60" w:type="dxa"/>
                  <w:left w:w="114" w:type="dxa"/>
                  <w:bottom w:w="60" w:type="dxa"/>
                  <w:right w:w="114" w:type="dxa"/>
                </w:tcMar>
                <w:vAlign w:val="center"/>
              </w:tcPr>
              <w:p w14:paraId="6D502F94" w14:textId="2D84E8DA" w:rsidR="00F211B6" w:rsidRPr="00FF727D" w:rsidRDefault="00F211B6" w:rsidP="00F211B6">
                <w:pPr>
                  <w:spacing w:before="0" w:line="240" w:lineRule="auto"/>
                  <w:jc w:val="left"/>
                  <w:rPr>
                    <w:rFonts w:eastAsia="Times New Roman" w:cs="Segoe UI"/>
                    <w:sz w:val="14"/>
                    <w:szCs w:val="22"/>
                    <w:lang w:val="en-GB" w:eastAsia="it-IT"/>
                  </w:rPr>
                </w:pPr>
                <w:r w:rsidRPr="0032337D">
                  <w:rPr>
                    <w:rFonts w:eastAsia="Times New Roman" w:cs="Segoe UI"/>
                    <w:b/>
                    <w:sz w:val="14"/>
                    <w:szCs w:val="22"/>
                    <w:lang w:val="en-GB" w:eastAsia="it-IT"/>
                  </w:rPr>
                  <w:t>31 December 2014</w:t>
                </w:r>
              </w:p>
            </w:tc>
            <w:tc>
              <w:tcPr>
                <w:tcW w:w="504" w:type="pct"/>
                <w:shd w:val="clear" w:color="auto" w:fill="FFFFFF" w:themeFill="background2"/>
                <w:tcMar>
                  <w:top w:w="60" w:type="dxa"/>
                  <w:left w:w="114" w:type="dxa"/>
                  <w:bottom w:w="60" w:type="dxa"/>
                  <w:right w:w="114" w:type="dxa"/>
                </w:tcMar>
                <w:vAlign w:val="center"/>
              </w:tcPr>
              <w:p w14:paraId="383E3654" w14:textId="5AD55B5E"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27</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022</w:t>
                </w:r>
              </w:p>
            </w:tc>
            <w:tc>
              <w:tcPr>
                <w:tcW w:w="625" w:type="pct"/>
                <w:shd w:val="clear" w:color="auto" w:fill="FFFFFF" w:themeFill="background2"/>
                <w:vAlign w:val="center"/>
              </w:tcPr>
              <w:p w14:paraId="45B70E34" w14:textId="2944D4E3"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1</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951</w:t>
                </w:r>
              </w:p>
            </w:tc>
            <w:tc>
              <w:tcPr>
                <w:tcW w:w="626" w:type="pct"/>
                <w:shd w:val="clear" w:color="auto" w:fill="FFFFFF" w:themeFill="background2"/>
                <w:vAlign w:val="center"/>
              </w:tcPr>
              <w:p w14:paraId="1AA8CAFE" w14:textId="55C9DB67"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435</w:t>
                </w:r>
              </w:p>
            </w:tc>
            <w:tc>
              <w:tcPr>
                <w:tcW w:w="625" w:type="pct"/>
                <w:shd w:val="clear" w:color="auto" w:fill="FFFFFF" w:themeFill="background2"/>
                <w:vAlign w:val="center"/>
              </w:tcPr>
              <w:p w14:paraId="58802D8A" w14:textId="0B952B35"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29</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408</w:t>
                </w:r>
              </w:p>
            </w:tc>
            <w:tc>
              <w:tcPr>
                <w:tcW w:w="625" w:type="pct"/>
                <w:shd w:val="clear" w:color="auto" w:fill="FFFFFF" w:themeFill="background2"/>
                <w:vAlign w:val="center"/>
              </w:tcPr>
              <w:p w14:paraId="485FFAF9" w14:textId="6D1D3C21"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91.9%</w:t>
                </w:r>
              </w:p>
            </w:tc>
            <w:tc>
              <w:tcPr>
                <w:tcW w:w="625" w:type="pct"/>
                <w:shd w:val="clear" w:color="auto" w:fill="FFFFFF" w:themeFill="background2"/>
                <w:vAlign w:val="center"/>
              </w:tcPr>
              <w:p w14:paraId="252BF541" w14:textId="1598BEF1"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6.6%</w:t>
                </w:r>
              </w:p>
            </w:tc>
            <w:tc>
              <w:tcPr>
                <w:tcW w:w="622" w:type="pct"/>
                <w:shd w:val="clear" w:color="auto" w:fill="FFFFFF" w:themeFill="background2"/>
                <w:vAlign w:val="center"/>
              </w:tcPr>
              <w:p w14:paraId="226C8D71" w14:textId="1FE1EE42"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1.5%</w:t>
                </w:r>
              </w:p>
            </w:tc>
          </w:tr>
          <w:tr w:rsidR="00F211B6" w:rsidRPr="003A089A" w14:paraId="111C5C76" w14:textId="77777777" w:rsidTr="00F211B6">
            <w:trPr>
              <w:trHeight w:val="283"/>
            </w:trPr>
            <w:tc>
              <w:tcPr>
                <w:tcW w:w="747" w:type="pct"/>
                <w:shd w:val="clear" w:color="auto" w:fill="FFFFFF" w:themeFill="background2"/>
                <w:tcMar>
                  <w:top w:w="60" w:type="dxa"/>
                  <w:left w:w="114" w:type="dxa"/>
                  <w:bottom w:w="60" w:type="dxa"/>
                  <w:right w:w="114" w:type="dxa"/>
                </w:tcMar>
                <w:vAlign w:val="center"/>
              </w:tcPr>
              <w:p w14:paraId="3BA5D4DE" w14:textId="2C0C9C96" w:rsidR="00F211B6" w:rsidRPr="00FF727D" w:rsidRDefault="00F211B6" w:rsidP="00F211B6">
                <w:pPr>
                  <w:spacing w:before="0" w:line="240" w:lineRule="auto"/>
                  <w:jc w:val="left"/>
                  <w:rPr>
                    <w:rFonts w:eastAsia="Times New Roman" w:cs="Segoe UI"/>
                    <w:sz w:val="14"/>
                    <w:szCs w:val="22"/>
                    <w:lang w:val="en-GB" w:eastAsia="it-IT"/>
                  </w:rPr>
                </w:pPr>
                <w:r w:rsidRPr="0032337D">
                  <w:rPr>
                    <w:rFonts w:eastAsia="Times New Roman" w:cs="Segoe UI"/>
                    <w:b/>
                    <w:sz w:val="14"/>
                    <w:szCs w:val="22"/>
                    <w:lang w:val="en-GB" w:eastAsia="it-IT"/>
                  </w:rPr>
                  <w:t>31 December 2015</w:t>
                </w:r>
              </w:p>
            </w:tc>
            <w:tc>
              <w:tcPr>
                <w:tcW w:w="504" w:type="pct"/>
                <w:shd w:val="clear" w:color="auto" w:fill="FFFFFF" w:themeFill="background2"/>
                <w:tcMar>
                  <w:top w:w="60" w:type="dxa"/>
                  <w:left w:w="114" w:type="dxa"/>
                  <w:bottom w:w="60" w:type="dxa"/>
                  <w:right w:w="114" w:type="dxa"/>
                </w:tcMar>
                <w:vAlign w:val="center"/>
              </w:tcPr>
              <w:p w14:paraId="63E42F60" w14:textId="461F001D"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18</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225</w:t>
                </w:r>
              </w:p>
            </w:tc>
            <w:tc>
              <w:tcPr>
                <w:tcW w:w="625" w:type="pct"/>
                <w:shd w:val="clear" w:color="auto" w:fill="FFFFFF" w:themeFill="background2"/>
                <w:vAlign w:val="center"/>
              </w:tcPr>
              <w:p w14:paraId="43FA50D7" w14:textId="3808161B"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1</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164</w:t>
                </w:r>
              </w:p>
            </w:tc>
            <w:tc>
              <w:tcPr>
                <w:tcW w:w="626" w:type="pct"/>
                <w:shd w:val="clear" w:color="auto" w:fill="FFFFFF" w:themeFill="background2"/>
                <w:vAlign w:val="center"/>
              </w:tcPr>
              <w:p w14:paraId="74FC0F36" w14:textId="72C20597"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325</w:t>
                </w:r>
              </w:p>
            </w:tc>
            <w:tc>
              <w:tcPr>
                <w:tcW w:w="625" w:type="pct"/>
                <w:shd w:val="clear" w:color="auto" w:fill="FFFFFF" w:themeFill="background2"/>
                <w:vAlign w:val="center"/>
              </w:tcPr>
              <w:p w14:paraId="04E072EC" w14:textId="74A74154"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19</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714</w:t>
                </w:r>
              </w:p>
            </w:tc>
            <w:tc>
              <w:tcPr>
                <w:tcW w:w="625" w:type="pct"/>
                <w:shd w:val="clear" w:color="auto" w:fill="FFFFFF" w:themeFill="background2"/>
                <w:vAlign w:val="center"/>
              </w:tcPr>
              <w:p w14:paraId="31A57538" w14:textId="54F02F8E"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92.4%</w:t>
                </w:r>
              </w:p>
            </w:tc>
            <w:tc>
              <w:tcPr>
                <w:tcW w:w="625" w:type="pct"/>
                <w:shd w:val="clear" w:color="auto" w:fill="FFFFFF" w:themeFill="background2"/>
                <w:vAlign w:val="center"/>
              </w:tcPr>
              <w:p w14:paraId="338EA2A3" w14:textId="1D5D47AF"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5.9%</w:t>
                </w:r>
              </w:p>
            </w:tc>
            <w:tc>
              <w:tcPr>
                <w:tcW w:w="622" w:type="pct"/>
                <w:shd w:val="clear" w:color="auto" w:fill="FFFFFF" w:themeFill="background2"/>
                <w:vAlign w:val="center"/>
              </w:tcPr>
              <w:p w14:paraId="02021106" w14:textId="1E93CA09"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1.6%</w:t>
                </w:r>
              </w:p>
            </w:tc>
          </w:tr>
          <w:tr w:rsidR="00F211B6" w:rsidRPr="003A089A" w14:paraId="2C9A507A" w14:textId="77777777" w:rsidTr="00F211B6">
            <w:trPr>
              <w:trHeight w:val="283"/>
            </w:trPr>
            <w:tc>
              <w:tcPr>
                <w:tcW w:w="747" w:type="pct"/>
                <w:shd w:val="clear" w:color="auto" w:fill="FFFFFF" w:themeFill="background2"/>
                <w:tcMar>
                  <w:top w:w="60" w:type="dxa"/>
                  <w:left w:w="114" w:type="dxa"/>
                  <w:bottom w:w="60" w:type="dxa"/>
                  <w:right w:w="114" w:type="dxa"/>
                </w:tcMar>
                <w:vAlign w:val="center"/>
              </w:tcPr>
              <w:p w14:paraId="7E552FCE" w14:textId="7EB30BF6" w:rsidR="00F211B6" w:rsidRPr="00FF727D" w:rsidRDefault="00F211B6" w:rsidP="00F211B6">
                <w:pPr>
                  <w:spacing w:before="0" w:line="240" w:lineRule="auto"/>
                  <w:jc w:val="left"/>
                  <w:rPr>
                    <w:rFonts w:eastAsia="Times New Roman" w:cs="Segoe UI"/>
                    <w:sz w:val="14"/>
                    <w:szCs w:val="22"/>
                    <w:lang w:val="en-GB" w:eastAsia="it-IT"/>
                  </w:rPr>
                </w:pPr>
                <w:r w:rsidRPr="0032337D">
                  <w:rPr>
                    <w:rFonts w:eastAsia="Times New Roman" w:cs="Segoe UI"/>
                    <w:b/>
                    <w:sz w:val="14"/>
                    <w:szCs w:val="22"/>
                    <w:lang w:val="en-GB" w:eastAsia="it-IT"/>
                  </w:rPr>
                  <w:t>31 December 2016</w:t>
                </w:r>
              </w:p>
            </w:tc>
            <w:tc>
              <w:tcPr>
                <w:tcW w:w="504" w:type="pct"/>
                <w:shd w:val="clear" w:color="auto" w:fill="FFFFFF" w:themeFill="background2"/>
                <w:tcMar>
                  <w:top w:w="60" w:type="dxa"/>
                  <w:left w:w="114" w:type="dxa"/>
                  <w:bottom w:w="60" w:type="dxa"/>
                  <w:right w:w="114" w:type="dxa"/>
                </w:tcMar>
                <w:vAlign w:val="center"/>
              </w:tcPr>
              <w:p w14:paraId="2517EE4B" w14:textId="2E541FA5"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21</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679</w:t>
                </w:r>
              </w:p>
            </w:tc>
            <w:tc>
              <w:tcPr>
                <w:tcW w:w="625" w:type="pct"/>
                <w:shd w:val="clear" w:color="auto" w:fill="FFFFFF" w:themeFill="background2"/>
                <w:vAlign w:val="center"/>
              </w:tcPr>
              <w:p w14:paraId="221D81D9" w14:textId="0CD08EEF"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1</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997</w:t>
                </w:r>
              </w:p>
            </w:tc>
            <w:tc>
              <w:tcPr>
                <w:tcW w:w="626" w:type="pct"/>
                <w:shd w:val="clear" w:color="auto" w:fill="FFFFFF" w:themeFill="background2"/>
                <w:vAlign w:val="center"/>
              </w:tcPr>
              <w:p w14:paraId="610B2A10" w14:textId="5B7A3603"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1</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610</w:t>
                </w:r>
              </w:p>
            </w:tc>
            <w:tc>
              <w:tcPr>
                <w:tcW w:w="625" w:type="pct"/>
                <w:shd w:val="clear" w:color="auto" w:fill="FFFFFF" w:themeFill="background2"/>
                <w:vAlign w:val="center"/>
              </w:tcPr>
              <w:p w14:paraId="0459858D" w14:textId="4F8232BE"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25</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286</w:t>
                </w:r>
              </w:p>
            </w:tc>
            <w:tc>
              <w:tcPr>
                <w:tcW w:w="625" w:type="pct"/>
                <w:shd w:val="clear" w:color="auto" w:fill="FFFFFF" w:themeFill="background2"/>
                <w:vAlign w:val="center"/>
              </w:tcPr>
              <w:p w14:paraId="79652E9D" w14:textId="6CFB9E95"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85.7%</w:t>
                </w:r>
              </w:p>
            </w:tc>
            <w:tc>
              <w:tcPr>
                <w:tcW w:w="625" w:type="pct"/>
                <w:shd w:val="clear" w:color="auto" w:fill="FFFFFF" w:themeFill="background2"/>
                <w:vAlign w:val="center"/>
              </w:tcPr>
              <w:p w14:paraId="39BA264F" w14:textId="0BFFB6BD"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7.9%</w:t>
                </w:r>
              </w:p>
            </w:tc>
            <w:tc>
              <w:tcPr>
                <w:tcW w:w="622" w:type="pct"/>
                <w:shd w:val="clear" w:color="auto" w:fill="FFFFFF" w:themeFill="background2"/>
                <w:vAlign w:val="center"/>
              </w:tcPr>
              <w:p w14:paraId="355C867B" w14:textId="6C1226D5" w:rsidR="00F211B6" w:rsidRPr="00F211B6" w:rsidRDefault="00F211B6" w:rsidP="00F211B6">
                <w:pPr>
                  <w:spacing w:before="0" w:line="240" w:lineRule="auto"/>
                  <w:jc w:val="center"/>
                  <w:rPr>
                    <w:bCs/>
                    <w:color w:val="33A1AB" w:themeColor="accent2"/>
                    <w:sz w:val="14"/>
                    <w:szCs w:val="14"/>
                  </w:rPr>
                </w:pPr>
                <w:r w:rsidRPr="00F211B6">
                  <w:rPr>
                    <w:rFonts w:eastAsia="Times New Roman" w:cs="Segoe UI"/>
                    <w:bCs/>
                    <w:sz w:val="14"/>
                    <w:szCs w:val="22"/>
                    <w:lang w:val="en-GB" w:eastAsia="it-IT"/>
                  </w:rPr>
                  <w:t>6.4%</w:t>
                </w:r>
              </w:p>
            </w:tc>
          </w:tr>
          <w:tr w:rsidR="00F211B6" w:rsidRPr="003A089A" w14:paraId="22261C26" w14:textId="77777777" w:rsidTr="00F211B6">
            <w:trPr>
              <w:trHeight w:val="283"/>
            </w:trPr>
            <w:tc>
              <w:tcPr>
                <w:tcW w:w="747" w:type="pct"/>
                <w:shd w:val="clear" w:color="auto" w:fill="FFFFFF" w:themeFill="background2"/>
                <w:tcMar>
                  <w:top w:w="60" w:type="dxa"/>
                  <w:left w:w="114" w:type="dxa"/>
                  <w:bottom w:w="60" w:type="dxa"/>
                  <w:right w:w="114" w:type="dxa"/>
                </w:tcMar>
                <w:vAlign w:val="center"/>
              </w:tcPr>
              <w:p w14:paraId="34F51418" w14:textId="40DAA922" w:rsidR="00F211B6" w:rsidRPr="00FF727D" w:rsidRDefault="00F211B6" w:rsidP="00F211B6">
                <w:pPr>
                  <w:spacing w:before="0" w:line="240" w:lineRule="auto"/>
                  <w:jc w:val="left"/>
                  <w:rPr>
                    <w:rFonts w:eastAsia="Times New Roman" w:cs="Segoe UI"/>
                    <w:sz w:val="14"/>
                    <w:szCs w:val="22"/>
                    <w:lang w:val="en-GB" w:eastAsia="it-IT"/>
                  </w:rPr>
                </w:pPr>
                <w:r w:rsidRPr="0032337D">
                  <w:rPr>
                    <w:rFonts w:eastAsia="Times New Roman" w:cs="Segoe UI"/>
                    <w:b/>
                    <w:sz w:val="14"/>
                    <w:szCs w:val="22"/>
                    <w:lang w:val="en-GB" w:eastAsia="it-IT"/>
                  </w:rPr>
                  <w:t>31 December 2017</w:t>
                </w:r>
              </w:p>
            </w:tc>
            <w:tc>
              <w:tcPr>
                <w:tcW w:w="504" w:type="pct"/>
                <w:shd w:val="clear" w:color="auto" w:fill="FFFFFF" w:themeFill="background2"/>
                <w:tcMar>
                  <w:top w:w="60" w:type="dxa"/>
                  <w:left w:w="114" w:type="dxa"/>
                  <w:bottom w:w="60" w:type="dxa"/>
                  <w:right w:w="114" w:type="dxa"/>
                </w:tcMar>
                <w:vAlign w:val="center"/>
              </w:tcPr>
              <w:p w14:paraId="3910BE93" w14:textId="6C4EBEE0"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21</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358</w:t>
                </w:r>
              </w:p>
            </w:tc>
            <w:tc>
              <w:tcPr>
                <w:tcW w:w="625" w:type="pct"/>
                <w:shd w:val="clear" w:color="auto" w:fill="FFFFFF" w:themeFill="background2"/>
                <w:vAlign w:val="center"/>
              </w:tcPr>
              <w:p w14:paraId="526BEFC8" w14:textId="39870B7D"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1</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793</w:t>
                </w:r>
              </w:p>
            </w:tc>
            <w:tc>
              <w:tcPr>
                <w:tcW w:w="626" w:type="pct"/>
                <w:shd w:val="clear" w:color="auto" w:fill="FFFFFF" w:themeFill="background2"/>
                <w:vAlign w:val="center"/>
              </w:tcPr>
              <w:p w14:paraId="11DAB875" w14:textId="7A76EC46"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1</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518</w:t>
                </w:r>
              </w:p>
            </w:tc>
            <w:tc>
              <w:tcPr>
                <w:tcW w:w="625" w:type="pct"/>
                <w:shd w:val="clear" w:color="auto" w:fill="FFFFFF" w:themeFill="background2"/>
                <w:vAlign w:val="center"/>
              </w:tcPr>
              <w:p w14:paraId="0EE30A18" w14:textId="50E18D59"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24</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669</w:t>
                </w:r>
              </w:p>
            </w:tc>
            <w:tc>
              <w:tcPr>
                <w:tcW w:w="625" w:type="pct"/>
                <w:shd w:val="clear" w:color="auto" w:fill="FFFFFF" w:themeFill="background2"/>
                <w:vAlign w:val="center"/>
              </w:tcPr>
              <w:p w14:paraId="3706E6ED" w14:textId="64752672"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86.6%</w:t>
                </w:r>
              </w:p>
            </w:tc>
            <w:tc>
              <w:tcPr>
                <w:tcW w:w="625" w:type="pct"/>
                <w:shd w:val="clear" w:color="auto" w:fill="FFFFFF" w:themeFill="background2"/>
                <w:vAlign w:val="center"/>
              </w:tcPr>
              <w:p w14:paraId="1ED5F262" w14:textId="7D50CAF6"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7.3%</w:t>
                </w:r>
              </w:p>
            </w:tc>
            <w:tc>
              <w:tcPr>
                <w:tcW w:w="622" w:type="pct"/>
                <w:shd w:val="clear" w:color="auto" w:fill="FFFFFF" w:themeFill="background2"/>
                <w:vAlign w:val="center"/>
              </w:tcPr>
              <w:p w14:paraId="10C05CBE" w14:textId="1F87409F"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6.2%</w:t>
                </w:r>
              </w:p>
            </w:tc>
          </w:tr>
          <w:tr w:rsidR="00F211B6" w:rsidRPr="003A089A" w14:paraId="58E19475" w14:textId="77777777" w:rsidTr="00F211B6">
            <w:trPr>
              <w:trHeight w:val="283"/>
            </w:trPr>
            <w:tc>
              <w:tcPr>
                <w:tcW w:w="747" w:type="pct"/>
                <w:shd w:val="clear" w:color="auto" w:fill="FFFFFF" w:themeFill="background2"/>
                <w:tcMar>
                  <w:top w:w="60" w:type="dxa"/>
                  <w:left w:w="114" w:type="dxa"/>
                  <w:bottom w:w="60" w:type="dxa"/>
                  <w:right w:w="114" w:type="dxa"/>
                </w:tcMar>
                <w:vAlign w:val="center"/>
              </w:tcPr>
              <w:p w14:paraId="048FAF7C" w14:textId="0A9CF420" w:rsidR="00F211B6" w:rsidRPr="00FF727D" w:rsidRDefault="00F211B6" w:rsidP="00F211B6">
                <w:pPr>
                  <w:spacing w:before="0" w:line="240" w:lineRule="auto"/>
                  <w:jc w:val="left"/>
                  <w:rPr>
                    <w:rFonts w:eastAsia="Times New Roman" w:cs="Segoe UI"/>
                    <w:sz w:val="14"/>
                    <w:szCs w:val="22"/>
                    <w:lang w:val="en-GB" w:eastAsia="it-IT"/>
                  </w:rPr>
                </w:pPr>
                <w:r w:rsidRPr="0032337D">
                  <w:rPr>
                    <w:rFonts w:eastAsia="Times New Roman" w:cs="Segoe UI"/>
                    <w:b/>
                    <w:sz w:val="14"/>
                    <w:szCs w:val="22"/>
                    <w:lang w:val="en-GB" w:eastAsia="it-IT"/>
                  </w:rPr>
                  <w:t>31 December 2018</w:t>
                </w:r>
              </w:p>
            </w:tc>
            <w:tc>
              <w:tcPr>
                <w:tcW w:w="504" w:type="pct"/>
                <w:shd w:val="clear" w:color="auto" w:fill="FFFFFF" w:themeFill="background2"/>
                <w:tcMar>
                  <w:top w:w="60" w:type="dxa"/>
                  <w:left w:w="114" w:type="dxa"/>
                  <w:bottom w:w="60" w:type="dxa"/>
                  <w:right w:w="114" w:type="dxa"/>
                </w:tcMar>
                <w:vAlign w:val="center"/>
              </w:tcPr>
              <w:p w14:paraId="174BD8FA" w14:textId="23FD9196"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22</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648</w:t>
                </w:r>
              </w:p>
            </w:tc>
            <w:tc>
              <w:tcPr>
                <w:tcW w:w="625" w:type="pct"/>
                <w:shd w:val="clear" w:color="auto" w:fill="FFFFFF" w:themeFill="background2"/>
                <w:vAlign w:val="center"/>
              </w:tcPr>
              <w:p w14:paraId="53CFB9BF" w14:textId="54ED9557"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1</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195</w:t>
                </w:r>
              </w:p>
            </w:tc>
            <w:tc>
              <w:tcPr>
                <w:tcW w:w="626" w:type="pct"/>
                <w:shd w:val="clear" w:color="auto" w:fill="FFFFFF" w:themeFill="background2"/>
                <w:vAlign w:val="center"/>
              </w:tcPr>
              <w:p w14:paraId="6315C6CD" w14:textId="7744562E"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872</w:t>
                </w:r>
              </w:p>
            </w:tc>
            <w:tc>
              <w:tcPr>
                <w:tcW w:w="625" w:type="pct"/>
                <w:shd w:val="clear" w:color="auto" w:fill="FFFFFF" w:themeFill="background2"/>
                <w:vAlign w:val="center"/>
              </w:tcPr>
              <w:p w14:paraId="55788E53" w14:textId="77F85F81"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24</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715</w:t>
                </w:r>
              </w:p>
            </w:tc>
            <w:tc>
              <w:tcPr>
                <w:tcW w:w="625" w:type="pct"/>
                <w:shd w:val="clear" w:color="auto" w:fill="FFFFFF" w:themeFill="background2"/>
                <w:vAlign w:val="center"/>
              </w:tcPr>
              <w:p w14:paraId="0CF8D68E" w14:textId="23B58761"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91.6%</w:t>
                </w:r>
              </w:p>
            </w:tc>
            <w:tc>
              <w:tcPr>
                <w:tcW w:w="625" w:type="pct"/>
                <w:shd w:val="clear" w:color="auto" w:fill="FFFFFF" w:themeFill="background2"/>
                <w:vAlign w:val="center"/>
              </w:tcPr>
              <w:p w14:paraId="414BB53E" w14:textId="06176251"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4.8%</w:t>
                </w:r>
              </w:p>
            </w:tc>
            <w:tc>
              <w:tcPr>
                <w:tcW w:w="622" w:type="pct"/>
                <w:shd w:val="clear" w:color="auto" w:fill="FFFFFF" w:themeFill="background2"/>
                <w:vAlign w:val="center"/>
              </w:tcPr>
              <w:p w14:paraId="1074D315" w14:textId="4A237B3E"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3.5%</w:t>
                </w:r>
              </w:p>
            </w:tc>
          </w:tr>
          <w:tr w:rsidR="00F211B6" w:rsidRPr="003A089A" w14:paraId="554CA6B0" w14:textId="77777777" w:rsidTr="00F211B6">
            <w:trPr>
              <w:trHeight w:val="283"/>
            </w:trPr>
            <w:tc>
              <w:tcPr>
                <w:tcW w:w="747" w:type="pct"/>
                <w:shd w:val="clear" w:color="auto" w:fill="FFFFFF" w:themeFill="background2"/>
                <w:tcMar>
                  <w:top w:w="60" w:type="dxa"/>
                  <w:left w:w="114" w:type="dxa"/>
                  <w:bottom w:w="60" w:type="dxa"/>
                  <w:right w:w="114" w:type="dxa"/>
                </w:tcMar>
                <w:vAlign w:val="center"/>
              </w:tcPr>
              <w:p w14:paraId="3A6F28D8" w14:textId="4A914F06" w:rsidR="00F211B6" w:rsidRPr="00FF727D" w:rsidRDefault="00F211B6" w:rsidP="00F211B6">
                <w:pPr>
                  <w:spacing w:before="0" w:line="240" w:lineRule="auto"/>
                  <w:jc w:val="left"/>
                  <w:rPr>
                    <w:rFonts w:eastAsia="Times New Roman" w:cs="Segoe UI"/>
                    <w:sz w:val="14"/>
                    <w:szCs w:val="22"/>
                    <w:lang w:val="en-GB" w:eastAsia="it-IT"/>
                  </w:rPr>
                </w:pPr>
                <w:r w:rsidRPr="0032337D">
                  <w:rPr>
                    <w:rFonts w:eastAsia="Times New Roman" w:cs="Segoe UI"/>
                    <w:b/>
                    <w:sz w:val="14"/>
                    <w:szCs w:val="22"/>
                    <w:lang w:val="en-GB" w:eastAsia="it-IT"/>
                  </w:rPr>
                  <w:t>31 December 2019</w:t>
                </w:r>
              </w:p>
            </w:tc>
            <w:tc>
              <w:tcPr>
                <w:tcW w:w="504" w:type="pct"/>
                <w:shd w:val="clear" w:color="auto" w:fill="FFFFFF" w:themeFill="background2"/>
                <w:tcMar>
                  <w:top w:w="60" w:type="dxa"/>
                  <w:left w:w="114" w:type="dxa"/>
                  <w:bottom w:w="60" w:type="dxa"/>
                  <w:right w:w="114" w:type="dxa"/>
                </w:tcMar>
                <w:vAlign w:val="center"/>
              </w:tcPr>
              <w:p w14:paraId="557EB72A" w14:textId="51C6E4DC"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25</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783</w:t>
                </w:r>
              </w:p>
            </w:tc>
            <w:tc>
              <w:tcPr>
                <w:tcW w:w="625" w:type="pct"/>
                <w:shd w:val="clear" w:color="auto" w:fill="FFFFFF" w:themeFill="background2"/>
                <w:vAlign w:val="center"/>
              </w:tcPr>
              <w:p w14:paraId="7945B825" w14:textId="13B2FF01"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1</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120</w:t>
                </w:r>
              </w:p>
            </w:tc>
            <w:tc>
              <w:tcPr>
                <w:tcW w:w="626" w:type="pct"/>
                <w:shd w:val="clear" w:color="auto" w:fill="FFFFFF" w:themeFill="background2"/>
                <w:vAlign w:val="center"/>
              </w:tcPr>
              <w:p w14:paraId="02B6673F" w14:textId="229B2419"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285</w:t>
                </w:r>
              </w:p>
            </w:tc>
            <w:tc>
              <w:tcPr>
                <w:tcW w:w="625" w:type="pct"/>
                <w:shd w:val="clear" w:color="auto" w:fill="FFFFFF" w:themeFill="background2"/>
                <w:vAlign w:val="center"/>
              </w:tcPr>
              <w:p w14:paraId="2AA37C7B" w14:textId="0E74BF58"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27</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188</w:t>
                </w:r>
              </w:p>
            </w:tc>
            <w:tc>
              <w:tcPr>
                <w:tcW w:w="625" w:type="pct"/>
                <w:shd w:val="clear" w:color="auto" w:fill="FFFFFF" w:themeFill="background2"/>
                <w:vAlign w:val="center"/>
              </w:tcPr>
              <w:p w14:paraId="5CEB550C" w14:textId="72372FF2"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94.8%</w:t>
                </w:r>
              </w:p>
            </w:tc>
            <w:tc>
              <w:tcPr>
                <w:tcW w:w="625" w:type="pct"/>
                <w:shd w:val="clear" w:color="auto" w:fill="FFFFFF" w:themeFill="background2"/>
                <w:vAlign w:val="center"/>
              </w:tcPr>
              <w:p w14:paraId="4B2AA073" w14:textId="4A37541E"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4.1%</w:t>
                </w:r>
              </w:p>
            </w:tc>
            <w:tc>
              <w:tcPr>
                <w:tcW w:w="622" w:type="pct"/>
                <w:shd w:val="clear" w:color="auto" w:fill="FFFFFF" w:themeFill="background2"/>
                <w:vAlign w:val="center"/>
              </w:tcPr>
              <w:p w14:paraId="3D5A359E" w14:textId="47A2F0D1"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1.0%</w:t>
                </w:r>
              </w:p>
            </w:tc>
          </w:tr>
          <w:tr w:rsidR="00F211B6" w:rsidRPr="003A089A" w14:paraId="2B6B7981" w14:textId="77777777" w:rsidTr="00F211B6">
            <w:trPr>
              <w:trHeight w:val="283"/>
            </w:trPr>
            <w:tc>
              <w:tcPr>
                <w:tcW w:w="747" w:type="pct"/>
                <w:shd w:val="clear" w:color="auto" w:fill="FFFFFF" w:themeFill="background2"/>
                <w:tcMar>
                  <w:top w:w="60" w:type="dxa"/>
                  <w:left w:w="114" w:type="dxa"/>
                  <w:bottom w:w="60" w:type="dxa"/>
                  <w:right w:w="114" w:type="dxa"/>
                </w:tcMar>
                <w:vAlign w:val="center"/>
              </w:tcPr>
              <w:p w14:paraId="3848A4AD" w14:textId="3C7809B0" w:rsidR="00F211B6" w:rsidRPr="00FF727D" w:rsidRDefault="00F211B6" w:rsidP="00F211B6">
                <w:pPr>
                  <w:spacing w:before="0" w:line="240" w:lineRule="auto"/>
                  <w:jc w:val="left"/>
                  <w:rPr>
                    <w:rFonts w:eastAsia="Times New Roman" w:cs="Segoe UI"/>
                    <w:sz w:val="14"/>
                    <w:szCs w:val="22"/>
                    <w:lang w:val="en-GB" w:eastAsia="it-IT"/>
                  </w:rPr>
                </w:pPr>
                <w:r w:rsidRPr="0032337D">
                  <w:rPr>
                    <w:rFonts w:eastAsia="Times New Roman" w:cs="Segoe UI"/>
                    <w:b/>
                    <w:sz w:val="14"/>
                    <w:szCs w:val="22"/>
                    <w:lang w:val="en-GB" w:eastAsia="it-IT"/>
                  </w:rPr>
                  <w:t>31 December 20</w:t>
                </w:r>
                <w:r>
                  <w:rPr>
                    <w:rFonts w:eastAsia="Times New Roman" w:cs="Segoe UI"/>
                    <w:b/>
                    <w:sz w:val="14"/>
                    <w:szCs w:val="22"/>
                    <w:lang w:val="en-GB" w:eastAsia="it-IT"/>
                  </w:rPr>
                  <w:t>20</w:t>
                </w:r>
              </w:p>
            </w:tc>
            <w:tc>
              <w:tcPr>
                <w:tcW w:w="504" w:type="pct"/>
                <w:shd w:val="clear" w:color="auto" w:fill="FFFFFF" w:themeFill="background2"/>
                <w:tcMar>
                  <w:top w:w="60" w:type="dxa"/>
                  <w:left w:w="114" w:type="dxa"/>
                  <w:bottom w:w="60" w:type="dxa"/>
                  <w:right w:w="114" w:type="dxa"/>
                </w:tcMar>
                <w:vAlign w:val="center"/>
              </w:tcPr>
              <w:p w14:paraId="55E25571" w14:textId="56469CB2"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25</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216</w:t>
                </w:r>
              </w:p>
            </w:tc>
            <w:tc>
              <w:tcPr>
                <w:tcW w:w="625" w:type="pct"/>
                <w:shd w:val="clear" w:color="auto" w:fill="FFFFFF" w:themeFill="background2"/>
                <w:vAlign w:val="center"/>
              </w:tcPr>
              <w:p w14:paraId="66F4ACA9" w14:textId="256540F8"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798</w:t>
                </w:r>
              </w:p>
            </w:tc>
            <w:tc>
              <w:tcPr>
                <w:tcW w:w="626" w:type="pct"/>
                <w:shd w:val="clear" w:color="auto" w:fill="FFFFFF" w:themeFill="background2"/>
                <w:vAlign w:val="center"/>
              </w:tcPr>
              <w:p w14:paraId="5390BCB7" w14:textId="387A29A2"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30</w:t>
                </w:r>
              </w:p>
            </w:tc>
            <w:tc>
              <w:tcPr>
                <w:tcW w:w="625" w:type="pct"/>
                <w:shd w:val="clear" w:color="auto" w:fill="FFFFFF" w:themeFill="background2"/>
                <w:vAlign w:val="center"/>
              </w:tcPr>
              <w:p w14:paraId="72A492D7" w14:textId="2FDD409A"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26</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044</w:t>
                </w:r>
              </w:p>
            </w:tc>
            <w:tc>
              <w:tcPr>
                <w:tcW w:w="625" w:type="pct"/>
                <w:shd w:val="clear" w:color="auto" w:fill="FFFFFF" w:themeFill="background2"/>
                <w:vAlign w:val="center"/>
              </w:tcPr>
              <w:p w14:paraId="2EA2448F" w14:textId="19C126E8"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96.8%</w:t>
                </w:r>
              </w:p>
            </w:tc>
            <w:tc>
              <w:tcPr>
                <w:tcW w:w="625" w:type="pct"/>
                <w:shd w:val="clear" w:color="auto" w:fill="FFFFFF" w:themeFill="background2"/>
                <w:vAlign w:val="center"/>
              </w:tcPr>
              <w:p w14:paraId="222CDE91" w14:textId="21FE5019"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3.1%</w:t>
                </w:r>
              </w:p>
            </w:tc>
            <w:tc>
              <w:tcPr>
                <w:tcW w:w="622" w:type="pct"/>
                <w:shd w:val="clear" w:color="auto" w:fill="FFFFFF" w:themeFill="background2"/>
                <w:vAlign w:val="center"/>
              </w:tcPr>
              <w:p w14:paraId="2E63387E" w14:textId="3453A34D"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0.1%</w:t>
                </w:r>
              </w:p>
            </w:tc>
          </w:tr>
          <w:tr w:rsidR="00F211B6" w:rsidRPr="003A089A" w14:paraId="059728CF" w14:textId="77777777" w:rsidTr="00F211B6">
            <w:trPr>
              <w:trHeight w:val="283"/>
            </w:trPr>
            <w:tc>
              <w:tcPr>
                <w:tcW w:w="747" w:type="pct"/>
                <w:shd w:val="clear" w:color="auto" w:fill="FFFFFF" w:themeFill="background2"/>
                <w:tcMar>
                  <w:top w:w="60" w:type="dxa"/>
                  <w:left w:w="114" w:type="dxa"/>
                  <w:bottom w:w="60" w:type="dxa"/>
                  <w:right w:w="114" w:type="dxa"/>
                </w:tcMar>
                <w:vAlign w:val="center"/>
              </w:tcPr>
              <w:p w14:paraId="6E72BAF7" w14:textId="1C59B7BB" w:rsidR="00F211B6" w:rsidRPr="00FF727D" w:rsidRDefault="00F211B6" w:rsidP="00F211B6">
                <w:pPr>
                  <w:spacing w:before="0" w:line="240" w:lineRule="auto"/>
                  <w:jc w:val="left"/>
                  <w:rPr>
                    <w:rFonts w:eastAsia="Times New Roman" w:cs="Segoe UI"/>
                    <w:sz w:val="14"/>
                    <w:szCs w:val="22"/>
                    <w:lang w:val="en-GB" w:eastAsia="it-IT"/>
                  </w:rPr>
                </w:pPr>
                <w:r w:rsidRPr="0032337D">
                  <w:rPr>
                    <w:rFonts w:eastAsia="Times New Roman" w:cs="Segoe UI"/>
                    <w:b/>
                    <w:sz w:val="14"/>
                    <w:szCs w:val="22"/>
                    <w:lang w:val="en-GB" w:eastAsia="it-IT"/>
                  </w:rPr>
                  <w:t>31 December 20</w:t>
                </w:r>
                <w:r>
                  <w:rPr>
                    <w:rFonts w:eastAsia="Times New Roman" w:cs="Segoe UI"/>
                    <w:b/>
                    <w:sz w:val="14"/>
                    <w:szCs w:val="22"/>
                    <w:lang w:val="en-GB" w:eastAsia="it-IT"/>
                  </w:rPr>
                  <w:t>21</w:t>
                </w:r>
              </w:p>
            </w:tc>
            <w:tc>
              <w:tcPr>
                <w:tcW w:w="504" w:type="pct"/>
                <w:shd w:val="clear" w:color="auto" w:fill="FFFFFF" w:themeFill="background2"/>
                <w:tcMar>
                  <w:top w:w="60" w:type="dxa"/>
                  <w:left w:w="114" w:type="dxa"/>
                  <w:bottom w:w="60" w:type="dxa"/>
                  <w:right w:w="114" w:type="dxa"/>
                </w:tcMar>
                <w:vAlign w:val="center"/>
              </w:tcPr>
              <w:p w14:paraId="427B794F" w14:textId="6DF62B28"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15</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884</w:t>
                </w:r>
              </w:p>
            </w:tc>
            <w:tc>
              <w:tcPr>
                <w:tcW w:w="625" w:type="pct"/>
                <w:shd w:val="clear" w:color="auto" w:fill="FFFFFF" w:themeFill="background2"/>
                <w:vAlign w:val="center"/>
              </w:tcPr>
              <w:p w14:paraId="15E9B4FA" w14:textId="04AD6460"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386</w:t>
                </w:r>
              </w:p>
            </w:tc>
            <w:tc>
              <w:tcPr>
                <w:tcW w:w="626" w:type="pct"/>
                <w:shd w:val="clear" w:color="auto" w:fill="FFFFFF" w:themeFill="background2"/>
                <w:vAlign w:val="center"/>
              </w:tcPr>
              <w:p w14:paraId="41D0962A" w14:textId="0AF06901"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13</w:t>
                </w:r>
              </w:p>
            </w:tc>
            <w:tc>
              <w:tcPr>
                <w:tcW w:w="625" w:type="pct"/>
                <w:shd w:val="clear" w:color="auto" w:fill="FFFFFF" w:themeFill="background2"/>
                <w:vAlign w:val="center"/>
              </w:tcPr>
              <w:p w14:paraId="7A1D9DB3" w14:textId="56041F2C"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16</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283</w:t>
                </w:r>
              </w:p>
            </w:tc>
            <w:tc>
              <w:tcPr>
                <w:tcW w:w="625" w:type="pct"/>
                <w:shd w:val="clear" w:color="auto" w:fill="FFFFFF" w:themeFill="background2"/>
                <w:vAlign w:val="center"/>
              </w:tcPr>
              <w:p w14:paraId="5D37D110" w14:textId="454F0D82"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97.5%</w:t>
                </w:r>
              </w:p>
            </w:tc>
            <w:tc>
              <w:tcPr>
                <w:tcW w:w="625" w:type="pct"/>
                <w:shd w:val="clear" w:color="auto" w:fill="FFFFFF" w:themeFill="background2"/>
                <w:vAlign w:val="center"/>
              </w:tcPr>
              <w:p w14:paraId="415C4886" w14:textId="04C5FBB6"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2.4%</w:t>
                </w:r>
              </w:p>
            </w:tc>
            <w:tc>
              <w:tcPr>
                <w:tcW w:w="622" w:type="pct"/>
                <w:shd w:val="clear" w:color="auto" w:fill="FFFFFF" w:themeFill="background2"/>
                <w:vAlign w:val="center"/>
              </w:tcPr>
              <w:p w14:paraId="0C57243C" w14:textId="3A563388"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0.1%</w:t>
                </w:r>
              </w:p>
            </w:tc>
          </w:tr>
          <w:tr w:rsidR="00F211B6" w:rsidRPr="003A089A" w14:paraId="0DD03E03" w14:textId="77777777" w:rsidTr="00F211B6">
            <w:trPr>
              <w:trHeight w:val="283"/>
            </w:trPr>
            <w:tc>
              <w:tcPr>
                <w:tcW w:w="747" w:type="pct"/>
                <w:shd w:val="clear" w:color="auto" w:fill="FFFFFF" w:themeFill="background2"/>
                <w:tcMar>
                  <w:top w:w="60" w:type="dxa"/>
                  <w:left w:w="114" w:type="dxa"/>
                  <w:bottom w:w="60" w:type="dxa"/>
                  <w:right w:w="114" w:type="dxa"/>
                </w:tcMar>
                <w:vAlign w:val="center"/>
              </w:tcPr>
              <w:p w14:paraId="29B0BA35" w14:textId="5B7BB780" w:rsidR="00F211B6" w:rsidRPr="0032337D" w:rsidRDefault="00F211B6" w:rsidP="00F211B6">
                <w:pPr>
                  <w:spacing w:before="0" w:line="240" w:lineRule="auto"/>
                  <w:jc w:val="left"/>
                  <w:rPr>
                    <w:rFonts w:eastAsia="Times New Roman" w:cs="Segoe UI"/>
                    <w:b/>
                    <w:sz w:val="14"/>
                    <w:szCs w:val="22"/>
                    <w:lang w:val="en-GB" w:eastAsia="it-IT"/>
                  </w:rPr>
                </w:pPr>
                <w:r w:rsidRPr="0032337D">
                  <w:rPr>
                    <w:rFonts w:eastAsia="Times New Roman" w:cs="Segoe UI"/>
                    <w:b/>
                    <w:sz w:val="14"/>
                    <w:szCs w:val="22"/>
                    <w:lang w:val="en-GB" w:eastAsia="it-IT"/>
                  </w:rPr>
                  <w:t>31 December 20</w:t>
                </w:r>
                <w:r>
                  <w:rPr>
                    <w:rFonts w:eastAsia="Times New Roman" w:cs="Segoe UI"/>
                    <w:b/>
                    <w:sz w:val="14"/>
                    <w:szCs w:val="22"/>
                    <w:lang w:val="en-GB" w:eastAsia="it-IT"/>
                  </w:rPr>
                  <w:t>22</w:t>
                </w:r>
              </w:p>
            </w:tc>
            <w:tc>
              <w:tcPr>
                <w:tcW w:w="504" w:type="pct"/>
                <w:shd w:val="clear" w:color="auto" w:fill="FFFFFF" w:themeFill="background2"/>
                <w:tcMar>
                  <w:top w:w="60" w:type="dxa"/>
                  <w:left w:w="114" w:type="dxa"/>
                  <w:bottom w:w="60" w:type="dxa"/>
                  <w:right w:w="114" w:type="dxa"/>
                </w:tcMar>
                <w:vAlign w:val="center"/>
              </w:tcPr>
              <w:p w14:paraId="7BE45BBE" w14:textId="17E29D36"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16</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374</w:t>
                </w:r>
              </w:p>
            </w:tc>
            <w:tc>
              <w:tcPr>
                <w:tcW w:w="625" w:type="pct"/>
                <w:shd w:val="clear" w:color="auto" w:fill="FFFFFF" w:themeFill="background2"/>
                <w:vAlign w:val="center"/>
              </w:tcPr>
              <w:p w14:paraId="02A075B9" w14:textId="65030841"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355</w:t>
                </w:r>
              </w:p>
            </w:tc>
            <w:tc>
              <w:tcPr>
                <w:tcW w:w="626" w:type="pct"/>
                <w:shd w:val="clear" w:color="auto" w:fill="FFFFFF" w:themeFill="background2"/>
                <w:vAlign w:val="center"/>
              </w:tcPr>
              <w:p w14:paraId="60D0EAAF" w14:textId="4060842C"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16</w:t>
                </w:r>
              </w:p>
            </w:tc>
            <w:tc>
              <w:tcPr>
                <w:tcW w:w="625" w:type="pct"/>
                <w:shd w:val="clear" w:color="auto" w:fill="FFFFFF" w:themeFill="background2"/>
                <w:vAlign w:val="center"/>
              </w:tcPr>
              <w:p w14:paraId="49C8296C" w14:textId="772CC2E8"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16</w:t>
                </w:r>
                <w:r w:rsidR="00B6325B">
                  <w:rPr>
                    <w:rFonts w:eastAsia="Times New Roman" w:cs="Segoe UI"/>
                    <w:bCs/>
                    <w:sz w:val="14"/>
                    <w:szCs w:val="22"/>
                    <w:lang w:val="en-GB" w:eastAsia="it-IT"/>
                  </w:rPr>
                  <w:t>,</w:t>
                </w:r>
                <w:r w:rsidRPr="00F211B6">
                  <w:rPr>
                    <w:rFonts w:eastAsia="Times New Roman" w:cs="Segoe UI"/>
                    <w:bCs/>
                    <w:sz w:val="14"/>
                    <w:szCs w:val="22"/>
                    <w:lang w:val="en-GB" w:eastAsia="it-IT"/>
                  </w:rPr>
                  <w:t>745</w:t>
                </w:r>
              </w:p>
            </w:tc>
            <w:tc>
              <w:tcPr>
                <w:tcW w:w="625" w:type="pct"/>
                <w:shd w:val="clear" w:color="auto" w:fill="FFFFFF" w:themeFill="background2"/>
                <w:vAlign w:val="center"/>
              </w:tcPr>
              <w:p w14:paraId="1EE9E9A8" w14:textId="1E915211"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97.8%</w:t>
                </w:r>
              </w:p>
            </w:tc>
            <w:tc>
              <w:tcPr>
                <w:tcW w:w="625" w:type="pct"/>
                <w:shd w:val="clear" w:color="auto" w:fill="FFFFFF" w:themeFill="background2"/>
                <w:vAlign w:val="center"/>
              </w:tcPr>
              <w:p w14:paraId="0EB58835" w14:textId="480615A4"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2.1%</w:t>
                </w:r>
              </w:p>
            </w:tc>
            <w:tc>
              <w:tcPr>
                <w:tcW w:w="622" w:type="pct"/>
                <w:shd w:val="clear" w:color="auto" w:fill="FFFFFF" w:themeFill="background2"/>
                <w:vAlign w:val="center"/>
              </w:tcPr>
              <w:p w14:paraId="6537193E" w14:textId="2C7908A6" w:rsidR="00F211B6" w:rsidRPr="00F211B6" w:rsidRDefault="00F211B6" w:rsidP="00F211B6">
                <w:pPr>
                  <w:spacing w:before="0" w:line="240" w:lineRule="auto"/>
                  <w:jc w:val="center"/>
                  <w:rPr>
                    <w:rFonts w:eastAsia="Times New Roman" w:cs="Segoe UI"/>
                    <w:bCs/>
                    <w:sz w:val="14"/>
                    <w:szCs w:val="22"/>
                    <w:lang w:val="en-GB" w:eastAsia="it-IT"/>
                  </w:rPr>
                </w:pPr>
                <w:r w:rsidRPr="00F211B6">
                  <w:rPr>
                    <w:rFonts w:eastAsia="Times New Roman" w:cs="Segoe UI"/>
                    <w:bCs/>
                    <w:sz w:val="14"/>
                    <w:szCs w:val="22"/>
                    <w:lang w:val="en-GB" w:eastAsia="it-IT"/>
                  </w:rPr>
                  <w:t>0.1%</w:t>
                </w:r>
              </w:p>
            </w:tc>
          </w:tr>
          <w:tr w:rsidR="00F211B6" w:rsidRPr="003A089A" w14:paraId="5EDE432C" w14:textId="77777777" w:rsidTr="00F211B6">
            <w:trPr>
              <w:trHeight w:val="283"/>
            </w:trPr>
            <w:tc>
              <w:tcPr>
                <w:tcW w:w="747" w:type="pct"/>
                <w:shd w:val="clear" w:color="auto" w:fill="FFFFFF" w:themeFill="background2"/>
                <w:tcMar>
                  <w:top w:w="60" w:type="dxa"/>
                  <w:left w:w="114" w:type="dxa"/>
                  <w:bottom w:w="60" w:type="dxa"/>
                  <w:right w:w="114" w:type="dxa"/>
                </w:tcMar>
                <w:vAlign w:val="center"/>
              </w:tcPr>
              <w:p w14:paraId="1B4A4221" w14:textId="2A9DE3A7" w:rsidR="00F211B6" w:rsidRPr="0032337D" w:rsidRDefault="00F211B6" w:rsidP="00F211B6">
                <w:pPr>
                  <w:spacing w:before="0" w:line="240" w:lineRule="auto"/>
                  <w:jc w:val="center"/>
                  <w:rPr>
                    <w:rFonts w:eastAsia="Times New Roman" w:cs="Segoe UI"/>
                    <w:b/>
                    <w:sz w:val="14"/>
                    <w:szCs w:val="22"/>
                    <w:lang w:val="en-GB" w:eastAsia="it-IT"/>
                  </w:rPr>
                </w:pPr>
                <w:r>
                  <w:rPr>
                    <w:rFonts w:eastAsia="Times New Roman" w:cs="Segoe UI"/>
                    <w:b/>
                    <w:sz w:val="14"/>
                    <w:szCs w:val="22"/>
                    <w:lang w:val="en-GB" w:eastAsia="it-IT"/>
                  </w:rPr>
                  <w:t>Total</w:t>
                </w:r>
              </w:p>
            </w:tc>
            <w:tc>
              <w:tcPr>
                <w:tcW w:w="504" w:type="pct"/>
                <w:shd w:val="clear" w:color="auto" w:fill="FFFFFF" w:themeFill="background2"/>
                <w:tcMar>
                  <w:top w:w="60" w:type="dxa"/>
                  <w:left w:w="114" w:type="dxa"/>
                  <w:bottom w:w="60" w:type="dxa"/>
                  <w:right w:w="114" w:type="dxa"/>
                </w:tcMar>
                <w:vAlign w:val="center"/>
              </w:tcPr>
              <w:p w14:paraId="0AD7B007" w14:textId="6BB5E7DF" w:rsidR="00F211B6" w:rsidRPr="00A3443E" w:rsidRDefault="00F211B6" w:rsidP="00F211B6">
                <w:pPr>
                  <w:spacing w:before="0" w:line="240" w:lineRule="auto"/>
                  <w:jc w:val="center"/>
                  <w:rPr>
                    <w:rFonts w:eastAsia="Times New Roman" w:cs="Segoe UI"/>
                    <w:b/>
                    <w:sz w:val="14"/>
                    <w:szCs w:val="22"/>
                    <w:lang w:val="en-GB" w:eastAsia="it-IT"/>
                  </w:rPr>
                </w:pPr>
                <w:r w:rsidRPr="00F211B6">
                  <w:rPr>
                    <w:rFonts w:eastAsia="Times New Roman" w:cs="Segoe UI"/>
                    <w:b/>
                    <w:sz w:val="14"/>
                    <w:szCs w:val="22"/>
                    <w:lang w:val="en-GB" w:eastAsia="it-IT"/>
                  </w:rPr>
                  <w:t>440</w:t>
                </w:r>
                <w:r w:rsidR="00B6325B" w:rsidRPr="00A3443E">
                  <w:rPr>
                    <w:rFonts w:eastAsia="Times New Roman" w:cs="Segoe UI"/>
                    <w:b/>
                    <w:sz w:val="14"/>
                    <w:szCs w:val="22"/>
                    <w:lang w:val="en-GB" w:eastAsia="it-IT"/>
                  </w:rPr>
                  <w:t>,</w:t>
                </w:r>
                <w:r w:rsidRPr="00F211B6">
                  <w:rPr>
                    <w:rFonts w:eastAsia="Times New Roman" w:cs="Segoe UI"/>
                    <w:b/>
                    <w:sz w:val="14"/>
                    <w:szCs w:val="22"/>
                    <w:lang w:val="en-GB" w:eastAsia="it-IT"/>
                  </w:rPr>
                  <w:t>904</w:t>
                </w:r>
              </w:p>
            </w:tc>
            <w:tc>
              <w:tcPr>
                <w:tcW w:w="625" w:type="pct"/>
                <w:shd w:val="clear" w:color="auto" w:fill="FFFFFF" w:themeFill="background2"/>
                <w:vAlign w:val="center"/>
              </w:tcPr>
              <w:p w14:paraId="0F88AD53" w14:textId="3C8D4C40" w:rsidR="00F211B6" w:rsidRPr="00A3443E" w:rsidRDefault="00F211B6" w:rsidP="00F211B6">
                <w:pPr>
                  <w:spacing w:before="0" w:line="240" w:lineRule="auto"/>
                  <w:jc w:val="center"/>
                  <w:rPr>
                    <w:rFonts w:eastAsia="Times New Roman" w:cs="Segoe UI"/>
                    <w:b/>
                    <w:sz w:val="14"/>
                    <w:szCs w:val="22"/>
                    <w:lang w:val="en-GB" w:eastAsia="it-IT"/>
                  </w:rPr>
                </w:pPr>
                <w:r w:rsidRPr="00F211B6">
                  <w:rPr>
                    <w:rFonts w:eastAsia="Times New Roman" w:cs="Segoe UI"/>
                    <w:b/>
                    <w:sz w:val="14"/>
                    <w:szCs w:val="22"/>
                    <w:lang w:val="en-GB" w:eastAsia="it-IT"/>
                  </w:rPr>
                  <w:t>70</w:t>
                </w:r>
                <w:r w:rsidR="00B6325B" w:rsidRPr="00A3443E">
                  <w:rPr>
                    <w:rFonts w:eastAsia="Times New Roman" w:cs="Segoe UI"/>
                    <w:b/>
                    <w:sz w:val="14"/>
                    <w:szCs w:val="22"/>
                    <w:lang w:val="en-GB" w:eastAsia="it-IT"/>
                  </w:rPr>
                  <w:t>,</w:t>
                </w:r>
                <w:r w:rsidRPr="00F211B6">
                  <w:rPr>
                    <w:rFonts w:eastAsia="Times New Roman" w:cs="Segoe UI"/>
                    <w:b/>
                    <w:sz w:val="14"/>
                    <w:szCs w:val="22"/>
                    <w:lang w:val="en-GB" w:eastAsia="it-IT"/>
                  </w:rPr>
                  <w:t>551</w:t>
                </w:r>
              </w:p>
            </w:tc>
            <w:tc>
              <w:tcPr>
                <w:tcW w:w="626" w:type="pct"/>
                <w:shd w:val="clear" w:color="auto" w:fill="FFFFFF" w:themeFill="background2"/>
                <w:vAlign w:val="center"/>
              </w:tcPr>
              <w:p w14:paraId="096E0626" w14:textId="3F533BCE" w:rsidR="00F211B6" w:rsidRPr="00A3443E" w:rsidRDefault="00F211B6" w:rsidP="00F211B6">
                <w:pPr>
                  <w:spacing w:before="0" w:line="240" w:lineRule="auto"/>
                  <w:jc w:val="center"/>
                  <w:rPr>
                    <w:rFonts w:eastAsia="Times New Roman" w:cs="Segoe UI"/>
                    <w:b/>
                    <w:sz w:val="14"/>
                    <w:szCs w:val="22"/>
                    <w:lang w:val="en-GB" w:eastAsia="it-IT"/>
                  </w:rPr>
                </w:pPr>
                <w:r w:rsidRPr="00F211B6">
                  <w:rPr>
                    <w:rFonts w:eastAsia="Times New Roman" w:cs="Segoe UI"/>
                    <w:b/>
                    <w:sz w:val="14"/>
                    <w:szCs w:val="22"/>
                    <w:lang w:val="en-GB" w:eastAsia="it-IT"/>
                  </w:rPr>
                  <w:t>18</w:t>
                </w:r>
                <w:r w:rsidR="00B6325B" w:rsidRPr="00A3443E">
                  <w:rPr>
                    <w:rFonts w:eastAsia="Times New Roman" w:cs="Segoe UI"/>
                    <w:b/>
                    <w:sz w:val="14"/>
                    <w:szCs w:val="22"/>
                    <w:lang w:val="en-GB" w:eastAsia="it-IT"/>
                  </w:rPr>
                  <w:t>,</w:t>
                </w:r>
                <w:r w:rsidRPr="00F211B6">
                  <w:rPr>
                    <w:rFonts w:eastAsia="Times New Roman" w:cs="Segoe UI"/>
                    <w:b/>
                    <w:sz w:val="14"/>
                    <w:szCs w:val="22"/>
                    <w:lang w:val="en-GB" w:eastAsia="it-IT"/>
                  </w:rPr>
                  <w:t>535</w:t>
                </w:r>
              </w:p>
            </w:tc>
            <w:tc>
              <w:tcPr>
                <w:tcW w:w="625" w:type="pct"/>
                <w:shd w:val="clear" w:color="auto" w:fill="FFFFFF" w:themeFill="background2"/>
                <w:vAlign w:val="center"/>
              </w:tcPr>
              <w:p w14:paraId="5CEE8DBC" w14:textId="0B3E3C04" w:rsidR="00F211B6" w:rsidRPr="00A3443E" w:rsidRDefault="00F211B6" w:rsidP="00F211B6">
                <w:pPr>
                  <w:spacing w:before="0" w:line="240" w:lineRule="auto"/>
                  <w:jc w:val="center"/>
                  <w:rPr>
                    <w:rFonts w:eastAsia="Times New Roman" w:cs="Segoe UI"/>
                    <w:b/>
                    <w:sz w:val="14"/>
                    <w:szCs w:val="22"/>
                    <w:lang w:val="en-GB" w:eastAsia="it-IT"/>
                  </w:rPr>
                </w:pPr>
                <w:r w:rsidRPr="00F211B6">
                  <w:rPr>
                    <w:rFonts w:eastAsia="Times New Roman" w:cs="Segoe UI"/>
                    <w:b/>
                    <w:sz w:val="14"/>
                    <w:szCs w:val="22"/>
                    <w:lang w:val="en-GB" w:eastAsia="it-IT"/>
                  </w:rPr>
                  <w:t>529</w:t>
                </w:r>
                <w:r w:rsidR="00B6325B" w:rsidRPr="00A3443E">
                  <w:rPr>
                    <w:rFonts w:eastAsia="Times New Roman" w:cs="Segoe UI"/>
                    <w:b/>
                    <w:sz w:val="14"/>
                    <w:szCs w:val="22"/>
                    <w:lang w:val="en-GB" w:eastAsia="it-IT"/>
                  </w:rPr>
                  <w:t>,</w:t>
                </w:r>
                <w:r w:rsidRPr="00F211B6">
                  <w:rPr>
                    <w:rFonts w:eastAsia="Times New Roman" w:cs="Segoe UI"/>
                    <w:b/>
                    <w:sz w:val="14"/>
                    <w:szCs w:val="22"/>
                    <w:lang w:val="en-GB" w:eastAsia="it-IT"/>
                  </w:rPr>
                  <w:t>990</w:t>
                </w:r>
              </w:p>
            </w:tc>
            <w:tc>
              <w:tcPr>
                <w:tcW w:w="625" w:type="pct"/>
                <w:shd w:val="clear" w:color="auto" w:fill="FFFFFF" w:themeFill="background2"/>
                <w:vAlign w:val="center"/>
              </w:tcPr>
              <w:p w14:paraId="46C04C66" w14:textId="20FCC245" w:rsidR="00F211B6" w:rsidRPr="00A3443E" w:rsidRDefault="00F211B6" w:rsidP="00F211B6">
                <w:pPr>
                  <w:spacing w:before="0" w:line="240" w:lineRule="auto"/>
                  <w:jc w:val="center"/>
                  <w:rPr>
                    <w:rFonts w:eastAsia="Times New Roman" w:cs="Segoe UI"/>
                    <w:b/>
                    <w:sz w:val="14"/>
                    <w:szCs w:val="22"/>
                    <w:lang w:val="en-GB" w:eastAsia="it-IT"/>
                  </w:rPr>
                </w:pPr>
                <w:r w:rsidRPr="00F211B6">
                  <w:rPr>
                    <w:rFonts w:eastAsia="Times New Roman" w:cs="Segoe UI"/>
                    <w:b/>
                    <w:sz w:val="14"/>
                    <w:szCs w:val="22"/>
                    <w:lang w:val="en-GB" w:eastAsia="it-IT"/>
                  </w:rPr>
                  <w:t>83.2%</w:t>
                </w:r>
              </w:p>
            </w:tc>
            <w:tc>
              <w:tcPr>
                <w:tcW w:w="625" w:type="pct"/>
                <w:shd w:val="clear" w:color="auto" w:fill="FFFFFF" w:themeFill="background2"/>
                <w:vAlign w:val="center"/>
              </w:tcPr>
              <w:p w14:paraId="5A3FBC7F" w14:textId="1BB594CE" w:rsidR="00F211B6" w:rsidRPr="00A3443E" w:rsidRDefault="00F211B6" w:rsidP="00F211B6">
                <w:pPr>
                  <w:spacing w:before="0" w:line="240" w:lineRule="auto"/>
                  <w:jc w:val="center"/>
                  <w:rPr>
                    <w:rFonts w:eastAsia="Times New Roman" w:cs="Segoe UI"/>
                    <w:b/>
                    <w:sz w:val="14"/>
                    <w:szCs w:val="22"/>
                    <w:lang w:val="en-GB" w:eastAsia="it-IT"/>
                  </w:rPr>
                </w:pPr>
                <w:r w:rsidRPr="00F211B6">
                  <w:rPr>
                    <w:rFonts w:eastAsia="Times New Roman" w:cs="Segoe UI"/>
                    <w:b/>
                    <w:sz w:val="14"/>
                    <w:szCs w:val="22"/>
                    <w:lang w:val="en-GB" w:eastAsia="it-IT"/>
                  </w:rPr>
                  <w:t>13.3%</w:t>
                </w:r>
              </w:p>
            </w:tc>
            <w:tc>
              <w:tcPr>
                <w:tcW w:w="622" w:type="pct"/>
                <w:shd w:val="clear" w:color="auto" w:fill="FFFFFF" w:themeFill="background2"/>
                <w:vAlign w:val="center"/>
              </w:tcPr>
              <w:p w14:paraId="5A2F2D00" w14:textId="201A5E1B" w:rsidR="00F211B6" w:rsidRPr="00A3443E" w:rsidRDefault="00F211B6" w:rsidP="00F211B6">
                <w:pPr>
                  <w:spacing w:before="0" w:line="240" w:lineRule="auto"/>
                  <w:jc w:val="center"/>
                  <w:rPr>
                    <w:rFonts w:eastAsia="Times New Roman" w:cs="Segoe UI"/>
                    <w:b/>
                    <w:sz w:val="14"/>
                    <w:szCs w:val="22"/>
                    <w:lang w:val="en-GB" w:eastAsia="it-IT"/>
                  </w:rPr>
                </w:pPr>
                <w:r w:rsidRPr="00F211B6">
                  <w:rPr>
                    <w:rFonts w:eastAsia="Times New Roman" w:cs="Segoe UI"/>
                    <w:b/>
                    <w:sz w:val="14"/>
                    <w:szCs w:val="22"/>
                    <w:lang w:val="en-GB" w:eastAsia="it-IT"/>
                  </w:rPr>
                  <w:t>3.5%</w:t>
                </w:r>
              </w:p>
            </w:tc>
          </w:tr>
        </w:tbl>
        <w:p w14:paraId="5A0A279C" w14:textId="77777777" w:rsidR="00832A06" w:rsidRDefault="00832A06" w:rsidP="00832A06">
          <w:pPr>
            <w:rPr>
              <w:lang w:val="en-GB"/>
            </w:rPr>
          </w:pPr>
        </w:p>
        <w:p w14:paraId="64538845" w14:textId="77777777" w:rsidR="00944B76" w:rsidRDefault="00944B76">
          <w:pPr>
            <w:spacing w:before="0" w:after="200" w:line="276" w:lineRule="auto"/>
            <w:jc w:val="left"/>
            <w:rPr>
              <w:rFonts w:ascii="Segoe UI" w:hAnsi="Segoe UI" w:cs="Segoe UI"/>
              <w:b/>
              <w:i/>
              <w:color w:val="002E5A" w:themeColor="text2"/>
              <w:sz w:val="14"/>
              <w:szCs w:val="24"/>
              <w:lang w:val="en-GB"/>
            </w:rPr>
          </w:pPr>
          <w:bookmarkStart w:id="28" w:name="_Toc130806306"/>
          <w:bookmarkStart w:id="29" w:name="_Toc166675646"/>
          <w:r>
            <w:rPr>
              <w:rFonts w:ascii="Segoe UI" w:hAnsi="Segoe UI" w:cs="Segoe UI"/>
              <w:i/>
              <w:color w:val="002E5A" w:themeColor="text2"/>
              <w:sz w:val="14"/>
              <w:szCs w:val="24"/>
              <w:lang w:val="en-GB"/>
            </w:rPr>
            <w:br w:type="page"/>
          </w:r>
        </w:p>
        <w:p w14:paraId="30C1568A" w14:textId="0CA3006A" w:rsidR="004101BF" w:rsidRPr="0032337D" w:rsidRDefault="004101BF" w:rsidP="004101BF">
          <w:pPr>
            <w:pStyle w:val="Didascalia"/>
            <w:rPr>
              <w:rFonts w:ascii="Segoe UI" w:hAnsi="Segoe UI" w:cs="Segoe UI"/>
              <w:bCs/>
              <w:i/>
              <w:color w:val="002E5A" w:themeColor="text2"/>
              <w:sz w:val="14"/>
              <w:szCs w:val="24"/>
              <w:lang w:val="en-GB"/>
            </w:rPr>
          </w:pPr>
          <w:bookmarkStart w:id="30" w:name="_Toc167131773"/>
          <w:r w:rsidRPr="0032337D">
            <w:rPr>
              <w:rFonts w:ascii="Segoe UI" w:hAnsi="Segoe UI" w:cs="Segoe UI"/>
              <w:i/>
              <w:color w:val="002E5A" w:themeColor="text2"/>
              <w:sz w:val="14"/>
              <w:szCs w:val="24"/>
              <w:lang w:val="en-GB"/>
            </w:rPr>
            <w:lastRenderedPageBreak/>
            <w:t xml:space="preserve">Exhibit </w:t>
          </w:r>
          <w:r>
            <w:rPr>
              <w:rFonts w:ascii="Segoe UI" w:hAnsi="Segoe UI" w:cs="Segoe UI"/>
              <w:bCs/>
              <w:i/>
              <w:color w:val="002E5A" w:themeColor="text2"/>
              <w:sz w:val="14"/>
              <w:szCs w:val="24"/>
              <w:lang w:val="en-GB"/>
            </w:rPr>
            <w:fldChar w:fldCharType="begin"/>
          </w:r>
          <w:r>
            <w:rPr>
              <w:rFonts w:ascii="Segoe UI" w:hAnsi="Segoe UI" w:cs="Segoe UI"/>
              <w:i/>
              <w:color w:val="002E5A" w:themeColor="text2"/>
              <w:sz w:val="14"/>
              <w:szCs w:val="24"/>
              <w:lang w:val="en-GB"/>
            </w:rPr>
            <w:instrText xml:space="preserve"> SEQ Exhibit \* ARABIC </w:instrText>
          </w:r>
          <w:r>
            <w:rPr>
              <w:rFonts w:ascii="Segoe UI" w:hAnsi="Segoe UI" w:cs="Segoe UI"/>
              <w:bCs/>
              <w:i/>
              <w:color w:val="002E5A" w:themeColor="text2"/>
              <w:sz w:val="14"/>
              <w:szCs w:val="24"/>
              <w:lang w:val="en-GB"/>
            </w:rPr>
            <w:fldChar w:fldCharType="separate"/>
          </w:r>
          <w:r w:rsidR="009857B6">
            <w:rPr>
              <w:rFonts w:ascii="Segoe UI" w:hAnsi="Segoe UI" w:cs="Segoe UI"/>
              <w:i/>
              <w:noProof/>
              <w:color w:val="002E5A" w:themeColor="text2"/>
              <w:sz w:val="14"/>
              <w:szCs w:val="24"/>
              <w:lang w:val="en-GB"/>
            </w:rPr>
            <w:t>5</w:t>
          </w:r>
          <w:r>
            <w:rPr>
              <w:rFonts w:ascii="Segoe UI" w:hAnsi="Segoe UI" w:cs="Segoe UI"/>
              <w:bCs/>
              <w:i/>
              <w:color w:val="002E5A" w:themeColor="text2"/>
              <w:sz w:val="14"/>
              <w:szCs w:val="24"/>
              <w:lang w:val="en-GB"/>
            </w:rPr>
            <w:fldChar w:fldCharType="end"/>
          </w:r>
          <w:r w:rsidRPr="0032337D">
            <w:rPr>
              <w:rFonts w:ascii="Segoe UI" w:hAnsi="Segoe UI" w:cs="Segoe UI"/>
              <w:i/>
              <w:color w:val="002E5A" w:themeColor="text2"/>
              <w:sz w:val="14"/>
              <w:szCs w:val="24"/>
              <w:lang w:val="en-GB"/>
            </w:rPr>
            <w:t>: Breakdown of rated entities by legal form</w:t>
          </w:r>
          <w:r>
            <w:rPr>
              <w:rFonts w:ascii="Segoe UI" w:hAnsi="Segoe UI" w:cs="Segoe UI"/>
              <w:i/>
              <w:color w:val="002E5A" w:themeColor="text2"/>
              <w:sz w:val="14"/>
              <w:szCs w:val="24"/>
              <w:lang w:val="en-GB"/>
            </w:rPr>
            <w:t xml:space="preserve"> (graph)</w:t>
          </w:r>
          <w:bookmarkEnd w:id="28"/>
          <w:bookmarkEnd w:id="29"/>
          <w:bookmarkEnd w:id="30"/>
        </w:p>
        <w:p w14:paraId="0421B138" w14:textId="1EC0C7C2" w:rsidR="004101BF" w:rsidRPr="0032337D" w:rsidRDefault="004101BF" w:rsidP="004101BF">
          <w:pPr>
            <w:jc w:val="center"/>
            <w:rPr>
              <w:rFonts w:cs="Segoe UI"/>
              <w:lang w:val="en-GB"/>
            </w:rPr>
          </w:pPr>
        </w:p>
        <w:p w14:paraId="26CBA957" w14:textId="15CA596B" w:rsidR="00A129E6" w:rsidRDefault="00A129E6" w:rsidP="006566F8">
          <w:pPr>
            <w:jc w:val="center"/>
            <w:rPr>
              <w:rFonts w:cs="Segoe UI"/>
              <w:lang w:val="en-GB"/>
            </w:rPr>
          </w:pPr>
          <w:r>
            <w:rPr>
              <w:rFonts w:cs="Segoe UI"/>
              <w:noProof/>
              <w:lang w:val="en-GB"/>
            </w:rPr>
            <w:drawing>
              <wp:inline distT="0" distB="0" distL="0" distR="0" wp14:anchorId="0ED52402" wp14:editId="68C74F36">
                <wp:extent cx="6545580" cy="3086100"/>
                <wp:effectExtent l="0" t="0" r="7620" b="0"/>
                <wp:docPr id="716512336"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3967294" w14:textId="77777777" w:rsidR="00A129E6" w:rsidRDefault="00A129E6" w:rsidP="004101BF">
          <w:pPr>
            <w:rPr>
              <w:rFonts w:cs="Segoe UI"/>
              <w:lang w:val="en-GB"/>
            </w:rPr>
          </w:pPr>
        </w:p>
        <w:p w14:paraId="1B9876F4" w14:textId="6E2C466B" w:rsidR="004101BF" w:rsidRPr="0032337D" w:rsidRDefault="004101BF" w:rsidP="004101BF">
          <w:pPr>
            <w:rPr>
              <w:rFonts w:cs="Segoe UI"/>
              <w:lang w:val="en-GB"/>
            </w:rPr>
          </w:pPr>
          <w:r w:rsidRPr="0032337D">
            <w:rPr>
              <w:rFonts w:cs="Segoe UI"/>
              <w:lang w:val="en-GB"/>
            </w:rPr>
            <w:t xml:space="preserve">The </w:t>
          </w:r>
          <w:r>
            <w:rPr>
              <w:rFonts w:cs="Segoe UI"/>
              <w:lang w:val="en-GB"/>
            </w:rPr>
            <w:t xml:space="preserve">widest part </w:t>
          </w:r>
          <w:r w:rsidRPr="0032337D">
            <w:rPr>
              <w:rFonts w:cs="Segoe UI"/>
              <w:lang w:val="en-GB"/>
            </w:rPr>
            <w:t xml:space="preserve">of credit ratings </w:t>
          </w:r>
          <w:r>
            <w:rPr>
              <w:rFonts w:cs="Segoe UI"/>
              <w:lang w:val="en-GB"/>
            </w:rPr>
            <w:t>is</w:t>
          </w:r>
          <w:r w:rsidRPr="0032337D">
            <w:rPr>
              <w:rFonts w:cs="Segoe UI"/>
              <w:lang w:val="en-GB"/>
            </w:rPr>
            <w:t xml:space="preserve"> issued by Cerved Rating Agency on Italian Joint-Stock and Limited Liability com</w:t>
          </w:r>
          <w:r w:rsidRPr="0032337D">
            <w:rPr>
              <w:rFonts w:cs="Segoe UI"/>
              <w:lang w:val="en-GB"/>
            </w:rPr>
            <w:softHyphen/>
            <w:t>panies (9</w:t>
          </w:r>
          <w:r>
            <w:rPr>
              <w:rFonts w:cs="Segoe UI"/>
              <w:lang w:val="en-GB"/>
            </w:rPr>
            <w:t>7</w:t>
          </w:r>
          <w:r w:rsidRPr="0032337D">
            <w:rPr>
              <w:rFonts w:cs="Segoe UI"/>
              <w:lang w:val="en-GB"/>
            </w:rPr>
            <w:t>.</w:t>
          </w:r>
          <w:r>
            <w:rPr>
              <w:rFonts w:cs="Segoe UI"/>
              <w:lang w:val="en-GB"/>
            </w:rPr>
            <w:t>5</w:t>
          </w:r>
          <w:r w:rsidRPr="0032337D">
            <w:rPr>
              <w:rFonts w:cs="Segoe UI"/>
              <w:lang w:val="en-GB"/>
            </w:rPr>
            <w:t>% at the end of 20</w:t>
          </w:r>
          <w:r>
            <w:rPr>
              <w:rFonts w:cs="Segoe UI"/>
              <w:lang w:val="en-GB"/>
            </w:rPr>
            <w:t>21</w:t>
          </w:r>
          <w:r w:rsidRPr="0032337D">
            <w:rPr>
              <w:rFonts w:cs="Segoe UI"/>
              <w:lang w:val="en-GB"/>
            </w:rPr>
            <w:t>, on average more than 8</w:t>
          </w:r>
          <w:r>
            <w:rPr>
              <w:rFonts w:cs="Segoe UI"/>
              <w:lang w:val="en-GB"/>
            </w:rPr>
            <w:t>2</w:t>
          </w:r>
          <w:r w:rsidRPr="0032337D">
            <w:rPr>
              <w:rFonts w:cs="Segoe UI"/>
              <w:lang w:val="en-GB"/>
            </w:rPr>
            <w:t>% in the observed 1</w:t>
          </w:r>
          <w:r>
            <w:rPr>
              <w:rFonts w:cs="Segoe UI"/>
              <w:lang w:val="en-GB"/>
            </w:rPr>
            <w:t>4</w:t>
          </w:r>
          <w:r w:rsidRPr="0032337D">
            <w:rPr>
              <w:rFonts w:cs="Segoe UI"/>
              <w:lang w:val="en-GB"/>
            </w:rPr>
            <w:t>-year period).</w:t>
          </w:r>
        </w:p>
        <w:p w14:paraId="43183EAA" w14:textId="77777777" w:rsidR="004101BF" w:rsidRPr="003B4096" w:rsidRDefault="004101BF" w:rsidP="004101BF">
          <w:pPr>
            <w:pStyle w:val="Titolo3"/>
            <w:rPr>
              <w:lang w:val="en-GB"/>
            </w:rPr>
          </w:pPr>
          <w:bookmarkStart w:id="31" w:name="_Toc130806398"/>
          <w:bookmarkStart w:id="32" w:name="_Toc167131719"/>
          <w:r w:rsidRPr="00DF6454">
            <w:rPr>
              <w:lang w:val="en-GB"/>
            </w:rPr>
            <w:t>Breakdown of rated entities by industry</w:t>
          </w:r>
          <w:bookmarkEnd w:id="31"/>
          <w:bookmarkEnd w:id="32"/>
        </w:p>
        <w:p w14:paraId="1428D94D" w14:textId="77777777" w:rsidR="004101BF" w:rsidRPr="0032337D" w:rsidRDefault="004101BF" w:rsidP="004101BF">
          <w:pPr>
            <w:rPr>
              <w:rFonts w:cs="Segoe UI"/>
              <w:lang w:val="en-GB"/>
            </w:rPr>
          </w:pPr>
          <w:r w:rsidRPr="0032337D">
            <w:rPr>
              <w:rFonts w:cs="Segoe UI"/>
              <w:lang w:val="en-GB"/>
            </w:rPr>
            <w:t>Exhibits 6, 7 and 8 show the distribution of rated entities by industry:</w:t>
          </w:r>
        </w:p>
        <w:p w14:paraId="7E2514C5" w14:textId="70084C66" w:rsidR="004101BF" w:rsidRDefault="004101BF" w:rsidP="004101BF">
          <w:pPr>
            <w:pStyle w:val="Didascalia"/>
            <w:rPr>
              <w:rFonts w:ascii="Segoe UI" w:hAnsi="Segoe UI" w:cs="Segoe UI"/>
              <w:i/>
              <w:color w:val="002E5A" w:themeColor="text2"/>
              <w:sz w:val="14"/>
              <w:szCs w:val="24"/>
              <w:lang w:val="en-GB"/>
            </w:rPr>
          </w:pPr>
          <w:bookmarkStart w:id="33" w:name="_Toc130806307"/>
          <w:bookmarkStart w:id="34" w:name="_Toc166675647"/>
          <w:bookmarkStart w:id="35" w:name="_Toc167131774"/>
          <w:r w:rsidRPr="0032337D">
            <w:rPr>
              <w:rFonts w:ascii="Segoe UI" w:hAnsi="Segoe UI" w:cs="Segoe UI"/>
              <w:i/>
              <w:color w:val="002E5A" w:themeColor="text2"/>
              <w:sz w:val="14"/>
              <w:szCs w:val="24"/>
              <w:lang w:val="en-GB"/>
            </w:rPr>
            <w:t xml:space="preserve">Exhibit </w:t>
          </w:r>
          <w:r>
            <w:rPr>
              <w:rFonts w:ascii="Segoe UI" w:hAnsi="Segoe UI" w:cs="Segoe UI"/>
              <w:bCs/>
              <w:i/>
              <w:color w:val="002E5A" w:themeColor="text2"/>
              <w:sz w:val="14"/>
              <w:szCs w:val="24"/>
              <w:lang w:val="en-GB"/>
            </w:rPr>
            <w:fldChar w:fldCharType="begin"/>
          </w:r>
          <w:r>
            <w:rPr>
              <w:rFonts w:ascii="Segoe UI" w:hAnsi="Segoe UI" w:cs="Segoe UI"/>
              <w:i/>
              <w:color w:val="002E5A" w:themeColor="text2"/>
              <w:sz w:val="14"/>
              <w:szCs w:val="24"/>
              <w:lang w:val="en-GB"/>
            </w:rPr>
            <w:instrText xml:space="preserve"> SEQ Exhibit \* ARABIC </w:instrText>
          </w:r>
          <w:r>
            <w:rPr>
              <w:rFonts w:ascii="Segoe UI" w:hAnsi="Segoe UI" w:cs="Segoe UI"/>
              <w:bCs/>
              <w:i/>
              <w:color w:val="002E5A" w:themeColor="text2"/>
              <w:sz w:val="14"/>
              <w:szCs w:val="24"/>
              <w:lang w:val="en-GB"/>
            </w:rPr>
            <w:fldChar w:fldCharType="separate"/>
          </w:r>
          <w:r w:rsidR="009857B6">
            <w:rPr>
              <w:rFonts w:ascii="Segoe UI" w:hAnsi="Segoe UI" w:cs="Segoe UI"/>
              <w:i/>
              <w:noProof/>
              <w:color w:val="002E5A" w:themeColor="text2"/>
              <w:sz w:val="14"/>
              <w:szCs w:val="24"/>
              <w:lang w:val="en-GB"/>
            </w:rPr>
            <w:t>6</w:t>
          </w:r>
          <w:r>
            <w:rPr>
              <w:rFonts w:ascii="Segoe UI" w:hAnsi="Segoe UI" w:cs="Segoe UI"/>
              <w:bCs/>
              <w:i/>
              <w:color w:val="002E5A" w:themeColor="text2"/>
              <w:sz w:val="14"/>
              <w:szCs w:val="24"/>
              <w:lang w:val="en-GB"/>
            </w:rPr>
            <w:fldChar w:fldCharType="end"/>
          </w:r>
          <w:r w:rsidRPr="0032337D">
            <w:rPr>
              <w:rFonts w:ascii="Segoe UI" w:hAnsi="Segoe UI" w:cs="Segoe UI"/>
              <w:i/>
              <w:color w:val="002E5A" w:themeColor="text2"/>
              <w:sz w:val="14"/>
              <w:szCs w:val="24"/>
              <w:lang w:val="en-GB"/>
            </w:rPr>
            <w:t>: Distribution of rated entities by industry – Number of ratings</w:t>
          </w:r>
          <w:bookmarkEnd w:id="33"/>
          <w:bookmarkEnd w:id="34"/>
          <w:bookmarkEnd w:id="35"/>
        </w:p>
        <w:tbl>
          <w:tblPr>
            <w:tblW w:w="5000" w:type="pct"/>
            <w:tblBorders>
              <w:top w:val="single" w:sz="4" w:space="0" w:color="AFAFB4" w:themeColor="accent4"/>
              <w:bottom w:val="single" w:sz="4" w:space="0" w:color="AFAFB4" w:themeColor="accent4"/>
              <w:insideH w:val="single" w:sz="4" w:space="0" w:color="AFAFB4" w:themeColor="accent4"/>
            </w:tblBorders>
            <w:shd w:val="clear" w:color="auto" w:fill="FFFFFF" w:themeFill="background2"/>
            <w:tblCellMar>
              <w:left w:w="0" w:type="dxa"/>
              <w:right w:w="0" w:type="dxa"/>
            </w:tblCellMar>
            <w:tblLook w:val="0620" w:firstRow="1" w:lastRow="0" w:firstColumn="0" w:lastColumn="0" w:noHBand="1" w:noVBand="1"/>
            <w:tblDescription w:val="{&quot;Ott&quot;:{&quot;FirstRow&quot;:{&quot;BackgroundColor&quot;:{&quot;Key&quot;:&quot;Light2&quot;},&quot;Font&quot;:{&quot;Name&quot;:&quot;Source Sans Pro&quot;,&quot;Size&quot;:14.0,&quot;Bold&quot;:false,&quot;Italic&quot;:false,&quot;Color&quot;:{&quot;Key&quot;:&quot;Dark2&quot;}},&quot;ExcelCellFormatting&quot;:&quot;General&quot;,&quot;Alignment&quot;:{&quot;Horizontal&quot;:&quot;Left&quot;,&quot;Vertical&quot;:&quot;Bottom&quot;},&quot;Borders&quot;:{&quot;Vertical&quot;:{&quot;Visible&quot;:false},&quot;Left&quot;:{&quot;Visible&quot;:false},&quot;Top&quot;:{&quot;Visible&quot;:false},&quot;Right&quot;:{&quot;Visible&quot;:false},&quot;Bottom&quot;:{&quot;Color&quot;:{&quot;Key&quot;:&quot;Accent4&quot;},&quot;BorderWeight&quot;:&quot;Pt1_5&quot;,&quot;Type&quot;:&quot;Solid&quot;,&quot;Visible&quot;:true}}},&quot;FitRowHeightPp&quot;:true,&quot;ZeroMarginsWord&quot;:true,&quot;BackgroundColor&quot;:{&quot;Key&quot;:&quot;Light2&quot;},&quot;Font&quot;:{&quot;Name&quot;:&quot;Source Sans Pro&quot;,&quot;Size&quot;:11.0,&quot;Bold&quot;:false,&quot;Italic&quot;:false,&quot;Color&quot;:{&quot;Key&quot;:&quot;Dark2&quot;}},&quot;LineSpacing&quot;:{&quot;Rule&quot;:&quot;Single&quot;},&quot;Alignment&quot;:{&quot;Horizontal&quot;:&quot;Left&quot;,&quot;Vertical&quot;:&quot;Top&quot;},&quot;Margin&quot;:{&quot;Left&quot;:5.7,&quot;Top&quot;:3.0,&quot;Right&quot;:5.7,&quot;Bottom&quot;:3.0},&quot;Borders&quot;:{&quot;Vertical&quot;:{&quot;Visible&quot;:false},&quot;Horizontal&quot;:{&quot;Color&quot;:{&quot;Key&quot;:&quot;Accent4&quot;},&quot;BorderWeight&quot;:&quot;Pt0_5&quot;,&quot;Type&quot;:&quot;Solid&quot;,&quot;Visible&quot;:true}},&quot;ParagraphSpacing&quot;:{&quot;SpaceBefore&quot;:2.0,&quot;SpaceAfter&quot;:2.0},&quot;ExcelWrapText&quot;:true},&quot;Ccs&quot;:{&quot;DarkBlue&quot;:&quot;0, 20, 55&quot;,&quot;Turquoise&quot;:&quot;0, 164, 230&quot;,&quot;Red&quot;:&quot;214, 70, 65&quot;,&quot;LightGrey&quot;:&quot;174, 174, 180&quot;,&quot;BlueGrey&quot;:&quot;77, 91, 115&quot;,&quot;IceBlue&quot;:&quot;178, 184, 195&quot;,&quot;Grey&quot;:&quot;145, 147, 153&quot;,&quot;Background&quot;:&quot;0, 0, 0, 0&quot;,&quot;White&quot;:&quot;White&quot;,&quot;Accent1&quot;:&quot;1, 1, 1, 1&quot;,&quot;Accent2&quot;:&quot;1, 1, 1, 2&quot;,&quot;Accent3&quot;:&quot;1, 1, 1, 3&quot;,&quot;Accent4&quot;:&quot;1, 1, 1, 4&quot;,&quot;Accent5&quot;:&quot;1, 1, 1, 5&quot;,&quot;Accent6&quot;:&quot;1, 1, 1, 6&quot;,&quot;Dark1&quot;:&quot;1, 1, 1, 7&quot;,&quot;Dark2&quot;:&quot;1, 1, 1, 9&quot;,&quot;Light1&quot;:&quot;1, 1, 1, 8&quot;,&quot;Light2&quot;:&quot;1, 1, 1, 10&quot;},&quot;Cop&quot;:{&quot;FirstRow&quot;:true,&quot;LastRow&quot;:false,&quot;FirstColumn&quot;:false,&quot;LastColumn&quot;:false,&quot;BandedRows&quot;:false,&quot;BandedColumns&quot;:false},&quot;Aaf&quot;:false}"/>
          </w:tblPr>
          <w:tblGrid>
            <w:gridCol w:w="1357"/>
            <w:gridCol w:w="1283"/>
            <w:gridCol w:w="1283"/>
            <w:gridCol w:w="1285"/>
            <w:gridCol w:w="1285"/>
            <w:gridCol w:w="1285"/>
            <w:gridCol w:w="1285"/>
            <w:gridCol w:w="1285"/>
          </w:tblGrid>
          <w:tr w:rsidR="00A3443E" w:rsidRPr="00ED33EF" w14:paraId="4455E661" w14:textId="15BEBAE0" w:rsidTr="00EA333F">
            <w:trPr>
              <w:trHeight w:val="283"/>
            </w:trPr>
            <w:tc>
              <w:tcPr>
                <w:tcW w:w="655"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2488B22C" w14:textId="13020A88" w:rsidR="00A3443E" w:rsidRPr="00ED33EF" w:rsidRDefault="00A3443E" w:rsidP="00A3443E">
                <w:pPr>
                  <w:spacing w:before="0" w:line="240" w:lineRule="auto"/>
                  <w:jc w:val="center"/>
                  <w:rPr>
                    <w:b/>
                    <w:color w:val="33A1AB" w:themeColor="accent2"/>
                    <w:sz w:val="14"/>
                    <w:szCs w:val="14"/>
                  </w:rPr>
                </w:pPr>
                <w:r>
                  <w:rPr>
                    <w:b/>
                    <w:color w:val="33A1AB" w:themeColor="accent2"/>
                    <w:sz w:val="14"/>
                    <w:szCs w:val="14"/>
                  </w:rPr>
                  <w:t>Year</w:t>
                </w:r>
              </w:p>
            </w:tc>
            <w:tc>
              <w:tcPr>
                <w:tcW w:w="620"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2B280F16" w14:textId="7F645437" w:rsidR="00A3443E" w:rsidRPr="00ED33EF" w:rsidRDefault="00A3443E" w:rsidP="00A3443E">
                <w:pPr>
                  <w:spacing w:before="0" w:line="240" w:lineRule="auto"/>
                  <w:jc w:val="center"/>
                  <w:rPr>
                    <w:b/>
                    <w:color w:val="33A1AB" w:themeColor="accent2"/>
                    <w:sz w:val="14"/>
                    <w:szCs w:val="14"/>
                  </w:rPr>
                </w:pPr>
                <w:r w:rsidRPr="00A3443E">
                  <w:rPr>
                    <w:b/>
                    <w:color w:val="33A1AB" w:themeColor="accent2"/>
                    <w:sz w:val="14"/>
                    <w:szCs w:val="14"/>
                  </w:rPr>
                  <w:t>Manufacturing</w:t>
                </w:r>
              </w:p>
            </w:tc>
            <w:tc>
              <w:tcPr>
                <w:tcW w:w="620"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3AD7954F" w14:textId="6CD46450" w:rsidR="00A3443E" w:rsidRPr="00ED33EF" w:rsidRDefault="00A3443E" w:rsidP="00A3443E">
                <w:pPr>
                  <w:spacing w:before="0" w:line="240" w:lineRule="auto"/>
                  <w:jc w:val="center"/>
                  <w:rPr>
                    <w:b/>
                    <w:color w:val="33A1AB" w:themeColor="accent2"/>
                    <w:sz w:val="14"/>
                    <w:szCs w:val="14"/>
                  </w:rPr>
                </w:pPr>
                <w:r w:rsidRPr="00A3443E">
                  <w:rPr>
                    <w:b/>
                    <w:color w:val="33A1AB" w:themeColor="accent2"/>
                    <w:sz w:val="14"/>
                    <w:szCs w:val="14"/>
                  </w:rPr>
                  <w:t>Wholesale</w:t>
                </w:r>
              </w:p>
            </w:tc>
            <w:tc>
              <w:tcPr>
                <w:tcW w:w="621" w:type="pct"/>
                <w:tcBorders>
                  <w:top w:val="single" w:sz="12" w:space="0" w:color="AFAFB4" w:themeColor="accent4"/>
                </w:tcBorders>
                <w:shd w:val="clear" w:color="auto" w:fill="FFFFFF" w:themeFill="background2"/>
                <w:vAlign w:val="center"/>
              </w:tcPr>
              <w:p w14:paraId="7B87DB20" w14:textId="0F009031" w:rsidR="00A3443E" w:rsidRPr="00ED33EF" w:rsidRDefault="00A3443E" w:rsidP="00A3443E">
                <w:pPr>
                  <w:spacing w:before="0" w:line="240" w:lineRule="auto"/>
                  <w:jc w:val="center"/>
                  <w:rPr>
                    <w:b/>
                    <w:color w:val="33A1AB" w:themeColor="accent2"/>
                    <w:sz w:val="14"/>
                    <w:szCs w:val="14"/>
                  </w:rPr>
                </w:pPr>
                <w:r w:rsidRPr="00A3443E">
                  <w:rPr>
                    <w:b/>
                    <w:color w:val="33A1AB" w:themeColor="accent2"/>
                    <w:sz w:val="14"/>
                    <w:szCs w:val="14"/>
                  </w:rPr>
                  <w:t>Construction</w:t>
                </w:r>
              </w:p>
            </w:tc>
            <w:tc>
              <w:tcPr>
                <w:tcW w:w="621" w:type="pct"/>
                <w:tcBorders>
                  <w:top w:val="single" w:sz="12" w:space="0" w:color="AFAFB4" w:themeColor="accent4"/>
                </w:tcBorders>
                <w:shd w:val="clear" w:color="auto" w:fill="FFFFFF" w:themeFill="background2"/>
                <w:vAlign w:val="center"/>
              </w:tcPr>
              <w:p w14:paraId="25EE5C41" w14:textId="06FF6634" w:rsidR="00A3443E" w:rsidRPr="00ED33EF" w:rsidRDefault="00A3443E" w:rsidP="00A3443E">
                <w:pPr>
                  <w:spacing w:before="0" w:line="240" w:lineRule="auto"/>
                  <w:jc w:val="center"/>
                  <w:rPr>
                    <w:b/>
                    <w:color w:val="33A1AB" w:themeColor="accent2"/>
                    <w:sz w:val="14"/>
                    <w:szCs w:val="14"/>
                  </w:rPr>
                </w:pPr>
                <w:r w:rsidRPr="00A3443E">
                  <w:rPr>
                    <w:b/>
                    <w:color w:val="33A1AB" w:themeColor="accent2"/>
                    <w:sz w:val="14"/>
                    <w:szCs w:val="14"/>
                  </w:rPr>
                  <w:t>Service &amp; Transport</w:t>
                </w:r>
              </w:p>
            </w:tc>
            <w:tc>
              <w:tcPr>
                <w:tcW w:w="621" w:type="pct"/>
                <w:tcBorders>
                  <w:top w:val="single" w:sz="12" w:space="0" w:color="AFAFB4" w:themeColor="accent4"/>
                </w:tcBorders>
                <w:shd w:val="clear" w:color="auto" w:fill="FFFFFF" w:themeFill="background2"/>
                <w:vAlign w:val="center"/>
              </w:tcPr>
              <w:p w14:paraId="7FB1EAE1" w14:textId="750BA142" w:rsidR="00A3443E" w:rsidRPr="00ED33EF" w:rsidRDefault="00A3443E" w:rsidP="00A3443E">
                <w:pPr>
                  <w:spacing w:before="0" w:line="240" w:lineRule="auto"/>
                  <w:jc w:val="center"/>
                  <w:rPr>
                    <w:b/>
                    <w:color w:val="33A1AB" w:themeColor="accent2"/>
                    <w:sz w:val="14"/>
                    <w:szCs w:val="14"/>
                  </w:rPr>
                </w:pPr>
                <w:r w:rsidRPr="00A3443E">
                  <w:rPr>
                    <w:b/>
                    <w:color w:val="33A1AB" w:themeColor="accent2"/>
                    <w:sz w:val="14"/>
                    <w:szCs w:val="14"/>
                  </w:rPr>
                  <w:t>Agriculture</w:t>
                </w:r>
              </w:p>
            </w:tc>
            <w:tc>
              <w:tcPr>
                <w:tcW w:w="621" w:type="pct"/>
                <w:tcBorders>
                  <w:top w:val="single" w:sz="12" w:space="0" w:color="AFAFB4" w:themeColor="accent4"/>
                </w:tcBorders>
                <w:shd w:val="clear" w:color="auto" w:fill="FFFFFF" w:themeFill="background2"/>
                <w:vAlign w:val="center"/>
              </w:tcPr>
              <w:p w14:paraId="55604D75" w14:textId="4B488D1F" w:rsidR="00A3443E" w:rsidRPr="00ED33EF" w:rsidRDefault="00A3443E" w:rsidP="00A3443E">
                <w:pPr>
                  <w:spacing w:before="0" w:line="240" w:lineRule="auto"/>
                  <w:jc w:val="center"/>
                  <w:rPr>
                    <w:b/>
                    <w:color w:val="33A1AB" w:themeColor="accent2"/>
                    <w:sz w:val="14"/>
                    <w:szCs w:val="14"/>
                  </w:rPr>
                </w:pPr>
                <w:r w:rsidRPr="00A3443E">
                  <w:rPr>
                    <w:b/>
                    <w:color w:val="33A1AB" w:themeColor="accent2"/>
                    <w:sz w:val="14"/>
                    <w:szCs w:val="14"/>
                  </w:rPr>
                  <w:t>Other</w:t>
                </w:r>
              </w:p>
            </w:tc>
            <w:tc>
              <w:tcPr>
                <w:tcW w:w="621" w:type="pct"/>
                <w:tcBorders>
                  <w:top w:val="single" w:sz="12" w:space="0" w:color="AFAFB4" w:themeColor="accent4"/>
                </w:tcBorders>
                <w:shd w:val="clear" w:color="auto" w:fill="FFFFFF" w:themeFill="background2"/>
                <w:vAlign w:val="center"/>
              </w:tcPr>
              <w:p w14:paraId="5113D73A" w14:textId="74483CDD" w:rsidR="00A3443E" w:rsidRPr="00ED33EF" w:rsidRDefault="00A3443E" w:rsidP="00A3443E">
                <w:pPr>
                  <w:spacing w:before="0" w:line="240" w:lineRule="auto"/>
                  <w:jc w:val="center"/>
                  <w:rPr>
                    <w:b/>
                    <w:color w:val="33A1AB" w:themeColor="accent2"/>
                    <w:sz w:val="14"/>
                    <w:szCs w:val="14"/>
                  </w:rPr>
                </w:pPr>
                <w:r w:rsidRPr="00A3443E">
                  <w:rPr>
                    <w:b/>
                    <w:color w:val="33A1AB" w:themeColor="accent2"/>
                    <w:sz w:val="14"/>
                    <w:szCs w:val="14"/>
                  </w:rPr>
                  <w:t>TOTAL</w:t>
                </w:r>
              </w:p>
            </w:tc>
          </w:tr>
          <w:tr w:rsidR="00EA333F" w:rsidRPr="00ED33EF" w14:paraId="6AD862A5" w14:textId="49964EDF" w:rsidTr="00EA333F">
            <w:trPr>
              <w:trHeight w:val="283"/>
            </w:trPr>
            <w:tc>
              <w:tcPr>
                <w:tcW w:w="655" w:type="pct"/>
                <w:shd w:val="clear" w:color="auto" w:fill="FFFFFF" w:themeFill="background2"/>
                <w:tcMar>
                  <w:top w:w="60" w:type="dxa"/>
                  <w:left w:w="114" w:type="dxa"/>
                  <w:bottom w:w="60" w:type="dxa"/>
                  <w:right w:w="114" w:type="dxa"/>
                </w:tcMar>
                <w:vAlign w:val="center"/>
              </w:tcPr>
              <w:p w14:paraId="2E73FCFE" w14:textId="4DCB19CF" w:rsidR="00EA333F" w:rsidRPr="00ED33EF" w:rsidRDefault="00EA333F" w:rsidP="00EA333F">
                <w:pPr>
                  <w:pStyle w:val="TableIndent3"/>
                  <w:spacing w:before="0" w:after="0"/>
                  <w:ind w:left="0"/>
                  <w:rPr>
                    <w:sz w:val="14"/>
                    <w:szCs w:val="14"/>
                  </w:rPr>
                </w:pPr>
                <w:r w:rsidRPr="0032337D">
                  <w:rPr>
                    <w:rFonts w:cs="Segoe UI"/>
                    <w:b/>
                    <w:sz w:val="14"/>
                    <w:lang w:val="en-GB" w:eastAsia="it-IT"/>
                  </w:rPr>
                  <w:t>31 December 2008</w:t>
                </w:r>
              </w:p>
            </w:tc>
            <w:tc>
              <w:tcPr>
                <w:tcW w:w="620" w:type="pct"/>
                <w:shd w:val="clear" w:color="auto" w:fill="FFFFFF" w:themeFill="background2"/>
                <w:tcMar>
                  <w:top w:w="60" w:type="dxa"/>
                  <w:left w:w="114" w:type="dxa"/>
                  <w:bottom w:w="60" w:type="dxa"/>
                  <w:right w:w="114" w:type="dxa"/>
                </w:tcMar>
                <w:vAlign w:val="center"/>
              </w:tcPr>
              <w:p w14:paraId="32BD6960" w14:textId="2A492917" w:rsidR="00EA333F" w:rsidRPr="00ED33EF" w:rsidRDefault="00EA333F" w:rsidP="00EA333F">
                <w:pPr>
                  <w:pStyle w:val="TableTextLeft"/>
                  <w:spacing w:before="0" w:after="0"/>
                  <w:jc w:val="center"/>
                  <w:rPr>
                    <w:sz w:val="14"/>
                    <w:szCs w:val="14"/>
                  </w:rPr>
                </w:pPr>
                <w:r w:rsidRPr="00EA333F">
                  <w:rPr>
                    <w:sz w:val="14"/>
                    <w:szCs w:val="14"/>
                  </w:rPr>
                  <w:t>24,607</w:t>
                </w:r>
              </w:p>
            </w:tc>
            <w:tc>
              <w:tcPr>
                <w:tcW w:w="620" w:type="pct"/>
                <w:shd w:val="clear" w:color="auto" w:fill="FFFFFF" w:themeFill="background2"/>
                <w:tcMar>
                  <w:top w:w="60" w:type="dxa"/>
                  <w:left w:w="114" w:type="dxa"/>
                  <w:bottom w:w="60" w:type="dxa"/>
                  <w:right w:w="114" w:type="dxa"/>
                </w:tcMar>
                <w:vAlign w:val="center"/>
              </w:tcPr>
              <w:p w14:paraId="27805E32" w14:textId="250D2A3B" w:rsidR="00EA333F" w:rsidRPr="00ED33EF" w:rsidRDefault="00EA333F" w:rsidP="00EA333F">
                <w:pPr>
                  <w:pStyle w:val="TableTextLeft"/>
                  <w:spacing w:before="0" w:after="0"/>
                  <w:jc w:val="center"/>
                  <w:rPr>
                    <w:sz w:val="14"/>
                    <w:szCs w:val="14"/>
                  </w:rPr>
                </w:pPr>
                <w:r w:rsidRPr="00EA333F">
                  <w:rPr>
                    <w:sz w:val="14"/>
                    <w:szCs w:val="14"/>
                  </w:rPr>
                  <w:t>23,641</w:t>
                </w:r>
              </w:p>
            </w:tc>
            <w:tc>
              <w:tcPr>
                <w:tcW w:w="621" w:type="pct"/>
                <w:shd w:val="clear" w:color="auto" w:fill="FFFFFF" w:themeFill="background2"/>
                <w:vAlign w:val="center"/>
              </w:tcPr>
              <w:p w14:paraId="02AA613C" w14:textId="4DD34A68" w:rsidR="00EA333F" w:rsidRPr="00ED33EF" w:rsidRDefault="00EA333F" w:rsidP="00EA333F">
                <w:pPr>
                  <w:pStyle w:val="TableTextLeft"/>
                  <w:spacing w:before="0" w:after="0"/>
                  <w:jc w:val="center"/>
                  <w:rPr>
                    <w:sz w:val="14"/>
                    <w:szCs w:val="14"/>
                  </w:rPr>
                </w:pPr>
                <w:r w:rsidRPr="00EA333F">
                  <w:rPr>
                    <w:sz w:val="14"/>
                    <w:szCs w:val="14"/>
                  </w:rPr>
                  <w:t>8,530</w:t>
                </w:r>
              </w:p>
            </w:tc>
            <w:tc>
              <w:tcPr>
                <w:tcW w:w="621" w:type="pct"/>
                <w:shd w:val="clear" w:color="auto" w:fill="FFFFFF" w:themeFill="background2"/>
                <w:vAlign w:val="center"/>
              </w:tcPr>
              <w:p w14:paraId="5D60EFB2" w14:textId="7AA27C21" w:rsidR="00EA333F" w:rsidRPr="00ED33EF" w:rsidRDefault="00EA333F" w:rsidP="00EA333F">
                <w:pPr>
                  <w:pStyle w:val="TableTextLeft"/>
                  <w:spacing w:before="0" w:after="0"/>
                  <w:jc w:val="center"/>
                  <w:rPr>
                    <w:sz w:val="14"/>
                    <w:szCs w:val="14"/>
                  </w:rPr>
                </w:pPr>
                <w:r w:rsidRPr="00EA333F">
                  <w:rPr>
                    <w:sz w:val="14"/>
                    <w:szCs w:val="14"/>
                  </w:rPr>
                  <w:t>6,541</w:t>
                </w:r>
              </w:p>
            </w:tc>
            <w:tc>
              <w:tcPr>
                <w:tcW w:w="621" w:type="pct"/>
                <w:shd w:val="clear" w:color="auto" w:fill="FFFFFF" w:themeFill="background2"/>
                <w:vAlign w:val="center"/>
              </w:tcPr>
              <w:p w14:paraId="6B51B652" w14:textId="5DE68CA5"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761</w:t>
                </w:r>
              </w:p>
            </w:tc>
            <w:tc>
              <w:tcPr>
                <w:tcW w:w="621" w:type="pct"/>
                <w:shd w:val="clear" w:color="auto" w:fill="FFFFFF" w:themeFill="background2"/>
                <w:vAlign w:val="center"/>
              </w:tcPr>
              <w:p w14:paraId="77FEEDA9" w14:textId="74138300"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690</w:t>
                </w:r>
              </w:p>
            </w:tc>
            <w:tc>
              <w:tcPr>
                <w:tcW w:w="621" w:type="pct"/>
                <w:shd w:val="clear" w:color="auto" w:fill="FFFFFF" w:themeFill="background2"/>
                <w:vAlign w:val="center"/>
              </w:tcPr>
              <w:p w14:paraId="265CACFC" w14:textId="2235D5E7"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64,770</w:t>
                </w:r>
              </w:p>
            </w:tc>
          </w:tr>
          <w:tr w:rsidR="00EA333F" w:rsidRPr="00ED33EF" w14:paraId="26EA0EF9" w14:textId="77777777" w:rsidTr="00EA333F">
            <w:trPr>
              <w:trHeight w:val="283"/>
            </w:trPr>
            <w:tc>
              <w:tcPr>
                <w:tcW w:w="655" w:type="pct"/>
                <w:shd w:val="clear" w:color="auto" w:fill="FFFFFF" w:themeFill="background2"/>
                <w:tcMar>
                  <w:top w:w="60" w:type="dxa"/>
                  <w:left w:w="114" w:type="dxa"/>
                  <w:bottom w:w="60" w:type="dxa"/>
                  <w:right w:w="114" w:type="dxa"/>
                </w:tcMar>
                <w:vAlign w:val="center"/>
              </w:tcPr>
              <w:p w14:paraId="36B50736" w14:textId="03AA0B6B" w:rsidR="00EA333F" w:rsidRPr="00ED33EF" w:rsidRDefault="00EA333F" w:rsidP="00EA333F">
                <w:pPr>
                  <w:pStyle w:val="TableIndent3"/>
                  <w:spacing w:before="0" w:after="0"/>
                  <w:ind w:left="0"/>
                  <w:rPr>
                    <w:sz w:val="14"/>
                    <w:szCs w:val="14"/>
                  </w:rPr>
                </w:pPr>
                <w:r w:rsidRPr="0032337D">
                  <w:rPr>
                    <w:rFonts w:cs="Segoe UI"/>
                    <w:b/>
                    <w:sz w:val="14"/>
                    <w:lang w:val="en-GB" w:eastAsia="it-IT"/>
                  </w:rPr>
                  <w:t>31 December 2009</w:t>
                </w:r>
              </w:p>
            </w:tc>
            <w:tc>
              <w:tcPr>
                <w:tcW w:w="620" w:type="pct"/>
                <w:shd w:val="clear" w:color="auto" w:fill="FFFFFF" w:themeFill="background2"/>
                <w:tcMar>
                  <w:top w:w="60" w:type="dxa"/>
                  <w:left w:w="114" w:type="dxa"/>
                  <w:bottom w:w="60" w:type="dxa"/>
                  <w:right w:w="114" w:type="dxa"/>
                </w:tcMar>
                <w:vAlign w:val="center"/>
              </w:tcPr>
              <w:p w14:paraId="59E26F91" w14:textId="089AEA10" w:rsidR="00EA333F" w:rsidRPr="00ED33EF" w:rsidRDefault="00EA333F" w:rsidP="00EA333F">
                <w:pPr>
                  <w:pStyle w:val="TableTextLeft"/>
                  <w:spacing w:before="0" w:after="0"/>
                  <w:jc w:val="center"/>
                  <w:rPr>
                    <w:sz w:val="14"/>
                    <w:szCs w:val="14"/>
                  </w:rPr>
                </w:pPr>
                <w:r w:rsidRPr="00EA333F">
                  <w:rPr>
                    <w:sz w:val="14"/>
                    <w:szCs w:val="14"/>
                  </w:rPr>
                  <w:t>27,703</w:t>
                </w:r>
              </w:p>
            </w:tc>
            <w:tc>
              <w:tcPr>
                <w:tcW w:w="620" w:type="pct"/>
                <w:shd w:val="clear" w:color="auto" w:fill="FFFFFF" w:themeFill="background2"/>
                <w:tcMar>
                  <w:top w:w="60" w:type="dxa"/>
                  <w:left w:w="114" w:type="dxa"/>
                  <w:bottom w:w="60" w:type="dxa"/>
                  <w:right w:w="114" w:type="dxa"/>
                </w:tcMar>
                <w:vAlign w:val="center"/>
              </w:tcPr>
              <w:p w14:paraId="5EDEFC6B" w14:textId="6462CF68" w:rsidR="00EA333F" w:rsidRPr="00ED33EF" w:rsidRDefault="00EA333F" w:rsidP="00EA333F">
                <w:pPr>
                  <w:pStyle w:val="TableTextLeft"/>
                  <w:spacing w:before="0" w:after="0"/>
                  <w:jc w:val="center"/>
                  <w:rPr>
                    <w:sz w:val="14"/>
                    <w:szCs w:val="14"/>
                  </w:rPr>
                </w:pPr>
                <w:r w:rsidRPr="00EA333F">
                  <w:rPr>
                    <w:sz w:val="14"/>
                    <w:szCs w:val="14"/>
                  </w:rPr>
                  <w:t>27,148</w:t>
                </w:r>
              </w:p>
            </w:tc>
            <w:tc>
              <w:tcPr>
                <w:tcW w:w="621" w:type="pct"/>
                <w:shd w:val="clear" w:color="auto" w:fill="FFFFFF" w:themeFill="background2"/>
                <w:vAlign w:val="center"/>
              </w:tcPr>
              <w:p w14:paraId="2B86808B" w14:textId="639F50D1" w:rsidR="00EA333F" w:rsidRPr="00ED33EF" w:rsidRDefault="00EA333F" w:rsidP="00EA333F">
                <w:pPr>
                  <w:pStyle w:val="TableTextLeft"/>
                  <w:spacing w:before="0" w:after="0"/>
                  <w:jc w:val="center"/>
                  <w:rPr>
                    <w:sz w:val="14"/>
                    <w:szCs w:val="14"/>
                  </w:rPr>
                </w:pPr>
                <w:r w:rsidRPr="00EA333F">
                  <w:rPr>
                    <w:sz w:val="14"/>
                    <w:szCs w:val="14"/>
                  </w:rPr>
                  <w:t>10,338</w:t>
                </w:r>
              </w:p>
            </w:tc>
            <w:tc>
              <w:tcPr>
                <w:tcW w:w="621" w:type="pct"/>
                <w:shd w:val="clear" w:color="auto" w:fill="FFFFFF" w:themeFill="background2"/>
                <w:vAlign w:val="center"/>
              </w:tcPr>
              <w:p w14:paraId="61FE2F02" w14:textId="13A0079F" w:rsidR="00EA333F" w:rsidRPr="00ED33EF" w:rsidRDefault="00EA333F" w:rsidP="00EA333F">
                <w:pPr>
                  <w:pStyle w:val="TableTextLeft"/>
                  <w:spacing w:before="0" w:after="0"/>
                  <w:jc w:val="center"/>
                  <w:rPr>
                    <w:sz w:val="14"/>
                    <w:szCs w:val="14"/>
                  </w:rPr>
                </w:pPr>
                <w:r w:rsidRPr="00EA333F">
                  <w:rPr>
                    <w:sz w:val="14"/>
                    <w:szCs w:val="14"/>
                  </w:rPr>
                  <w:t>14,779</w:t>
                </w:r>
              </w:p>
            </w:tc>
            <w:tc>
              <w:tcPr>
                <w:tcW w:w="621" w:type="pct"/>
                <w:shd w:val="clear" w:color="auto" w:fill="FFFFFF" w:themeFill="background2"/>
                <w:vAlign w:val="center"/>
              </w:tcPr>
              <w:p w14:paraId="6F5E49BF" w14:textId="2BB6AE81"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1,680</w:t>
                </w:r>
              </w:p>
            </w:tc>
            <w:tc>
              <w:tcPr>
                <w:tcW w:w="621" w:type="pct"/>
                <w:shd w:val="clear" w:color="auto" w:fill="FFFFFF" w:themeFill="background2"/>
                <w:vAlign w:val="center"/>
              </w:tcPr>
              <w:p w14:paraId="0F40256B" w14:textId="3D3B39F6"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2,654</w:t>
                </w:r>
              </w:p>
            </w:tc>
            <w:tc>
              <w:tcPr>
                <w:tcW w:w="621" w:type="pct"/>
                <w:shd w:val="clear" w:color="auto" w:fill="FFFFFF" w:themeFill="background2"/>
                <w:vAlign w:val="center"/>
              </w:tcPr>
              <w:p w14:paraId="2AE82542" w14:textId="32CBA8F1"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84,302</w:t>
                </w:r>
              </w:p>
            </w:tc>
          </w:tr>
          <w:tr w:rsidR="00EA333F" w:rsidRPr="00ED33EF" w14:paraId="13CA9423" w14:textId="77777777" w:rsidTr="00EA333F">
            <w:trPr>
              <w:trHeight w:val="283"/>
            </w:trPr>
            <w:tc>
              <w:tcPr>
                <w:tcW w:w="655" w:type="pct"/>
                <w:shd w:val="clear" w:color="auto" w:fill="FFFFFF" w:themeFill="background2"/>
                <w:tcMar>
                  <w:top w:w="60" w:type="dxa"/>
                  <w:left w:w="114" w:type="dxa"/>
                  <w:bottom w:w="60" w:type="dxa"/>
                  <w:right w:w="114" w:type="dxa"/>
                </w:tcMar>
                <w:vAlign w:val="center"/>
              </w:tcPr>
              <w:p w14:paraId="6BA5D1B1" w14:textId="2D84CCF5" w:rsidR="00EA333F" w:rsidRPr="00ED33EF" w:rsidRDefault="00EA333F" w:rsidP="00EA333F">
                <w:pPr>
                  <w:pStyle w:val="TableIndent3"/>
                  <w:spacing w:before="0" w:after="0"/>
                  <w:ind w:left="0"/>
                  <w:rPr>
                    <w:sz w:val="14"/>
                    <w:szCs w:val="14"/>
                  </w:rPr>
                </w:pPr>
                <w:r w:rsidRPr="0032337D">
                  <w:rPr>
                    <w:rFonts w:cs="Segoe UI"/>
                    <w:b/>
                    <w:sz w:val="14"/>
                    <w:lang w:val="en-GB" w:eastAsia="it-IT"/>
                  </w:rPr>
                  <w:t>31 December 2010</w:t>
                </w:r>
              </w:p>
            </w:tc>
            <w:tc>
              <w:tcPr>
                <w:tcW w:w="620" w:type="pct"/>
                <w:shd w:val="clear" w:color="auto" w:fill="FFFFFF" w:themeFill="background2"/>
                <w:tcMar>
                  <w:top w:w="60" w:type="dxa"/>
                  <w:left w:w="114" w:type="dxa"/>
                  <w:bottom w:w="60" w:type="dxa"/>
                  <w:right w:w="114" w:type="dxa"/>
                </w:tcMar>
                <w:vAlign w:val="center"/>
              </w:tcPr>
              <w:p w14:paraId="536A5B00" w14:textId="53EC031B" w:rsidR="00EA333F" w:rsidRPr="00ED33EF" w:rsidRDefault="00EA333F" w:rsidP="00EA333F">
                <w:pPr>
                  <w:pStyle w:val="TableTextLeft"/>
                  <w:spacing w:before="0" w:after="0"/>
                  <w:jc w:val="center"/>
                  <w:rPr>
                    <w:sz w:val="14"/>
                    <w:szCs w:val="14"/>
                  </w:rPr>
                </w:pPr>
                <w:r w:rsidRPr="00EA333F">
                  <w:rPr>
                    <w:sz w:val="14"/>
                    <w:szCs w:val="14"/>
                  </w:rPr>
                  <w:t>24,390</w:t>
                </w:r>
              </w:p>
            </w:tc>
            <w:tc>
              <w:tcPr>
                <w:tcW w:w="620" w:type="pct"/>
                <w:shd w:val="clear" w:color="auto" w:fill="FFFFFF" w:themeFill="background2"/>
                <w:tcMar>
                  <w:top w:w="60" w:type="dxa"/>
                  <w:left w:w="114" w:type="dxa"/>
                  <w:bottom w:w="60" w:type="dxa"/>
                  <w:right w:w="114" w:type="dxa"/>
                </w:tcMar>
                <w:vAlign w:val="center"/>
              </w:tcPr>
              <w:p w14:paraId="3231F7D3" w14:textId="51F47C2A" w:rsidR="00EA333F" w:rsidRPr="00ED33EF" w:rsidRDefault="00EA333F" w:rsidP="00EA333F">
                <w:pPr>
                  <w:pStyle w:val="TableTextLeft"/>
                  <w:spacing w:before="0" w:after="0"/>
                  <w:jc w:val="center"/>
                  <w:rPr>
                    <w:sz w:val="14"/>
                    <w:szCs w:val="14"/>
                  </w:rPr>
                </w:pPr>
                <w:r w:rsidRPr="00EA333F">
                  <w:rPr>
                    <w:sz w:val="14"/>
                    <w:szCs w:val="14"/>
                  </w:rPr>
                  <w:t>21,012</w:t>
                </w:r>
              </w:p>
            </w:tc>
            <w:tc>
              <w:tcPr>
                <w:tcW w:w="621" w:type="pct"/>
                <w:shd w:val="clear" w:color="auto" w:fill="FFFFFF" w:themeFill="background2"/>
                <w:vAlign w:val="center"/>
              </w:tcPr>
              <w:p w14:paraId="41FD37EA" w14:textId="27CD3DAF" w:rsidR="00EA333F" w:rsidRPr="00ED33EF" w:rsidRDefault="00EA333F" w:rsidP="00EA333F">
                <w:pPr>
                  <w:pStyle w:val="TableTextLeft"/>
                  <w:spacing w:before="0" w:after="0"/>
                  <w:jc w:val="center"/>
                  <w:rPr>
                    <w:sz w:val="14"/>
                    <w:szCs w:val="14"/>
                  </w:rPr>
                </w:pPr>
                <w:r w:rsidRPr="00EA333F">
                  <w:rPr>
                    <w:sz w:val="14"/>
                    <w:szCs w:val="14"/>
                  </w:rPr>
                  <w:t>9,220</w:t>
                </w:r>
              </w:p>
            </w:tc>
            <w:tc>
              <w:tcPr>
                <w:tcW w:w="621" w:type="pct"/>
                <w:shd w:val="clear" w:color="auto" w:fill="FFFFFF" w:themeFill="background2"/>
                <w:vAlign w:val="center"/>
              </w:tcPr>
              <w:p w14:paraId="2A56D2D1" w14:textId="0A8E6B61" w:rsidR="00EA333F" w:rsidRPr="00ED33EF" w:rsidRDefault="00EA333F" w:rsidP="00EA333F">
                <w:pPr>
                  <w:pStyle w:val="TableTextLeft"/>
                  <w:spacing w:before="0" w:after="0"/>
                  <w:jc w:val="center"/>
                  <w:rPr>
                    <w:sz w:val="14"/>
                    <w:szCs w:val="14"/>
                  </w:rPr>
                </w:pPr>
                <w:r w:rsidRPr="00EA333F">
                  <w:rPr>
                    <w:sz w:val="14"/>
                    <w:szCs w:val="14"/>
                  </w:rPr>
                  <w:t>15,702</w:t>
                </w:r>
              </w:p>
            </w:tc>
            <w:tc>
              <w:tcPr>
                <w:tcW w:w="621" w:type="pct"/>
                <w:shd w:val="clear" w:color="auto" w:fill="FFFFFF" w:themeFill="background2"/>
                <w:vAlign w:val="center"/>
              </w:tcPr>
              <w:p w14:paraId="5FE2685A" w14:textId="420295F2"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1,686</w:t>
                </w:r>
              </w:p>
            </w:tc>
            <w:tc>
              <w:tcPr>
                <w:tcW w:w="621" w:type="pct"/>
                <w:shd w:val="clear" w:color="auto" w:fill="FFFFFF" w:themeFill="background2"/>
                <w:vAlign w:val="center"/>
              </w:tcPr>
              <w:p w14:paraId="0BCA2907" w14:textId="2F067063"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2,773</w:t>
                </w:r>
              </w:p>
            </w:tc>
            <w:tc>
              <w:tcPr>
                <w:tcW w:w="621" w:type="pct"/>
                <w:shd w:val="clear" w:color="auto" w:fill="FFFFFF" w:themeFill="background2"/>
                <w:vAlign w:val="center"/>
              </w:tcPr>
              <w:p w14:paraId="6594AD55" w14:textId="4C3A3BC9"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74,783</w:t>
                </w:r>
              </w:p>
            </w:tc>
          </w:tr>
          <w:tr w:rsidR="00EA333F" w:rsidRPr="00ED33EF" w14:paraId="6EB161B1" w14:textId="77777777" w:rsidTr="00EA333F">
            <w:trPr>
              <w:trHeight w:val="283"/>
            </w:trPr>
            <w:tc>
              <w:tcPr>
                <w:tcW w:w="655" w:type="pct"/>
                <w:shd w:val="clear" w:color="auto" w:fill="FFFFFF" w:themeFill="background2"/>
                <w:tcMar>
                  <w:top w:w="60" w:type="dxa"/>
                  <w:left w:w="114" w:type="dxa"/>
                  <w:bottom w:w="60" w:type="dxa"/>
                  <w:right w:w="114" w:type="dxa"/>
                </w:tcMar>
                <w:vAlign w:val="center"/>
              </w:tcPr>
              <w:p w14:paraId="1AC0BA76" w14:textId="5AB7989C" w:rsidR="00EA333F" w:rsidRPr="00ED33EF" w:rsidRDefault="00EA333F" w:rsidP="00EA333F">
                <w:pPr>
                  <w:pStyle w:val="TableIndent3"/>
                  <w:spacing w:before="0" w:after="0"/>
                  <w:ind w:left="0"/>
                  <w:rPr>
                    <w:sz w:val="14"/>
                    <w:szCs w:val="14"/>
                  </w:rPr>
                </w:pPr>
                <w:r w:rsidRPr="0032337D">
                  <w:rPr>
                    <w:rFonts w:cs="Segoe UI"/>
                    <w:b/>
                    <w:sz w:val="14"/>
                    <w:lang w:val="en-GB" w:eastAsia="it-IT"/>
                  </w:rPr>
                  <w:t>31 December 2011</w:t>
                </w:r>
              </w:p>
            </w:tc>
            <w:tc>
              <w:tcPr>
                <w:tcW w:w="620" w:type="pct"/>
                <w:shd w:val="clear" w:color="auto" w:fill="FFFFFF" w:themeFill="background2"/>
                <w:tcMar>
                  <w:top w:w="60" w:type="dxa"/>
                  <w:left w:w="114" w:type="dxa"/>
                  <w:bottom w:w="60" w:type="dxa"/>
                  <w:right w:w="114" w:type="dxa"/>
                </w:tcMar>
                <w:vAlign w:val="center"/>
              </w:tcPr>
              <w:p w14:paraId="6EBE0E7E" w14:textId="3617FDA6" w:rsidR="00EA333F" w:rsidRPr="00ED33EF" w:rsidRDefault="00EA333F" w:rsidP="00EA333F">
                <w:pPr>
                  <w:pStyle w:val="TableTextLeft"/>
                  <w:spacing w:before="0" w:after="0"/>
                  <w:jc w:val="center"/>
                  <w:rPr>
                    <w:sz w:val="14"/>
                    <w:szCs w:val="14"/>
                  </w:rPr>
                </w:pPr>
                <w:r w:rsidRPr="00EA333F">
                  <w:rPr>
                    <w:sz w:val="14"/>
                    <w:szCs w:val="14"/>
                  </w:rPr>
                  <w:t>16,394</w:t>
                </w:r>
              </w:p>
            </w:tc>
            <w:tc>
              <w:tcPr>
                <w:tcW w:w="620" w:type="pct"/>
                <w:shd w:val="clear" w:color="auto" w:fill="FFFFFF" w:themeFill="background2"/>
                <w:tcMar>
                  <w:top w:w="60" w:type="dxa"/>
                  <w:left w:w="114" w:type="dxa"/>
                  <w:bottom w:w="60" w:type="dxa"/>
                  <w:right w:w="114" w:type="dxa"/>
                </w:tcMar>
                <w:vAlign w:val="center"/>
              </w:tcPr>
              <w:p w14:paraId="0C3ED882" w14:textId="002D34B5" w:rsidR="00EA333F" w:rsidRPr="00ED33EF" w:rsidRDefault="00EA333F" w:rsidP="00EA333F">
                <w:pPr>
                  <w:pStyle w:val="TableTextLeft"/>
                  <w:spacing w:before="0" w:after="0"/>
                  <w:jc w:val="center"/>
                  <w:rPr>
                    <w:sz w:val="14"/>
                    <w:szCs w:val="14"/>
                  </w:rPr>
                </w:pPr>
                <w:r w:rsidRPr="00EA333F">
                  <w:rPr>
                    <w:sz w:val="14"/>
                    <w:szCs w:val="14"/>
                  </w:rPr>
                  <w:t>11,910</w:t>
                </w:r>
              </w:p>
            </w:tc>
            <w:tc>
              <w:tcPr>
                <w:tcW w:w="621" w:type="pct"/>
                <w:shd w:val="clear" w:color="auto" w:fill="FFFFFF" w:themeFill="background2"/>
                <w:vAlign w:val="center"/>
              </w:tcPr>
              <w:p w14:paraId="6204B9E2" w14:textId="3117603A" w:rsidR="00EA333F" w:rsidRPr="00ED33EF" w:rsidRDefault="00EA333F" w:rsidP="00EA333F">
                <w:pPr>
                  <w:pStyle w:val="TableTextLeft"/>
                  <w:spacing w:before="0" w:after="0"/>
                  <w:jc w:val="center"/>
                  <w:rPr>
                    <w:sz w:val="14"/>
                    <w:szCs w:val="14"/>
                  </w:rPr>
                </w:pPr>
                <w:r w:rsidRPr="00EA333F">
                  <w:rPr>
                    <w:sz w:val="14"/>
                    <w:szCs w:val="14"/>
                  </w:rPr>
                  <w:t>4,366</w:t>
                </w:r>
              </w:p>
            </w:tc>
            <w:tc>
              <w:tcPr>
                <w:tcW w:w="621" w:type="pct"/>
                <w:shd w:val="clear" w:color="auto" w:fill="FFFFFF" w:themeFill="background2"/>
                <w:vAlign w:val="center"/>
              </w:tcPr>
              <w:p w14:paraId="6A5BF7F4" w14:textId="12883502" w:rsidR="00EA333F" w:rsidRPr="00ED33EF" w:rsidRDefault="00EA333F" w:rsidP="00EA333F">
                <w:pPr>
                  <w:pStyle w:val="TableTextLeft"/>
                  <w:spacing w:before="0" w:after="0"/>
                  <w:jc w:val="center"/>
                  <w:rPr>
                    <w:sz w:val="14"/>
                    <w:szCs w:val="14"/>
                  </w:rPr>
                </w:pPr>
                <w:r w:rsidRPr="00EA333F">
                  <w:rPr>
                    <w:sz w:val="14"/>
                    <w:szCs w:val="14"/>
                  </w:rPr>
                  <w:t>6,038</w:t>
                </w:r>
              </w:p>
            </w:tc>
            <w:tc>
              <w:tcPr>
                <w:tcW w:w="621" w:type="pct"/>
                <w:shd w:val="clear" w:color="auto" w:fill="FFFFFF" w:themeFill="background2"/>
                <w:vAlign w:val="center"/>
              </w:tcPr>
              <w:p w14:paraId="65443836" w14:textId="0555E8C1"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630</w:t>
                </w:r>
              </w:p>
            </w:tc>
            <w:tc>
              <w:tcPr>
                <w:tcW w:w="621" w:type="pct"/>
                <w:shd w:val="clear" w:color="auto" w:fill="FFFFFF" w:themeFill="background2"/>
                <w:vAlign w:val="center"/>
              </w:tcPr>
              <w:p w14:paraId="052D5107" w14:textId="5BB9DBF9"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705</w:t>
                </w:r>
              </w:p>
            </w:tc>
            <w:tc>
              <w:tcPr>
                <w:tcW w:w="621" w:type="pct"/>
                <w:shd w:val="clear" w:color="auto" w:fill="FFFFFF" w:themeFill="background2"/>
                <w:vAlign w:val="center"/>
              </w:tcPr>
              <w:p w14:paraId="368A321D" w14:textId="132E7BFC"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40,043</w:t>
                </w:r>
              </w:p>
            </w:tc>
          </w:tr>
          <w:tr w:rsidR="00EA333F" w:rsidRPr="00ED33EF" w14:paraId="42BE6DF8" w14:textId="77777777" w:rsidTr="00EA333F">
            <w:trPr>
              <w:trHeight w:val="283"/>
            </w:trPr>
            <w:tc>
              <w:tcPr>
                <w:tcW w:w="655" w:type="pct"/>
                <w:shd w:val="clear" w:color="auto" w:fill="FFFFFF" w:themeFill="background2"/>
                <w:tcMar>
                  <w:top w:w="60" w:type="dxa"/>
                  <w:left w:w="114" w:type="dxa"/>
                  <w:bottom w:w="60" w:type="dxa"/>
                  <w:right w:w="114" w:type="dxa"/>
                </w:tcMar>
                <w:vAlign w:val="center"/>
              </w:tcPr>
              <w:p w14:paraId="66B6D23A" w14:textId="50668F0F" w:rsidR="00EA333F" w:rsidRPr="00ED33EF" w:rsidRDefault="00EA333F" w:rsidP="00EA333F">
                <w:pPr>
                  <w:pStyle w:val="TableIndent3"/>
                  <w:spacing w:before="0" w:after="0"/>
                  <w:ind w:left="0"/>
                  <w:rPr>
                    <w:sz w:val="14"/>
                    <w:szCs w:val="14"/>
                  </w:rPr>
                </w:pPr>
                <w:r w:rsidRPr="0032337D">
                  <w:rPr>
                    <w:rFonts w:cs="Segoe UI"/>
                    <w:b/>
                    <w:sz w:val="14"/>
                    <w:lang w:val="en-GB" w:eastAsia="it-IT"/>
                  </w:rPr>
                  <w:t>31 December 2012</w:t>
                </w:r>
              </w:p>
            </w:tc>
            <w:tc>
              <w:tcPr>
                <w:tcW w:w="620" w:type="pct"/>
                <w:shd w:val="clear" w:color="auto" w:fill="FFFFFF" w:themeFill="background2"/>
                <w:tcMar>
                  <w:top w:w="60" w:type="dxa"/>
                  <w:left w:w="114" w:type="dxa"/>
                  <w:bottom w:w="60" w:type="dxa"/>
                  <w:right w:w="114" w:type="dxa"/>
                </w:tcMar>
                <w:vAlign w:val="center"/>
              </w:tcPr>
              <w:p w14:paraId="0EABE373" w14:textId="226862AD" w:rsidR="00EA333F" w:rsidRPr="00ED33EF" w:rsidRDefault="00EA333F" w:rsidP="00EA333F">
                <w:pPr>
                  <w:pStyle w:val="TableTextLeft"/>
                  <w:spacing w:before="0" w:after="0"/>
                  <w:jc w:val="center"/>
                  <w:rPr>
                    <w:sz w:val="14"/>
                    <w:szCs w:val="14"/>
                  </w:rPr>
                </w:pPr>
                <w:r w:rsidRPr="00EA333F">
                  <w:rPr>
                    <w:sz w:val="14"/>
                    <w:szCs w:val="14"/>
                  </w:rPr>
                  <w:t>10,673</w:t>
                </w:r>
              </w:p>
            </w:tc>
            <w:tc>
              <w:tcPr>
                <w:tcW w:w="620" w:type="pct"/>
                <w:shd w:val="clear" w:color="auto" w:fill="FFFFFF" w:themeFill="background2"/>
                <w:tcMar>
                  <w:top w:w="60" w:type="dxa"/>
                  <w:left w:w="114" w:type="dxa"/>
                  <w:bottom w:w="60" w:type="dxa"/>
                  <w:right w:w="114" w:type="dxa"/>
                </w:tcMar>
                <w:vAlign w:val="center"/>
              </w:tcPr>
              <w:p w14:paraId="73416739" w14:textId="6AA2A09C" w:rsidR="00EA333F" w:rsidRPr="00ED33EF" w:rsidRDefault="00EA333F" w:rsidP="00EA333F">
                <w:pPr>
                  <w:pStyle w:val="TableTextLeft"/>
                  <w:spacing w:before="0" w:after="0"/>
                  <w:jc w:val="center"/>
                  <w:rPr>
                    <w:sz w:val="14"/>
                    <w:szCs w:val="14"/>
                  </w:rPr>
                </w:pPr>
                <w:r w:rsidRPr="00EA333F">
                  <w:rPr>
                    <w:sz w:val="14"/>
                    <w:szCs w:val="14"/>
                  </w:rPr>
                  <w:t>7,722</w:t>
                </w:r>
              </w:p>
            </w:tc>
            <w:tc>
              <w:tcPr>
                <w:tcW w:w="621" w:type="pct"/>
                <w:shd w:val="clear" w:color="auto" w:fill="FFFFFF" w:themeFill="background2"/>
                <w:vAlign w:val="center"/>
              </w:tcPr>
              <w:p w14:paraId="2F21FB9B" w14:textId="044A4785" w:rsidR="00EA333F" w:rsidRPr="00ED33EF" w:rsidRDefault="00EA333F" w:rsidP="00EA333F">
                <w:pPr>
                  <w:pStyle w:val="TableTextLeft"/>
                  <w:spacing w:before="0" w:after="0"/>
                  <w:jc w:val="center"/>
                  <w:rPr>
                    <w:sz w:val="14"/>
                    <w:szCs w:val="14"/>
                  </w:rPr>
                </w:pPr>
                <w:r w:rsidRPr="00EA333F">
                  <w:rPr>
                    <w:sz w:val="14"/>
                    <w:szCs w:val="14"/>
                  </w:rPr>
                  <w:t>2,522</w:t>
                </w:r>
              </w:p>
            </w:tc>
            <w:tc>
              <w:tcPr>
                <w:tcW w:w="621" w:type="pct"/>
                <w:shd w:val="clear" w:color="auto" w:fill="FFFFFF" w:themeFill="background2"/>
                <w:vAlign w:val="center"/>
              </w:tcPr>
              <w:p w14:paraId="45BE3390" w14:textId="7D4666CB" w:rsidR="00EA333F" w:rsidRPr="00ED33EF" w:rsidRDefault="00EA333F" w:rsidP="00EA333F">
                <w:pPr>
                  <w:pStyle w:val="TableTextLeft"/>
                  <w:spacing w:before="0" w:after="0"/>
                  <w:jc w:val="center"/>
                  <w:rPr>
                    <w:sz w:val="14"/>
                    <w:szCs w:val="14"/>
                  </w:rPr>
                </w:pPr>
                <w:r w:rsidRPr="00EA333F">
                  <w:rPr>
                    <w:sz w:val="14"/>
                    <w:szCs w:val="14"/>
                  </w:rPr>
                  <w:t>3,637</w:t>
                </w:r>
              </w:p>
            </w:tc>
            <w:tc>
              <w:tcPr>
                <w:tcW w:w="621" w:type="pct"/>
                <w:shd w:val="clear" w:color="auto" w:fill="FFFFFF" w:themeFill="background2"/>
                <w:vAlign w:val="center"/>
              </w:tcPr>
              <w:p w14:paraId="2CCCF561" w14:textId="58AA10D6"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545</w:t>
                </w:r>
              </w:p>
            </w:tc>
            <w:tc>
              <w:tcPr>
                <w:tcW w:w="621" w:type="pct"/>
                <w:shd w:val="clear" w:color="auto" w:fill="FFFFFF" w:themeFill="background2"/>
                <w:vAlign w:val="center"/>
              </w:tcPr>
              <w:p w14:paraId="4DEE4A74" w14:textId="4419CD5B"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1,671</w:t>
                </w:r>
              </w:p>
            </w:tc>
            <w:tc>
              <w:tcPr>
                <w:tcW w:w="621" w:type="pct"/>
                <w:shd w:val="clear" w:color="auto" w:fill="FFFFFF" w:themeFill="background2"/>
                <w:vAlign w:val="center"/>
              </w:tcPr>
              <w:p w14:paraId="49AB112B" w14:textId="5B1BDB5A"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26,770</w:t>
                </w:r>
              </w:p>
            </w:tc>
          </w:tr>
          <w:tr w:rsidR="00EA333F" w:rsidRPr="00ED33EF" w14:paraId="24C1C4B7" w14:textId="77777777" w:rsidTr="00EA333F">
            <w:trPr>
              <w:trHeight w:val="283"/>
            </w:trPr>
            <w:tc>
              <w:tcPr>
                <w:tcW w:w="655" w:type="pct"/>
                <w:shd w:val="clear" w:color="auto" w:fill="FFFFFF" w:themeFill="background2"/>
                <w:tcMar>
                  <w:top w:w="60" w:type="dxa"/>
                  <w:left w:w="114" w:type="dxa"/>
                  <w:bottom w:w="60" w:type="dxa"/>
                  <w:right w:w="114" w:type="dxa"/>
                </w:tcMar>
                <w:vAlign w:val="center"/>
              </w:tcPr>
              <w:p w14:paraId="15F08B4F" w14:textId="098B0BFE" w:rsidR="00EA333F" w:rsidRPr="00ED33EF" w:rsidRDefault="00EA333F" w:rsidP="00EA333F">
                <w:pPr>
                  <w:pStyle w:val="TableIndent3"/>
                  <w:spacing w:before="0" w:after="0"/>
                  <w:ind w:left="0"/>
                  <w:rPr>
                    <w:sz w:val="14"/>
                    <w:szCs w:val="14"/>
                  </w:rPr>
                </w:pPr>
                <w:r w:rsidRPr="0032337D">
                  <w:rPr>
                    <w:rFonts w:cs="Segoe UI"/>
                    <w:b/>
                    <w:sz w:val="14"/>
                    <w:lang w:val="en-GB" w:eastAsia="it-IT"/>
                  </w:rPr>
                  <w:t>31 December 2013</w:t>
                </w:r>
              </w:p>
            </w:tc>
            <w:tc>
              <w:tcPr>
                <w:tcW w:w="620" w:type="pct"/>
                <w:shd w:val="clear" w:color="auto" w:fill="FFFFFF" w:themeFill="background2"/>
                <w:tcMar>
                  <w:top w:w="60" w:type="dxa"/>
                  <w:left w:w="114" w:type="dxa"/>
                  <w:bottom w:w="60" w:type="dxa"/>
                  <w:right w:w="114" w:type="dxa"/>
                </w:tcMar>
                <w:vAlign w:val="center"/>
              </w:tcPr>
              <w:p w14:paraId="481D22A7" w14:textId="5EAAC069" w:rsidR="00EA333F" w:rsidRPr="00ED33EF" w:rsidRDefault="00EA333F" w:rsidP="00EA333F">
                <w:pPr>
                  <w:pStyle w:val="TableTextLeft"/>
                  <w:spacing w:before="0" w:after="0"/>
                  <w:jc w:val="center"/>
                  <w:rPr>
                    <w:sz w:val="14"/>
                    <w:szCs w:val="14"/>
                  </w:rPr>
                </w:pPr>
                <w:r w:rsidRPr="00EA333F">
                  <w:rPr>
                    <w:sz w:val="14"/>
                    <w:szCs w:val="14"/>
                  </w:rPr>
                  <w:t>11,058</w:t>
                </w:r>
              </w:p>
            </w:tc>
            <w:tc>
              <w:tcPr>
                <w:tcW w:w="620" w:type="pct"/>
                <w:shd w:val="clear" w:color="auto" w:fill="FFFFFF" w:themeFill="background2"/>
                <w:tcMar>
                  <w:top w:w="60" w:type="dxa"/>
                  <w:left w:w="114" w:type="dxa"/>
                  <w:bottom w:w="60" w:type="dxa"/>
                  <w:right w:w="114" w:type="dxa"/>
                </w:tcMar>
                <w:vAlign w:val="center"/>
              </w:tcPr>
              <w:p w14:paraId="20C7290D" w14:textId="56F3912D" w:rsidR="00EA333F" w:rsidRPr="00ED33EF" w:rsidRDefault="00EA333F" w:rsidP="00EA333F">
                <w:pPr>
                  <w:pStyle w:val="TableTextLeft"/>
                  <w:spacing w:before="0" w:after="0"/>
                  <w:jc w:val="center"/>
                  <w:rPr>
                    <w:sz w:val="14"/>
                    <w:szCs w:val="14"/>
                  </w:rPr>
                </w:pPr>
                <w:r w:rsidRPr="00EA333F">
                  <w:rPr>
                    <w:sz w:val="14"/>
                    <w:szCs w:val="14"/>
                  </w:rPr>
                  <w:t>8,046</w:t>
                </w:r>
              </w:p>
            </w:tc>
            <w:tc>
              <w:tcPr>
                <w:tcW w:w="621" w:type="pct"/>
                <w:shd w:val="clear" w:color="auto" w:fill="FFFFFF" w:themeFill="background2"/>
                <w:vAlign w:val="center"/>
              </w:tcPr>
              <w:p w14:paraId="137E9D09" w14:textId="1EE4016F" w:rsidR="00EA333F" w:rsidRPr="00ED33EF" w:rsidRDefault="00EA333F" w:rsidP="00EA333F">
                <w:pPr>
                  <w:pStyle w:val="TableTextLeft"/>
                  <w:spacing w:before="0" w:after="0"/>
                  <w:jc w:val="center"/>
                  <w:rPr>
                    <w:sz w:val="14"/>
                    <w:szCs w:val="14"/>
                  </w:rPr>
                </w:pPr>
                <w:r w:rsidRPr="00EA333F">
                  <w:rPr>
                    <w:sz w:val="14"/>
                    <w:szCs w:val="14"/>
                  </w:rPr>
                  <w:t>2,711</w:t>
                </w:r>
              </w:p>
            </w:tc>
            <w:tc>
              <w:tcPr>
                <w:tcW w:w="621" w:type="pct"/>
                <w:shd w:val="clear" w:color="auto" w:fill="FFFFFF" w:themeFill="background2"/>
                <w:vAlign w:val="center"/>
              </w:tcPr>
              <w:p w14:paraId="7B5B166B" w14:textId="2480D0A8" w:rsidR="00EA333F" w:rsidRPr="00ED33EF" w:rsidRDefault="00EA333F" w:rsidP="00EA333F">
                <w:pPr>
                  <w:pStyle w:val="TableTextLeft"/>
                  <w:spacing w:before="0" w:after="0"/>
                  <w:jc w:val="center"/>
                  <w:rPr>
                    <w:sz w:val="14"/>
                    <w:szCs w:val="14"/>
                  </w:rPr>
                </w:pPr>
                <w:r w:rsidRPr="00EA333F">
                  <w:rPr>
                    <w:sz w:val="14"/>
                    <w:szCs w:val="14"/>
                  </w:rPr>
                  <w:t>4,044</w:t>
                </w:r>
              </w:p>
            </w:tc>
            <w:tc>
              <w:tcPr>
                <w:tcW w:w="621" w:type="pct"/>
                <w:shd w:val="clear" w:color="auto" w:fill="FFFFFF" w:themeFill="background2"/>
                <w:vAlign w:val="center"/>
              </w:tcPr>
              <w:p w14:paraId="7077F0E4" w14:textId="0A575715"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616</w:t>
                </w:r>
              </w:p>
            </w:tc>
            <w:tc>
              <w:tcPr>
                <w:tcW w:w="621" w:type="pct"/>
                <w:shd w:val="clear" w:color="auto" w:fill="FFFFFF" w:themeFill="background2"/>
                <w:vAlign w:val="center"/>
              </w:tcPr>
              <w:p w14:paraId="44615BEE" w14:textId="4DBCF722"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2,795</w:t>
                </w:r>
              </w:p>
            </w:tc>
            <w:tc>
              <w:tcPr>
                <w:tcW w:w="621" w:type="pct"/>
                <w:shd w:val="clear" w:color="auto" w:fill="FFFFFF" w:themeFill="background2"/>
                <w:vAlign w:val="center"/>
              </w:tcPr>
              <w:p w14:paraId="66109219" w14:textId="7182A859"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29,270</w:t>
                </w:r>
              </w:p>
            </w:tc>
          </w:tr>
          <w:tr w:rsidR="00EA333F" w:rsidRPr="00ED33EF" w14:paraId="37EA2C10" w14:textId="77777777" w:rsidTr="00EA333F">
            <w:trPr>
              <w:trHeight w:val="283"/>
            </w:trPr>
            <w:tc>
              <w:tcPr>
                <w:tcW w:w="655" w:type="pct"/>
                <w:shd w:val="clear" w:color="auto" w:fill="FFFFFF" w:themeFill="background2"/>
                <w:tcMar>
                  <w:top w:w="60" w:type="dxa"/>
                  <w:left w:w="114" w:type="dxa"/>
                  <w:bottom w:w="60" w:type="dxa"/>
                  <w:right w:w="114" w:type="dxa"/>
                </w:tcMar>
                <w:vAlign w:val="center"/>
              </w:tcPr>
              <w:p w14:paraId="1005EB10" w14:textId="3657C513" w:rsidR="00EA333F" w:rsidRPr="00ED33EF" w:rsidRDefault="00EA333F" w:rsidP="00EA333F">
                <w:pPr>
                  <w:pStyle w:val="TableIndent3"/>
                  <w:spacing w:before="0" w:after="0"/>
                  <w:ind w:left="0"/>
                  <w:rPr>
                    <w:sz w:val="14"/>
                    <w:szCs w:val="14"/>
                  </w:rPr>
                </w:pPr>
                <w:r w:rsidRPr="0032337D">
                  <w:rPr>
                    <w:rFonts w:cs="Segoe UI"/>
                    <w:b/>
                    <w:sz w:val="14"/>
                    <w:lang w:val="en-GB" w:eastAsia="it-IT"/>
                  </w:rPr>
                  <w:t>31 December 2014</w:t>
                </w:r>
              </w:p>
            </w:tc>
            <w:tc>
              <w:tcPr>
                <w:tcW w:w="620" w:type="pct"/>
                <w:shd w:val="clear" w:color="auto" w:fill="FFFFFF" w:themeFill="background2"/>
                <w:tcMar>
                  <w:top w:w="60" w:type="dxa"/>
                  <w:left w:w="114" w:type="dxa"/>
                  <w:bottom w:w="60" w:type="dxa"/>
                  <w:right w:w="114" w:type="dxa"/>
                </w:tcMar>
                <w:vAlign w:val="center"/>
              </w:tcPr>
              <w:p w14:paraId="4E177537" w14:textId="45FE2E97" w:rsidR="00EA333F" w:rsidRPr="00ED33EF" w:rsidRDefault="00EA333F" w:rsidP="00EA333F">
                <w:pPr>
                  <w:pStyle w:val="TableTextLeft"/>
                  <w:spacing w:before="0" w:after="0"/>
                  <w:jc w:val="center"/>
                  <w:rPr>
                    <w:sz w:val="14"/>
                    <w:szCs w:val="14"/>
                  </w:rPr>
                </w:pPr>
                <w:r w:rsidRPr="00EA333F">
                  <w:rPr>
                    <w:sz w:val="14"/>
                    <w:szCs w:val="14"/>
                  </w:rPr>
                  <w:t>10,567</w:t>
                </w:r>
              </w:p>
            </w:tc>
            <w:tc>
              <w:tcPr>
                <w:tcW w:w="620" w:type="pct"/>
                <w:shd w:val="clear" w:color="auto" w:fill="FFFFFF" w:themeFill="background2"/>
                <w:tcMar>
                  <w:top w:w="60" w:type="dxa"/>
                  <w:left w:w="114" w:type="dxa"/>
                  <w:bottom w:w="60" w:type="dxa"/>
                  <w:right w:w="114" w:type="dxa"/>
                </w:tcMar>
                <w:vAlign w:val="center"/>
              </w:tcPr>
              <w:p w14:paraId="74F8A5DB" w14:textId="2B3E7C5C" w:rsidR="00EA333F" w:rsidRPr="00ED33EF" w:rsidRDefault="00EA333F" w:rsidP="00EA333F">
                <w:pPr>
                  <w:pStyle w:val="TableTextLeft"/>
                  <w:spacing w:before="0" w:after="0"/>
                  <w:jc w:val="center"/>
                  <w:rPr>
                    <w:sz w:val="14"/>
                    <w:szCs w:val="14"/>
                  </w:rPr>
                </w:pPr>
                <w:r w:rsidRPr="00EA333F">
                  <w:rPr>
                    <w:sz w:val="14"/>
                    <w:szCs w:val="14"/>
                  </w:rPr>
                  <w:t>7,191</w:t>
                </w:r>
              </w:p>
            </w:tc>
            <w:tc>
              <w:tcPr>
                <w:tcW w:w="621" w:type="pct"/>
                <w:shd w:val="clear" w:color="auto" w:fill="FFFFFF" w:themeFill="background2"/>
                <w:vAlign w:val="center"/>
              </w:tcPr>
              <w:p w14:paraId="01FFAB76" w14:textId="01E4CB44" w:rsidR="00EA333F" w:rsidRPr="00ED33EF" w:rsidRDefault="00EA333F" w:rsidP="00EA333F">
                <w:pPr>
                  <w:pStyle w:val="TableTextLeft"/>
                  <w:spacing w:before="0" w:after="0"/>
                  <w:jc w:val="center"/>
                  <w:rPr>
                    <w:sz w:val="14"/>
                    <w:szCs w:val="14"/>
                  </w:rPr>
                </w:pPr>
                <w:r w:rsidRPr="00EA333F">
                  <w:rPr>
                    <w:sz w:val="14"/>
                    <w:szCs w:val="14"/>
                  </w:rPr>
                  <w:t>3,110</w:t>
                </w:r>
              </w:p>
            </w:tc>
            <w:tc>
              <w:tcPr>
                <w:tcW w:w="621" w:type="pct"/>
                <w:shd w:val="clear" w:color="auto" w:fill="FFFFFF" w:themeFill="background2"/>
                <w:vAlign w:val="center"/>
              </w:tcPr>
              <w:p w14:paraId="48618CBB" w14:textId="330415CB" w:rsidR="00EA333F" w:rsidRPr="00ED33EF" w:rsidRDefault="00EA333F" w:rsidP="00EA333F">
                <w:pPr>
                  <w:pStyle w:val="TableTextLeft"/>
                  <w:spacing w:before="0" w:after="0"/>
                  <w:jc w:val="center"/>
                  <w:rPr>
                    <w:sz w:val="14"/>
                    <w:szCs w:val="14"/>
                  </w:rPr>
                </w:pPr>
                <w:r w:rsidRPr="00EA333F">
                  <w:rPr>
                    <w:sz w:val="14"/>
                    <w:szCs w:val="14"/>
                  </w:rPr>
                  <w:t>4,832</w:t>
                </w:r>
              </w:p>
            </w:tc>
            <w:tc>
              <w:tcPr>
                <w:tcW w:w="621" w:type="pct"/>
                <w:shd w:val="clear" w:color="auto" w:fill="FFFFFF" w:themeFill="background2"/>
                <w:vAlign w:val="center"/>
              </w:tcPr>
              <w:p w14:paraId="6160CAFC" w14:textId="2056769E"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912</w:t>
                </w:r>
              </w:p>
            </w:tc>
            <w:tc>
              <w:tcPr>
                <w:tcW w:w="621" w:type="pct"/>
                <w:shd w:val="clear" w:color="auto" w:fill="FFFFFF" w:themeFill="background2"/>
                <w:vAlign w:val="center"/>
              </w:tcPr>
              <w:p w14:paraId="5958095A" w14:textId="2437FFEC"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2,796</w:t>
                </w:r>
              </w:p>
            </w:tc>
            <w:tc>
              <w:tcPr>
                <w:tcW w:w="621" w:type="pct"/>
                <w:shd w:val="clear" w:color="auto" w:fill="FFFFFF" w:themeFill="background2"/>
                <w:vAlign w:val="center"/>
              </w:tcPr>
              <w:p w14:paraId="216B9970" w14:textId="2B0E1675"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29,408</w:t>
                </w:r>
              </w:p>
            </w:tc>
          </w:tr>
          <w:tr w:rsidR="00EA333F" w:rsidRPr="00ED33EF" w14:paraId="503082C6" w14:textId="77777777" w:rsidTr="00EA333F">
            <w:trPr>
              <w:trHeight w:val="283"/>
            </w:trPr>
            <w:tc>
              <w:tcPr>
                <w:tcW w:w="655" w:type="pct"/>
                <w:shd w:val="clear" w:color="auto" w:fill="FFFFFF" w:themeFill="background2"/>
                <w:tcMar>
                  <w:top w:w="60" w:type="dxa"/>
                  <w:left w:w="114" w:type="dxa"/>
                  <w:bottom w:w="60" w:type="dxa"/>
                  <w:right w:w="114" w:type="dxa"/>
                </w:tcMar>
                <w:vAlign w:val="center"/>
              </w:tcPr>
              <w:p w14:paraId="352364DB" w14:textId="60302D69" w:rsidR="00EA333F" w:rsidRPr="00ED33EF" w:rsidRDefault="00EA333F" w:rsidP="00EA333F">
                <w:pPr>
                  <w:pStyle w:val="TableIndent3"/>
                  <w:spacing w:before="0" w:after="0"/>
                  <w:ind w:left="0"/>
                  <w:rPr>
                    <w:sz w:val="14"/>
                    <w:szCs w:val="14"/>
                  </w:rPr>
                </w:pPr>
                <w:r w:rsidRPr="0032337D">
                  <w:rPr>
                    <w:rFonts w:cs="Segoe UI"/>
                    <w:b/>
                    <w:sz w:val="14"/>
                    <w:lang w:val="en-GB" w:eastAsia="it-IT"/>
                  </w:rPr>
                  <w:t>31 December 2015</w:t>
                </w:r>
              </w:p>
            </w:tc>
            <w:tc>
              <w:tcPr>
                <w:tcW w:w="620" w:type="pct"/>
                <w:shd w:val="clear" w:color="auto" w:fill="FFFFFF" w:themeFill="background2"/>
                <w:tcMar>
                  <w:top w:w="60" w:type="dxa"/>
                  <w:left w:w="114" w:type="dxa"/>
                  <w:bottom w:w="60" w:type="dxa"/>
                  <w:right w:w="114" w:type="dxa"/>
                </w:tcMar>
                <w:vAlign w:val="center"/>
              </w:tcPr>
              <w:p w14:paraId="29E10445" w14:textId="12C6C6A2" w:rsidR="00EA333F" w:rsidRPr="00ED33EF" w:rsidRDefault="00EA333F" w:rsidP="00EA333F">
                <w:pPr>
                  <w:pStyle w:val="TableTextLeft"/>
                  <w:spacing w:before="0" w:after="0"/>
                  <w:jc w:val="center"/>
                  <w:rPr>
                    <w:sz w:val="14"/>
                    <w:szCs w:val="14"/>
                  </w:rPr>
                </w:pPr>
                <w:r w:rsidRPr="00EA333F">
                  <w:rPr>
                    <w:sz w:val="14"/>
                    <w:szCs w:val="14"/>
                  </w:rPr>
                  <w:t>7,295</w:t>
                </w:r>
              </w:p>
            </w:tc>
            <w:tc>
              <w:tcPr>
                <w:tcW w:w="620" w:type="pct"/>
                <w:shd w:val="clear" w:color="auto" w:fill="FFFFFF" w:themeFill="background2"/>
                <w:tcMar>
                  <w:top w:w="60" w:type="dxa"/>
                  <w:left w:w="114" w:type="dxa"/>
                  <w:bottom w:w="60" w:type="dxa"/>
                  <w:right w:w="114" w:type="dxa"/>
                </w:tcMar>
                <w:vAlign w:val="center"/>
              </w:tcPr>
              <w:p w14:paraId="386D9552" w14:textId="2B3A4354" w:rsidR="00EA333F" w:rsidRPr="00ED33EF" w:rsidRDefault="00EA333F" w:rsidP="00EA333F">
                <w:pPr>
                  <w:pStyle w:val="TableTextLeft"/>
                  <w:spacing w:before="0" w:after="0"/>
                  <w:jc w:val="center"/>
                  <w:rPr>
                    <w:sz w:val="14"/>
                    <w:szCs w:val="14"/>
                  </w:rPr>
                </w:pPr>
                <w:r w:rsidRPr="00EA333F">
                  <w:rPr>
                    <w:sz w:val="14"/>
                    <w:szCs w:val="14"/>
                  </w:rPr>
                  <w:t>4,613</w:t>
                </w:r>
              </w:p>
            </w:tc>
            <w:tc>
              <w:tcPr>
                <w:tcW w:w="621" w:type="pct"/>
                <w:shd w:val="clear" w:color="auto" w:fill="FFFFFF" w:themeFill="background2"/>
                <w:vAlign w:val="center"/>
              </w:tcPr>
              <w:p w14:paraId="5F0644DA" w14:textId="2A8CC6F9" w:rsidR="00EA333F" w:rsidRPr="00ED33EF" w:rsidRDefault="00EA333F" w:rsidP="00EA333F">
                <w:pPr>
                  <w:pStyle w:val="TableTextLeft"/>
                  <w:spacing w:before="0" w:after="0"/>
                  <w:jc w:val="center"/>
                  <w:rPr>
                    <w:sz w:val="14"/>
                    <w:szCs w:val="14"/>
                  </w:rPr>
                </w:pPr>
                <w:r w:rsidRPr="00EA333F">
                  <w:rPr>
                    <w:sz w:val="14"/>
                    <w:szCs w:val="14"/>
                  </w:rPr>
                  <w:t>1,739</w:t>
                </w:r>
              </w:p>
            </w:tc>
            <w:tc>
              <w:tcPr>
                <w:tcW w:w="621" w:type="pct"/>
                <w:shd w:val="clear" w:color="auto" w:fill="FFFFFF" w:themeFill="background2"/>
                <w:vAlign w:val="center"/>
              </w:tcPr>
              <w:p w14:paraId="0E8C45C7" w14:textId="7F4E6CC3" w:rsidR="00EA333F" w:rsidRPr="00ED33EF" w:rsidRDefault="00EA333F" w:rsidP="00EA333F">
                <w:pPr>
                  <w:pStyle w:val="TableTextLeft"/>
                  <w:spacing w:before="0" w:after="0"/>
                  <w:jc w:val="center"/>
                  <w:rPr>
                    <w:sz w:val="14"/>
                    <w:szCs w:val="14"/>
                  </w:rPr>
                </w:pPr>
                <w:r w:rsidRPr="00EA333F">
                  <w:rPr>
                    <w:sz w:val="14"/>
                    <w:szCs w:val="14"/>
                  </w:rPr>
                  <w:t>3,049</w:t>
                </w:r>
              </w:p>
            </w:tc>
            <w:tc>
              <w:tcPr>
                <w:tcW w:w="621" w:type="pct"/>
                <w:shd w:val="clear" w:color="auto" w:fill="FFFFFF" w:themeFill="background2"/>
                <w:vAlign w:val="center"/>
              </w:tcPr>
              <w:p w14:paraId="365D89F5" w14:textId="29A615B7"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662</w:t>
                </w:r>
              </w:p>
            </w:tc>
            <w:tc>
              <w:tcPr>
                <w:tcW w:w="621" w:type="pct"/>
                <w:shd w:val="clear" w:color="auto" w:fill="FFFFFF" w:themeFill="background2"/>
                <w:vAlign w:val="center"/>
              </w:tcPr>
              <w:p w14:paraId="3D824B5A" w14:textId="6A9F3928"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2,356</w:t>
                </w:r>
              </w:p>
            </w:tc>
            <w:tc>
              <w:tcPr>
                <w:tcW w:w="621" w:type="pct"/>
                <w:shd w:val="clear" w:color="auto" w:fill="FFFFFF" w:themeFill="background2"/>
                <w:vAlign w:val="center"/>
              </w:tcPr>
              <w:p w14:paraId="4A91A33F" w14:textId="08AC00B9"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19,714</w:t>
                </w:r>
              </w:p>
            </w:tc>
          </w:tr>
          <w:tr w:rsidR="00EA333F" w:rsidRPr="00ED33EF" w14:paraId="7AFAF43F" w14:textId="77777777" w:rsidTr="00EA333F">
            <w:trPr>
              <w:trHeight w:val="283"/>
            </w:trPr>
            <w:tc>
              <w:tcPr>
                <w:tcW w:w="655" w:type="pct"/>
                <w:shd w:val="clear" w:color="auto" w:fill="FFFFFF" w:themeFill="background2"/>
                <w:tcMar>
                  <w:top w:w="60" w:type="dxa"/>
                  <w:left w:w="114" w:type="dxa"/>
                  <w:bottom w:w="60" w:type="dxa"/>
                  <w:right w:w="114" w:type="dxa"/>
                </w:tcMar>
                <w:vAlign w:val="center"/>
              </w:tcPr>
              <w:p w14:paraId="5FB85B82" w14:textId="334B083C" w:rsidR="00EA333F" w:rsidRPr="00ED33EF" w:rsidRDefault="00EA333F" w:rsidP="00EA333F">
                <w:pPr>
                  <w:pStyle w:val="TableIndent3"/>
                  <w:spacing w:before="0" w:after="0"/>
                  <w:ind w:left="0"/>
                  <w:rPr>
                    <w:sz w:val="14"/>
                    <w:szCs w:val="14"/>
                  </w:rPr>
                </w:pPr>
                <w:r w:rsidRPr="0032337D">
                  <w:rPr>
                    <w:rFonts w:cs="Segoe UI"/>
                    <w:b/>
                    <w:sz w:val="14"/>
                    <w:lang w:val="en-GB" w:eastAsia="it-IT"/>
                  </w:rPr>
                  <w:t>31 December 2016</w:t>
                </w:r>
              </w:p>
            </w:tc>
            <w:tc>
              <w:tcPr>
                <w:tcW w:w="620" w:type="pct"/>
                <w:shd w:val="clear" w:color="auto" w:fill="FFFFFF" w:themeFill="background2"/>
                <w:tcMar>
                  <w:top w:w="60" w:type="dxa"/>
                  <w:left w:w="114" w:type="dxa"/>
                  <w:bottom w:w="60" w:type="dxa"/>
                  <w:right w:w="114" w:type="dxa"/>
                </w:tcMar>
                <w:vAlign w:val="center"/>
              </w:tcPr>
              <w:p w14:paraId="3E9B70A7" w14:textId="41B6E098" w:rsidR="00EA333F" w:rsidRPr="00ED33EF" w:rsidRDefault="00EA333F" w:rsidP="00EA333F">
                <w:pPr>
                  <w:pStyle w:val="TableTextLeft"/>
                  <w:spacing w:before="0" w:after="0"/>
                  <w:jc w:val="center"/>
                  <w:rPr>
                    <w:sz w:val="14"/>
                    <w:szCs w:val="14"/>
                  </w:rPr>
                </w:pPr>
                <w:r w:rsidRPr="00EA333F">
                  <w:rPr>
                    <w:sz w:val="14"/>
                    <w:szCs w:val="14"/>
                  </w:rPr>
                  <w:t>8,759</w:t>
                </w:r>
              </w:p>
            </w:tc>
            <w:tc>
              <w:tcPr>
                <w:tcW w:w="620" w:type="pct"/>
                <w:shd w:val="clear" w:color="auto" w:fill="FFFFFF" w:themeFill="background2"/>
                <w:tcMar>
                  <w:top w:w="60" w:type="dxa"/>
                  <w:left w:w="114" w:type="dxa"/>
                  <w:bottom w:w="60" w:type="dxa"/>
                  <w:right w:w="114" w:type="dxa"/>
                </w:tcMar>
                <w:vAlign w:val="center"/>
              </w:tcPr>
              <w:p w14:paraId="6C3D9C1E" w14:textId="7D1BAB46" w:rsidR="00EA333F" w:rsidRPr="00ED33EF" w:rsidRDefault="00EA333F" w:rsidP="00EA333F">
                <w:pPr>
                  <w:pStyle w:val="TableTextLeft"/>
                  <w:spacing w:before="0" w:after="0"/>
                  <w:jc w:val="center"/>
                  <w:rPr>
                    <w:sz w:val="14"/>
                    <w:szCs w:val="14"/>
                  </w:rPr>
                </w:pPr>
                <w:r w:rsidRPr="00EA333F">
                  <w:rPr>
                    <w:sz w:val="14"/>
                    <w:szCs w:val="14"/>
                  </w:rPr>
                  <w:t>5,819</w:t>
                </w:r>
              </w:p>
            </w:tc>
            <w:tc>
              <w:tcPr>
                <w:tcW w:w="621" w:type="pct"/>
                <w:shd w:val="clear" w:color="auto" w:fill="FFFFFF" w:themeFill="background2"/>
                <w:vAlign w:val="center"/>
              </w:tcPr>
              <w:p w14:paraId="129B28DB" w14:textId="2A0BDD6E" w:rsidR="00EA333F" w:rsidRPr="00ED33EF" w:rsidRDefault="00EA333F" w:rsidP="00EA333F">
                <w:pPr>
                  <w:pStyle w:val="TableTextLeft"/>
                  <w:spacing w:before="0" w:after="0"/>
                  <w:jc w:val="center"/>
                  <w:rPr>
                    <w:sz w:val="14"/>
                    <w:szCs w:val="14"/>
                  </w:rPr>
                </w:pPr>
                <w:r w:rsidRPr="00EA333F">
                  <w:rPr>
                    <w:sz w:val="14"/>
                    <w:szCs w:val="14"/>
                  </w:rPr>
                  <w:t>2,338</w:t>
                </w:r>
              </w:p>
            </w:tc>
            <w:tc>
              <w:tcPr>
                <w:tcW w:w="621" w:type="pct"/>
                <w:shd w:val="clear" w:color="auto" w:fill="FFFFFF" w:themeFill="background2"/>
                <w:vAlign w:val="center"/>
              </w:tcPr>
              <w:p w14:paraId="657B1A12" w14:textId="76BD1DB8" w:rsidR="00EA333F" w:rsidRPr="00ED33EF" w:rsidRDefault="00EA333F" w:rsidP="00EA333F">
                <w:pPr>
                  <w:pStyle w:val="TableTextLeft"/>
                  <w:spacing w:before="0" w:after="0"/>
                  <w:jc w:val="center"/>
                  <w:rPr>
                    <w:sz w:val="14"/>
                    <w:szCs w:val="14"/>
                  </w:rPr>
                </w:pPr>
                <w:r w:rsidRPr="00EA333F">
                  <w:rPr>
                    <w:sz w:val="14"/>
                    <w:szCs w:val="14"/>
                  </w:rPr>
                  <w:t>4,642</w:t>
                </w:r>
              </w:p>
            </w:tc>
            <w:tc>
              <w:tcPr>
                <w:tcW w:w="621" w:type="pct"/>
                <w:shd w:val="clear" w:color="auto" w:fill="FFFFFF" w:themeFill="background2"/>
                <w:vAlign w:val="center"/>
              </w:tcPr>
              <w:p w14:paraId="3EA40D70" w14:textId="7C0C984F"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768</w:t>
                </w:r>
              </w:p>
            </w:tc>
            <w:tc>
              <w:tcPr>
                <w:tcW w:w="621" w:type="pct"/>
                <w:shd w:val="clear" w:color="auto" w:fill="FFFFFF" w:themeFill="background2"/>
                <w:vAlign w:val="center"/>
              </w:tcPr>
              <w:p w14:paraId="36A466EB" w14:textId="3EA413C4"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2,960</w:t>
                </w:r>
              </w:p>
            </w:tc>
            <w:tc>
              <w:tcPr>
                <w:tcW w:w="621" w:type="pct"/>
                <w:shd w:val="clear" w:color="auto" w:fill="FFFFFF" w:themeFill="background2"/>
                <w:vAlign w:val="center"/>
              </w:tcPr>
              <w:p w14:paraId="5C0D080E" w14:textId="385F5E14"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25,286</w:t>
                </w:r>
              </w:p>
            </w:tc>
          </w:tr>
          <w:tr w:rsidR="00EA333F" w:rsidRPr="00ED33EF" w14:paraId="23B74AB7" w14:textId="77777777" w:rsidTr="00EA333F">
            <w:trPr>
              <w:trHeight w:val="283"/>
            </w:trPr>
            <w:tc>
              <w:tcPr>
                <w:tcW w:w="655" w:type="pct"/>
                <w:shd w:val="clear" w:color="auto" w:fill="FFFFFF" w:themeFill="background2"/>
                <w:tcMar>
                  <w:top w:w="60" w:type="dxa"/>
                  <w:left w:w="114" w:type="dxa"/>
                  <w:bottom w:w="60" w:type="dxa"/>
                  <w:right w:w="114" w:type="dxa"/>
                </w:tcMar>
                <w:vAlign w:val="center"/>
              </w:tcPr>
              <w:p w14:paraId="65742745" w14:textId="6087BFA2" w:rsidR="00EA333F" w:rsidRPr="00ED33EF" w:rsidRDefault="00EA333F" w:rsidP="00EA333F">
                <w:pPr>
                  <w:pStyle w:val="TableIndent3"/>
                  <w:spacing w:before="0" w:after="0"/>
                  <w:ind w:left="0"/>
                  <w:rPr>
                    <w:sz w:val="14"/>
                    <w:szCs w:val="14"/>
                  </w:rPr>
                </w:pPr>
                <w:r w:rsidRPr="0032337D">
                  <w:rPr>
                    <w:rFonts w:cs="Segoe UI"/>
                    <w:b/>
                    <w:sz w:val="14"/>
                    <w:lang w:val="en-GB" w:eastAsia="it-IT"/>
                  </w:rPr>
                  <w:lastRenderedPageBreak/>
                  <w:t>31 December 2017</w:t>
                </w:r>
              </w:p>
            </w:tc>
            <w:tc>
              <w:tcPr>
                <w:tcW w:w="620" w:type="pct"/>
                <w:shd w:val="clear" w:color="auto" w:fill="FFFFFF" w:themeFill="background2"/>
                <w:tcMar>
                  <w:top w:w="60" w:type="dxa"/>
                  <w:left w:w="114" w:type="dxa"/>
                  <w:bottom w:w="60" w:type="dxa"/>
                  <w:right w:w="114" w:type="dxa"/>
                </w:tcMar>
                <w:vAlign w:val="center"/>
              </w:tcPr>
              <w:p w14:paraId="34137F46" w14:textId="16B16799" w:rsidR="00EA333F" w:rsidRPr="00ED33EF" w:rsidRDefault="00EA333F" w:rsidP="00EA333F">
                <w:pPr>
                  <w:pStyle w:val="TableTextLeft"/>
                  <w:spacing w:before="0" w:after="0"/>
                  <w:jc w:val="center"/>
                  <w:rPr>
                    <w:sz w:val="14"/>
                    <w:szCs w:val="14"/>
                  </w:rPr>
                </w:pPr>
                <w:r w:rsidRPr="00EA333F">
                  <w:rPr>
                    <w:sz w:val="14"/>
                    <w:szCs w:val="14"/>
                  </w:rPr>
                  <w:t>8,727</w:t>
                </w:r>
              </w:p>
            </w:tc>
            <w:tc>
              <w:tcPr>
                <w:tcW w:w="620" w:type="pct"/>
                <w:shd w:val="clear" w:color="auto" w:fill="FFFFFF" w:themeFill="background2"/>
                <w:tcMar>
                  <w:top w:w="60" w:type="dxa"/>
                  <w:left w:w="114" w:type="dxa"/>
                  <w:bottom w:w="60" w:type="dxa"/>
                  <w:right w:w="114" w:type="dxa"/>
                </w:tcMar>
                <w:vAlign w:val="center"/>
              </w:tcPr>
              <w:p w14:paraId="6B0667E9" w14:textId="63A313F9" w:rsidR="00EA333F" w:rsidRPr="00ED33EF" w:rsidRDefault="00EA333F" w:rsidP="00EA333F">
                <w:pPr>
                  <w:pStyle w:val="TableTextLeft"/>
                  <w:spacing w:before="0" w:after="0"/>
                  <w:jc w:val="center"/>
                  <w:rPr>
                    <w:sz w:val="14"/>
                    <w:szCs w:val="14"/>
                  </w:rPr>
                </w:pPr>
                <w:r w:rsidRPr="00EA333F">
                  <w:rPr>
                    <w:sz w:val="14"/>
                    <w:szCs w:val="14"/>
                  </w:rPr>
                  <w:t>5,781</w:t>
                </w:r>
              </w:p>
            </w:tc>
            <w:tc>
              <w:tcPr>
                <w:tcW w:w="621" w:type="pct"/>
                <w:shd w:val="clear" w:color="auto" w:fill="FFFFFF" w:themeFill="background2"/>
                <w:vAlign w:val="center"/>
              </w:tcPr>
              <w:p w14:paraId="6FCD3A6C" w14:textId="3F899526" w:rsidR="00EA333F" w:rsidRPr="00ED33EF" w:rsidRDefault="00EA333F" w:rsidP="00EA333F">
                <w:pPr>
                  <w:pStyle w:val="TableTextLeft"/>
                  <w:spacing w:before="0" w:after="0"/>
                  <w:jc w:val="center"/>
                  <w:rPr>
                    <w:sz w:val="14"/>
                    <w:szCs w:val="14"/>
                  </w:rPr>
                </w:pPr>
                <w:r w:rsidRPr="00EA333F">
                  <w:rPr>
                    <w:sz w:val="14"/>
                    <w:szCs w:val="14"/>
                  </w:rPr>
                  <w:t>2,304</w:t>
                </w:r>
              </w:p>
            </w:tc>
            <w:tc>
              <w:tcPr>
                <w:tcW w:w="621" w:type="pct"/>
                <w:shd w:val="clear" w:color="auto" w:fill="FFFFFF" w:themeFill="background2"/>
                <w:vAlign w:val="center"/>
              </w:tcPr>
              <w:p w14:paraId="2F4726EA" w14:textId="4FA85FDA" w:rsidR="00EA333F" w:rsidRPr="00ED33EF" w:rsidRDefault="00EA333F" w:rsidP="00EA333F">
                <w:pPr>
                  <w:pStyle w:val="TableTextLeft"/>
                  <w:spacing w:before="0" w:after="0"/>
                  <w:jc w:val="center"/>
                  <w:rPr>
                    <w:sz w:val="14"/>
                    <w:szCs w:val="14"/>
                  </w:rPr>
                </w:pPr>
                <w:r w:rsidRPr="00EA333F">
                  <w:rPr>
                    <w:sz w:val="14"/>
                    <w:szCs w:val="14"/>
                  </w:rPr>
                  <w:t>4,307</w:t>
                </w:r>
              </w:p>
            </w:tc>
            <w:tc>
              <w:tcPr>
                <w:tcW w:w="621" w:type="pct"/>
                <w:shd w:val="clear" w:color="auto" w:fill="FFFFFF" w:themeFill="background2"/>
                <w:vAlign w:val="center"/>
              </w:tcPr>
              <w:p w14:paraId="57ACA537" w14:textId="78BBFB24"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698</w:t>
                </w:r>
              </w:p>
            </w:tc>
            <w:tc>
              <w:tcPr>
                <w:tcW w:w="621" w:type="pct"/>
                <w:shd w:val="clear" w:color="auto" w:fill="FFFFFF" w:themeFill="background2"/>
                <w:vAlign w:val="center"/>
              </w:tcPr>
              <w:p w14:paraId="154B1064" w14:textId="05F3112A"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2,852</w:t>
                </w:r>
              </w:p>
            </w:tc>
            <w:tc>
              <w:tcPr>
                <w:tcW w:w="621" w:type="pct"/>
                <w:shd w:val="clear" w:color="auto" w:fill="FFFFFF" w:themeFill="background2"/>
                <w:vAlign w:val="center"/>
              </w:tcPr>
              <w:p w14:paraId="7BC084E5" w14:textId="10B88204"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24,669</w:t>
                </w:r>
              </w:p>
            </w:tc>
          </w:tr>
          <w:tr w:rsidR="00EA333F" w:rsidRPr="00ED33EF" w14:paraId="2B84BAC9" w14:textId="77777777" w:rsidTr="00EA333F">
            <w:trPr>
              <w:trHeight w:val="283"/>
            </w:trPr>
            <w:tc>
              <w:tcPr>
                <w:tcW w:w="655" w:type="pct"/>
                <w:shd w:val="clear" w:color="auto" w:fill="FFFFFF" w:themeFill="background2"/>
                <w:tcMar>
                  <w:top w:w="60" w:type="dxa"/>
                  <w:left w:w="114" w:type="dxa"/>
                  <w:bottom w:w="60" w:type="dxa"/>
                  <w:right w:w="114" w:type="dxa"/>
                </w:tcMar>
                <w:vAlign w:val="center"/>
              </w:tcPr>
              <w:p w14:paraId="73228445" w14:textId="52CFA1E3" w:rsidR="00EA333F" w:rsidRPr="00ED33EF" w:rsidRDefault="00EA333F" w:rsidP="00EA333F">
                <w:pPr>
                  <w:pStyle w:val="TableIndent3"/>
                  <w:spacing w:before="0" w:after="0"/>
                  <w:ind w:left="0"/>
                  <w:rPr>
                    <w:sz w:val="14"/>
                    <w:szCs w:val="14"/>
                  </w:rPr>
                </w:pPr>
                <w:r w:rsidRPr="0032337D">
                  <w:rPr>
                    <w:rFonts w:cs="Segoe UI"/>
                    <w:b/>
                    <w:sz w:val="14"/>
                    <w:lang w:val="en-GB" w:eastAsia="it-IT"/>
                  </w:rPr>
                  <w:t>31 December 2018</w:t>
                </w:r>
              </w:p>
            </w:tc>
            <w:tc>
              <w:tcPr>
                <w:tcW w:w="620" w:type="pct"/>
                <w:shd w:val="clear" w:color="auto" w:fill="FFFFFF" w:themeFill="background2"/>
                <w:tcMar>
                  <w:top w:w="60" w:type="dxa"/>
                  <w:left w:w="114" w:type="dxa"/>
                  <w:bottom w:w="60" w:type="dxa"/>
                  <w:right w:w="114" w:type="dxa"/>
                </w:tcMar>
                <w:vAlign w:val="center"/>
              </w:tcPr>
              <w:p w14:paraId="0E3948CD" w14:textId="402ABE5D" w:rsidR="00EA333F" w:rsidRPr="00ED33EF" w:rsidRDefault="00EA333F" w:rsidP="00EA333F">
                <w:pPr>
                  <w:pStyle w:val="TableTextLeft"/>
                  <w:spacing w:before="0" w:after="0"/>
                  <w:jc w:val="center"/>
                  <w:rPr>
                    <w:sz w:val="14"/>
                    <w:szCs w:val="14"/>
                  </w:rPr>
                </w:pPr>
                <w:r w:rsidRPr="00EA333F">
                  <w:rPr>
                    <w:sz w:val="14"/>
                    <w:szCs w:val="14"/>
                  </w:rPr>
                  <w:t>9,429</w:t>
                </w:r>
              </w:p>
            </w:tc>
            <w:tc>
              <w:tcPr>
                <w:tcW w:w="620" w:type="pct"/>
                <w:shd w:val="clear" w:color="auto" w:fill="FFFFFF" w:themeFill="background2"/>
                <w:tcMar>
                  <w:top w:w="60" w:type="dxa"/>
                  <w:left w:w="114" w:type="dxa"/>
                  <w:bottom w:w="60" w:type="dxa"/>
                  <w:right w:w="114" w:type="dxa"/>
                </w:tcMar>
                <w:vAlign w:val="center"/>
              </w:tcPr>
              <w:p w14:paraId="46AA8C28" w14:textId="20C450B4" w:rsidR="00EA333F" w:rsidRPr="00ED33EF" w:rsidRDefault="00EA333F" w:rsidP="00EA333F">
                <w:pPr>
                  <w:pStyle w:val="TableTextLeft"/>
                  <w:spacing w:before="0" w:after="0"/>
                  <w:jc w:val="center"/>
                  <w:rPr>
                    <w:sz w:val="14"/>
                    <w:szCs w:val="14"/>
                  </w:rPr>
                </w:pPr>
                <w:r w:rsidRPr="00EA333F">
                  <w:rPr>
                    <w:sz w:val="14"/>
                    <w:szCs w:val="14"/>
                  </w:rPr>
                  <w:t>6,081</w:t>
                </w:r>
              </w:p>
            </w:tc>
            <w:tc>
              <w:tcPr>
                <w:tcW w:w="621" w:type="pct"/>
                <w:shd w:val="clear" w:color="auto" w:fill="FFFFFF" w:themeFill="background2"/>
                <w:vAlign w:val="center"/>
              </w:tcPr>
              <w:p w14:paraId="17CFB067" w14:textId="36ED6FD4" w:rsidR="00EA333F" w:rsidRPr="00ED33EF" w:rsidRDefault="00EA333F" w:rsidP="00EA333F">
                <w:pPr>
                  <w:pStyle w:val="TableTextLeft"/>
                  <w:spacing w:before="0" w:after="0"/>
                  <w:jc w:val="center"/>
                  <w:rPr>
                    <w:sz w:val="14"/>
                    <w:szCs w:val="14"/>
                  </w:rPr>
                </w:pPr>
                <w:r w:rsidRPr="00EA333F">
                  <w:rPr>
                    <w:sz w:val="14"/>
                    <w:szCs w:val="14"/>
                  </w:rPr>
                  <w:t>1,886</w:t>
                </w:r>
              </w:p>
            </w:tc>
            <w:tc>
              <w:tcPr>
                <w:tcW w:w="621" w:type="pct"/>
                <w:shd w:val="clear" w:color="auto" w:fill="FFFFFF" w:themeFill="background2"/>
                <w:vAlign w:val="center"/>
              </w:tcPr>
              <w:p w14:paraId="15AF190A" w14:textId="541128EE" w:rsidR="00EA333F" w:rsidRPr="00ED33EF" w:rsidRDefault="00EA333F" w:rsidP="00EA333F">
                <w:pPr>
                  <w:pStyle w:val="TableTextLeft"/>
                  <w:spacing w:before="0" w:after="0"/>
                  <w:jc w:val="center"/>
                  <w:rPr>
                    <w:sz w:val="14"/>
                    <w:szCs w:val="14"/>
                  </w:rPr>
                </w:pPr>
                <w:r w:rsidRPr="00EA333F">
                  <w:rPr>
                    <w:sz w:val="14"/>
                    <w:szCs w:val="14"/>
                  </w:rPr>
                  <w:t>4,217</w:t>
                </w:r>
              </w:p>
            </w:tc>
            <w:tc>
              <w:tcPr>
                <w:tcW w:w="621" w:type="pct"/>
                <w:shd w:val="clear" w:color="auto" w:fill="FFFFFF" w:themeFill="background2"/>
                <w:vAlign w:val="center"/>
              </w:tcPr>
              <w:p w14:paraId="79606241" w14:textId="36393626"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571</w:t>
                </w:r>
              </w:p>
            </w:tc>
            <w:tc>
              <w:tcPr>
                <w:tcW w:w="621" w:type="pct"/>
                <w:shd w:val="clear" w:color="auto" w:fill="FFFFFF" w:themeFill="background2"/>
                <w:vAlign w:val="center"/>
              </w:tcPr>
              <w:p w14:paraId="01A65EB7" w14:textId="4C41C59F"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2,531</w:t>
                </w:r>
              </w:p>
            </w:tc>
            <w:tc>
              <w:tcPr>
                <w:tcW w:w="621" w:type="pct"/>
                <w:shd w:val="clear" w:color="auto" w:fill="FFFFFF" w:themeFill="background2"/>
                <w:vAlign w:val="center"/>
              </w:tcPr>
              <w:p w14:paraId="668C32C6" w14:textId="5167950F"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24,715</w:t>
                </w:r>
              </w:p>
            </w:tc>
          </w:tr>
          <w:tr w:rsidR="00EA333F" w:rsidRPr="00ED33EF" w14:paraId="5E9DF2D9" w14:textId="77777777" w:rsidTr="00EA333F">
            <w:trPr>
              <w:trHeight w:val="283"/>
            </w:trPr>
            <w:tc>
              <w:tcPr>
                <w:tcW w:w="655" w:type="pct"/>
                <w:shd w:val="clear" w:color="auto" w:fill="FFFFFF" w:themeFill="background2"/>
                <w:tcMar>
                  <w:top w:w="60" w:type="dxa"/>
                  <w:left w:w="114" w:type="dxa"/>
                  <w:bottom w:w="60" w:type="dxa"/>
                  <w:right w:w="114" w:type="dxa"/>
                </w:tcMar>
                <w:vAlign w:val="center"/>
              </w:tcPr>
              <w:p w14:paraId="1B37E0E6" w14:textId="02825ADC" w:rsidR="00EA333F" w:rsidRPr="00ED33EF" w:rsidRDefault="00EA333F" w:rsidP="00EA333F">
                <w:pPr>
                  <w:pStyle w:val="TableIndent3"/>
                  <w:spacing w:before="0" w:after="0"/>
                  <w:ind w:left="0"/>
                  <w:rPr>
                    <w:sz w:val="14"/>
                    <w:szCs w:val="14"/>
                  </w:rPr>
                </w:pPr>
                <w:r w:rsidRPr="0032337D">
                  <w:rPr>
                    <w:rFonts w:cs="Segoe UI"/>
                    <w:b/>
                    <w:sz w:val="14"/>
                    <w:lang w:val="en-GB" w:eastAsia="it-IT"/>
                  </w:rPr>
                  <w:t>31 December 2019</w:t>
                </w:r>
              </w:p>
            </w:tc>
            <w:tc>
              <w:tcPr>
                <w:tcW w:w="620" w:type="pct"/>
                <w:shd w:val="clear" w:color="auto" w:fill="FFFFFF" w:themeFill="background2"/>
                <w:tcMar>
                  <w:top w:w="60" w:type="dxa"/>
                  <w:left w:w="114" w:type="dxa"/>
                  <w:bottom w:w="60" w:type="dxa"/>
                  <w:right w:w="114" w:type="dxa"/>
                </w:tcMar>
                <w:vAlign w:val="center"/>
              </w:tcPr>
              <w:p w14:paraId="49BB9226" w14:textId="3AA4E5CF" w:rsidR="00EA333F" w:rsidRPr="00ED33EF" w:rsidRDefault="00EA333F" w:rsidP="00EA333F">
                <w:pPr>
                  <w:pStyle w:val="TableTextLeft"/>
                  <w:spacing w:before="0" w:after="0"/>
                  <w:jc w:val="center"/>
                  <w:rPr>
                    <w:sz w:val="14"/>
                    <w:szCs w:val="14"/>
                  </w:rPr>
                </w:pPr>
                <w:r w:rsidRPr="00EA333F">
                  <w:rPr>
                    <w:sz w:val="14"/>
                    <w:szCs w:val="14"/>
                  </w:rPr>
                  <w:t>10,304</w:t>
                </w:r>
              </w:p>
            </w:tc>
            <w:tc>
              <w:tcPr>
                <w:tcW w:w="620" w:type="pct"/>
                <w:shd w:val="clear" w:color="auto" w:fill="FFFFFF" w:themeFill="background2"/>
                <w:tcMar>
                  <w:top w:w="60" w:type="dxa"/>
                  <w:left w:w="114" w:type="dxa"/>
                  <w:bottom w:w="60" w:type="dxa"/>
                  <w:right w:w="114" w:type="dxa"/>
                </w:tcMar>
                <w:vAlign w:val="center"/>
              </w:tcPr>
              <w:p w14:paraId="3BE2974B" w14:textId="1CCCED68" w:rsidR="00EA333F" w:rsidRPr="00ED33EF" w:rsidRDefault="00EA333F" w:rsidP="00EA333F">
                <w:pPr>
                  <w:pStyle w:val="TableTextLeft"/>
                  <w:spacing w:before="0" w:after="0"/>
                  <w:jc w:val="center"/>
                  <w:rPr>
                    <w:sz w:val="14"/>
                    <w:szCs w:val="14"/>
                  </w:rPr>
                </w:pPr>
                <w:r w:rsidRPr="00EA333F">
                  <w:rPr>
                    <w:sz w:val="14"/>
                    <w:szCs w:val="14"/>
                  </w:rPr>
                  <w:t>6,369</w:t>
                </w:r>
              </w:p>
            </w:tc>
            <w:tc>
              <w:tcPr>
                <w:tcW w:w="621" w:type="pct"/>
                <w:shd w:val="clear" w:color="auto" w:fill="FFFFFF" w:themeFill="background2"/>
                <w:vAlign w:val="center"/>
              </w:tcPr>
              <w:p w14:paraId="7ED2E9C4" w14:textId="65A186A6" w:rsidR="00EA333F" w:rsidRPr="00ED33EF" w:rsidRDefault="00EA333F" w:rsidP="00EA333F">
                <w:pPr>
                  <w:pStyle w:val="TableTextLeft"/>
                  <w:spacing w:before="0" w:after="0"/>
                  <w:jc w:val="center"/>
                  <w:rPr>
                    <w:sz w:val="14"/>
                    <w:szCs w:val="14"/>
                  </w:rPr>
                </w:pPr>
                <w:r w:rsidRPr="00EA333F">
                  <w:rPr>
                    <w:sz w:val="14"/>
                    <w:szCs w:val="14"/>
                  </w:rPr>
                  <w:t>2,077</w:t>
                </w:r>
              </w:p>
            </w:tc>
            <w:tc>
              <w:tcPr>
                <w:tcW w:w="621" w:type="pct"/>
                <w:shd w:val="clear" w:color="auto" w:fill="FFFFFF" w:themeFill="background2"/>
                <w:vAlign w:val="center"/>
              </w:tcPr>
              <w:p w14:paraId="7C5EF604" w14:textId="1C86E70A" w:rsidR="00EA333F" w:rsidRPr="00ED33EF" w:rsidRDefault="00EA333F" w:rsidP="00EA333F">
                <w:pPr>
                  <w:pStyle w:val="TableTextLeft"/>
                  <w:spacing w:before="0" w:after="0"/>
                  <w:jc w:val="center"/>
                  <w:rPr>
                    <w:sz w:val="14"/>
                    <w:szCs w:val="14"/>
                  </w:rPr>
                </w:pPr>
                <w:r w:rsidRPr="00EA333F">
                  <w:rPr>
                    <w:sz w:val="14"/>
                    <w:szCs w:val="14"/>
                  </w:rPr>
                  <w:t>4,618</w:t>
                </w:r>
              </w:p>
            </w:tc>
            <w:tc>
              <w:tcPr>
                <w:tcW w:w="621" w:type="pct"/>
                <w:shd w:val="clear" w:color="auto" w:fill="FFFFFF" w:themeFill="background2"/>
                <w:vAlign w:val="center"/>
              </w:tcPr>
              <w:p w14:paraId="6210F45B" w14:textId="64B49926"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714</w:t>
                </w:r>
              </w:p>
            </w:tc>
            <w:tc>
              <w:tcPr>
                <w:tcW w:w="621" w:type="pct"/>
                <w:shd w:val="clear" w:color="auto" w:fill="FFFFFF" w:themeFill="background2"/>
                <w:vAlign w:val="center"/>
              </w:tcPr>
              <w:p w14:paraId="3F7B3F78" w14:textId="44BFEC81"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3,106</w:t>
                </w:r>
              </w:p>
            </w:tc>
            <w:tc>
              <w:tcPr>
                <w:tcW w:w="621" w:type="pct"/>
                <w:shd w:val="clear" w:color="auto" w:fill="FFFFFF" w:themeFill="background2"/>
                <w:vAlign w:val="center"/>
              </w:tcPr>
              <w:p w14:paraId="763EB475" w14:textId="7A206983"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27,188</w:t>
                </w:r>
              </w:p>
            </w:tc>
          </w:tr>
          <w:tr w:rsidR="00EA333F" w:rsidRPr="00ED33EF" w14:paraId="3D00F994" w14:textId="77777777" w:rsidTr="00EA333F">
            <w:trPr>
              <w:trHeight w:val="283"/>
            </w:trPr>
            <w:tc>
              <w:tcPr>
                <w:tcW w:w="655" w:type="pct"/>
                <w:shd w:val="clear" w:color="auto" w:fill="FFFFFF" w:themeFill="background2"/>
                <w:tcMar>
                  <w:top w:w="60" w:type="dxa"/>
                  <w:left w:w="114" w:type="dxa"/>
                  <w:bottom w:w="60" w:type="dxa"/>
                  <w:right w:w="114" w:type="dxa"/>
                </w:tcMar>
                <w:vAlign w:val="center"/>
              </w:tcPr>
              <w:p w14:paraId="2CA47FEE" w14:textId="5DE451C8" w:rsidR="00EA333F" w:rsidRPr="00ED33EF" w:rsidRDefault="00EA333F" w:rsidP="00EA333F">
                <w:pPr>
                  <w:pStyle w:val="TableIndent3"/>
                  <w:spacing w:before="0" w:after="0"/>
                  <w:ind w:left="0"/>
                  <w:rPr>
                    <w:sz w:val="14"/>
                    <w:szCs w:val="14"/>
                  </w:rPr>
                </w:pPr>
                <w:r w:rsidRPr="0032337D">
                  <w:rPr>
                    <w:rFonts w:cs="Segoe UI"/>
                    <w:b/>
                    <w:sz w:val="14"/>
                    <w:lang w:val="en-GB" w:eastAsia="it-IT"/>
                  </w:rPr>
                  <w:t>31 December 20</w:t>
                </w:r>
                <w:r>
                  <w:rPr>
                    <w:rFonts w:cs="Segoe UI"/>
                    <w:b/>
                    <w:sz w:val="14"/>
                    <w:lang w:val="en-GB" w:eastAsia="it-IT"/>
                  </w:rPr>
                  <w:t>20</w:t>
                </w:r>
              </w:p>
            </w:tc>
            <w:tc>
              <w:tcPr>
                <w:tcW w:w="620" w:type="pct"/>
                <w:shd w:val="clear" w:color="auto" w:fill="FFFFFF" w:themeFill="background2"/>
                <w:tcMar>
                  <w:top w:w="60" w:type="dxa"/>
                  <w:left w:w="114" w:type="dxa"/>
                  <w:bottom w:w="60" w:type="dxa"/>
                  <w:right w:w="114" w:type="dxa"/>
                </w:tcMar>
                <w:vAlign w:val="center"/>
              </w:tcPr>
              <w:p w14:paraId="3DCCA6B3" w14:textId="73B58494" w:rsidR="00EA333F" w:rsidRPr="00ED33EF" w:rsidRDefault="00EA333F" w:rsidP="00EA333F">
                <w:pPr>
                  <w:pStyle w:val="TableTextLeft"/>
                  <w:spacing w:before="0" w:after="0"/>
                  <w:jc w:val="center"/>
                  <w:rPr>
                    <w:sz w:val="14"/>
                    <w:szCs w:val="14"/>
                  </w:rPr>
                </w:pPr>
                <w:r w:rsidRPr="00EA333F">
                  <w:rPr>
                    <w:sz w:val="14"/>
                    <w:szCs w:val="14"/>
                  </w:rPr>
                  <w:t>10,185</w:t>
                </w:r>
              </w:p>
            </w:tc>
            <w:tc>
              <w:tcPr>
                <w:tcW w:w="620" w:type="pct"/>
                <w:shd w:val="clear" w:color="auto" w:fill="FFFFFF" w:themeFill="background2"/>
                <w:tcMar>
                  <w:top w:w="60" w:type="dxa"/>
                  <w:left w:w="114" w:type="dxa"/>
                  <w:bottom w:w="60" w:type="dxa"/>
                  <w:right w:w="114" w:type="dxa"/>
                </w:tcMar>
                <w:vAlign w:val="center"/>
              </w:tcPr>
              <w:p w14:paraId="6F2407AD" w14:textId="07AE581F" w:rsidR="00EA333F" w:rsidRPr="00ED33EF" w:rsidRDefault="00EA333F" w:rsidP="00EA333F">
                <w:pPr>
                  <w:pStyle w:val="TableTextLeft"/>
                  <w:spacing w:before="0" w:after="0"/>
                  <w:jc w:val="center"/>
                  <w:rPr>
                    <w:sz w:val="14"/>
                    <w:szCs w:val="14"/>
                  </w:rPr>
                </w:pPr>
                <w:r w:rsidRPr="00EA333F">
                  <w:rPr>
                    <w:sz w:val="14"/>
                    <w:szCs w:val="14"/>
                  </w:rPr>
                  <w:t>5,698</w:t>
                </w:r>
              </w:p>
            </w:tc>
            <w:tc>
              <w:tcPr>
                <w:tcW w:w="621" w:type="pct"/>
                <w:shd w:val="clear" w:color="auto" w:fill="FFFFFF" w:themeFill="background2"/>
                <w:vAlign w:val="center"/>
              </w:tcPr>
              <w:p w14:paraId="54477234" w14:textId="6CF93675" w:rsidR="00EA333F" w:rsidRPr="00ED33EF" w:rsidRDefault="00EA333F" w:rsidP="00EA333F">
                <w:pPr>
                  <w:pStyle w:val="TableTextLeft"/>
                  <w:spacing w:before="0" w:after="0"/>
                  <w:jc w:val="center"/>
                  <w:rPr>
                    <w:sz w:val="14"/>
                    <w:szCs w:val="14"/>
                  </w:rPr>
                </w:pPr>
                <w:r w:rsidRPr="00EA333F">
                  <w:rPr>
                    <w:sz w:val="14"/>
                    <w:szCs w:val="14"/>
                  </w:rPr>
                  <w:t>1,988</w:t>
                </w:r>
              </w:p>
            </w:tc>
            <w:tc>
              <w:tcPr>
                <w:tcW w:w="621" w:type="pct"/>
                <w:shd w:val="clear" w:color="auto" w:fill="FFFFFF" w:themeFill="background2"/>
                <w:vAlign w:val="center"/>
              </w:tcPr>
              <w:p w14:paraId="53F5268E" w14:textId="4F38D621" w:rsidR="00EA333F" w:rsidRPr="00ED33EF" w:rsidRDefault="00EA333F" w:rsidP="00EA333F">
                <w:pPr>
                  <w:pStyle w:val="TableTextLeft"/>
                  <w:spacing w:before="0" w:after="0"/>
                  <w:jc w:val="center"/>
                  <w:rPr>
                    <w:sz w:val="14"/>
                    <w:szCs w:val="14"/>
                  </w:rPr>
                </w:pPr>
                <w:r w:rsidRPr="00EA333F">
                  <w:rPr>
                    <w:sz w:val="14"/>
                    <w:szCs w:val="14"/>
                  </w:rPr>
                  <w:t>4,377</w:t>
                </w:r>
              </w:p>
            </w:tc>
            <w:tc>
              <w:tcPr>
                <w:tcW w:w="621" w:type="pct"/>
                <w:shd w:val="clear" w:color="auto" w:fill="FFFFFF" w:themeFill="background2"/>
                <w:vAlign w:val="center"/>
              </w:tcPr>
              <w:p w14:paraId="7ED5047A" w14:textId="6AD8DF5D"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635</w:t>
                </w:r>
              </w:p>
            </w:tc>
            <w:tc>
              <w:tcPr>
                <w:tcW w:w="621" w:type="pct"/>
                <w:shd w:val="clear" w:color="auto" w:fill="FFFFFF" w:themeFill="background2"/>
                <w:vAlign w:val="center"/>
              </w:tcPr>
              <w:p w14:paraId="4D19B5EE" w14:textId="52492925"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3,161</w:t>
                </w:r>
              </w:p>
            </w:tc>
            <w:tc>
              <w:tcPr>
                <w:tcW w:w="621" w:type="pct"/>
                <w:shd w:val="clear" w:color="auto" w:fill="FFFFFF" w:themeFill="background2"/>
                <w:vAlign w:val="center"/>
              </w:tcPr>
              <w:p w14:paraId="6E653DCE" w14:textId="64857AC7"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26,044</w:t>
                </w:r>
              </w:p>
            </w:tc>
          </w:tr>
          <w:tr w:rsidR="00EA333F" w:rsidRPr="00ED33EF" w14:paraId="28467740" w14:textId="77777777" w:rsidTr="00EA333F">
            <w:trPr>
              <w:trHeight w:val="283"/>
            </w:trPr>
            <w:tc>
              <w:tcPr>
                <w:tcW w:w="655" w:type="pct"/>
                <w:shd w:val="clear" w:color="auto" w:fill="FFFFFF" w:themeFill="background2"/>
                <w:tcMar>
                  <w:top w:w="60" w:type="dxa"/>
                  <w:left w:w="114" w:type="dxa"/>
                  <w:bottom w:w="60" w:type="dxa"/>
                  <w:right w:w="114" w:type="dxa"/>
                </w:tcMar>
                <w:vAlign w:val="center"/>
              </w:tcPr>
              <w:p w14:paraId="5657D566" w14:textId="1B2257C7" w:rsidR="00EA333F" w:rsidRPr="00ED33EF" w:rsidRDefault="00EA333F" w:rsidP="00EA333F">
                <w:pPr>
                  <w:pStyle w:val="TableIndent3"/>
                  <w:spacing w:before="0" w:after="0"/>
                  <w:ind w:left="0"/>
                  <w:rPr>
                    <w:sz w:val="14"/>
                    <w:szCs w:val="14"/>
                  </w:rPr>
                </w:pPr>
                <w:r w:rsidRPr="0032337D">
                  <w:rPr>
                    <w:rFonts w:cs="Segoe UI"/>
                    <w:b/>
                    <w:sz w:val="14"/>
                    <w:lang w:val="en-GB" w:eastAsia="it-IT"/>
                  </w:rPr>
                  <w:t>31 December 20</w:t>
                </w:r>
                <w:r>
                  <w:rPr>
                    <w:rFonts w:cs="Segoe UI"/>
                    <w:b/>
                    <w:sz w:val="14"/>
                    <w:lang w:val="en-GB" w:eastAsia="it-IT"/>
                  </w:rPr>
                  <w:t>21</w:t>
                </w:r>
              </w:p>
            </w:tc>
            <w:tc>
              <w:tcPr>
                <w:tcW w:w="620" w:type="pct"/>
                <w:shd w:val="clear" w:color="auto" w:fill="FFFFFF" w:themeFill="background2"/>
                <w:tcMar>
                  <w:top w:w="60" w:type="dxa"/>
                  <w:left w:w="114" w:type="dxa"/>
                  <w:bottom w:w="60" w:type="dxa"/>
                  <w:right w:w="114" w:type="dxa"/>
                </w:tcMar>
                <w:vAlign w:val="center"/>
              </w:tcPr>
              <w:p w14:paraId="02A293B5" w14:textId="5203D5F5" w:rsidR="00EA333F" w:rsidRPr="00ED33EF" w:rsidRDefault="00EA333F" w:rsidP="00EA333F">
                <w:pPr>
                  <w:pStyle w:val="TableTextLeft"/>
                  <w:spacing w:before="0" w:after="0"/>
                  <w:jc w:val="center"/>
                  <w:rPr>
                    <w:sz w:val="14"/>
                    <w:szCs w:val="14"/>
                  </w:rPr>
                </w:pPr>
                <w:r w:rsidRPr="00EA333F">
                  <w:rPr>
                    <w:sz w:val="14"/>
                    <w:szCs w:val="14"/>
                  </w:rPr>
                  <w:t>6,710</w:t>
                </w:r>
              </w:p>
            </w:tc>
            <w:tc>
              <w:tcPr>
                <w:tcW w:w="620" w:type="pct"/>
                <w:shd w:val="clear" w:color="auto" w:fill="FFFFFF" w:themeFill="background2"/>
                <w:tcMar>
                  <w:top w:w="60" w:type="dxa"/>
                  <w:left w:w="114" w:type="dxa"/>
                  <w:bottom w:w="60" w:type="dxa"/>
                  <w:right w:w="114" w:type="dxa"/>
                </w:tcMar>
                <w:vAlign w:val="center"/>
              </w:tcPr>
              <w:p w14:paraId="32093E94" w14:textId="7A6D4D2C" w:rsidR="00EA333F" w:rsidRPr="00ED33EF" w:rsidRDefault="00EA333F" w:rsidP="00EA333F">
                <w:pPr>
                  <w:pStyle w:val="TableTextLeft"/>
                  <w:spacing w:before="0" w:after="0"/>
                  <w:jc w:val="center"/>
                  <w:rPr>
                    <w:sz w:val="14"/>
                    <w:szCs w:val="14"/>
                  </w:rPr>
                </w:pPr>
                <w:r w:rsidRPr="00EA333F">
                  <w:rPr>
                    <w:sz w:val="14"/>
                    <w:szCs w:val="14"/>
                  </w:rPr>
                  <w:t>3,623</w:t>
                </w:r>
              </w:p>
            </w:tc>
            <w:tc>
              <w:tcPr>
                <w:tcW w:w="621" w:type="pct"/>
                <w:shd w:val="clear" w:color="auto" w:fill="FFFFFF" w:themeFill="background2"/>
                <w:vAlign w:val="center"/>
              </w:tcPr>
              <w:p w14:paraId="27B2739C" w14:textId="20389B7F" w:rsidR="00EA333F" w:rsidRPr="00ED33EF" w:rsidRDefault="00EA333F" w:rsidP="00EA333F">
                <w:pPr>
                  <w:pStyle w:val="TableTextLeft"/>
                  <w:spacing w:before="0" w:after="0"/>
                  <w:jc w:val="center"/>
                  <w:rPr>
                    <w:sz w:val="14"/>
                    <w:szCs w:val="14"/>
                  </w:rPr>
                </w:pPr>
                <w:r w:rsidRPr="00EA333F">
                  <w:rPr>
                    <w:sz w:val="14"/>
                    <w:szCs w:val="14"/>
                  </w:rPr>
                  <w:t>970</w:t>
                </w:r>
              </w:p>
            </w:tc>
            <w:tc>
              <w:tcPr>
                <w:tcW w:w="621" w:type="pct"/>
                <w:shd w:val="clear" w:color="auto" w:fill="FFFFFF" w:themeFill="background2"/>
                <w:vAlign w:val="center"/>
              </w:tcPr>
              <w:p w14:paraId="0409E8DD" w14:textId="67341BDE" w:rsidR="00EA333F" w:rsidRPr="00ED33EF" w:rsidRDefault="00EA333F" w:rsidP="00EA333F">
                <w:pPr>
                  <w:pStyle w:val="TableTextLeft"/>
                  <w:spacing w:before="0" w:after="0"/>
                  <w:jc w:val="center"/>
                  <w:rPr>
                    <w:sz w:val="14"/>
                    <w:szCs w:val="14"/>
                  </w:rPr>
                </w:pPr>
                <w:r w:rsidRPr="00EA333F">
                  <w:rPr>
                    <w:sz w:val="14"/>
                    <w:szCs w:val="14"/>
                  </w:rPr>
                  <w:t>2,700</w:t>
                </w:r>
              </w:p>
            </w:tc>
            <w:tc>
              <w:tcPr>
                <w:tcW w:w="621" w:type="pct"/>
                <w:shd w:val="clear" w:color="auto" w:fill="FFFFFF" w:themeFill="background2"/>
                <w:vAlign w:val="center"/>
              </w:tcPr>
              <w:p w14:paraId="0B371AD0" w14:textId="7DAA46D7"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346</w:t>
                </w:r>
              </w:p>
            </w:tc>
            <w:tc>
              <w:tcPr>
                <w:tcW w:w="621" w:type="pct"/>
                <w:shd w:val="clear" w:color="auto" w:fill="FFFFFF" w:themeFill="background2"/>
                <w:vAlign w:val="center"/>
              </w:tcPr>
              <w:p w14:paraId="5C0C5DB3" w14:textId="4818BA58"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1,934</w:t>
                </w:r>
              </w:p>
            </w:tc>
            <w:tc>
              <w:tcPr>
                <w:tcW w:w="621" w:type="pct"/>
                <w:shd w:val="clear" w:color="auto" w:fill="FFFFFF" w:themeFill="background2"/>
                <w:vAlign w:val="center"/>
              </w:tcPr>
              <w:p w14:paraId="61738872" w14:textId="74513EC1"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16,283</w:t>
                </w:r>
              </w:p>
            </w:tc>
          </w:tr>
          <w:tr w:rsidR="00EA333F" w:rsidRPr="00ED33EF" w14:paraId="0AC75D54" w14:textId="77777777" w:rsidTr="00EA333F">
            <w:trPr>
              <w:trHeight w:val="283"/>
            </w:trPr>
            <w:tc>
              <w:tcPr>
                <w:tcW w:w="655" w:type="pct"/>
                <w:shd w:val="clear" w:color="auto" w:fill="FFFFFF" w:themeFill="background2"/>
                <w:tcMar>
                  <w:top w:w="60" w:type="dxa"/>
                  <w:left w:w="114" w:type="dxa"/>
                  <w:bottom w:w="60" w:type="dxa"/>
                  <w:right w:w="114" w:type="dxa"/>
                </w:tcMar>
                <w:vAlign w:val="center"/>
              </w:tcPr>
              <w:p w14:paraId="18BAE69F" w14:textId="0F8E29EA" w:rsidR="00EA333F" w:rsidRPr="00ED33EF" w:rsidRDefault="00EA333F" w:rsidP="00EA333F">
                <w:pPr>
                  <w:pStyle w:val="TableIndent3"/>
                  <w:spacing w:before="0" w:after="0"/>
                  <w:ind w:left="0"/>
                  <w:rPr>
                    <w:sz w:val="14"/>
                    <w:szCs w:val="14"/>
                  </w:rPr>
                </w:pPr>
                <w:r w:rsidRPr="0032337D">
                  <w:rPr>
                    <w:rFonts w:cs="Segoe UI"/>
                    <w:b/>
                    <w:sz w:val="14"/>
                    <w:lang w:val="en-GB" w:eastAsia="it-IT"/>
                  </w:rPr>
                  <w:t>31 December 20</w:t>
                </w:r>
                <w:r>
                  <w:rPr>
                    <w:rFonts w:cs="Segoe UI"/>
                    <w:b/>
                    <w:sz w:val="14"/>
                    <w:lang w:val="en-GB" w:eastAsia="it-IT"/>
                  </w:rPr>
                  <w:t>22</w:t>
                </w:r>
              </w:p>
            </w:tc>
            <w:tc>
              <w:tcPr>
                <w:tcW w:w="620" w:type="pct"/>
                <w:shd w:val="clear" w:color="auto" w:fill="FFFFFF" w:themeFill="background2"/>
                <w:tcMar>
                  <w:top w:w="60" w:type="dxa"/>
                  <w:left w:w="114" w:type="dxa"/>
                  <w:bottom w:w="60" w:type="dxa"/>
                  <w:right w:w="114" w:type="dxa"/>
                </w:tcMar>
                <w:vAlign w:val="center"/>
              </w:tcPr>
              <w:p w14:paraId="552E147D" w14:textId="436419BE" w:rsidR="00EA333F" w:rsidRPr="00ED33EF" w:rsidRDefault="00EA333F" w:rsidP="00EA333F">
                <w:pPr>
                  <w:pStyle w:val="TableTextLeft"/>
                  <w:spacing w:before="0" w:after="0"/>
                  <w:jc w:val="center"/>
                  <w:rPr>
                    <w:sz w:val="14"/>
                    <w:szCs w:val="14"/>
                  </w:rPr>
                </w:pPr>
                <w:r w:rsidRPr="00EA333F">
                  <w:rPr>
                    <w:sz w:val="14"/>
                    <w:szCs w:val="14"/>
                  </w:rPr>
                  <w:t>7,198</w:t>
                </w:r>
              </w:p>
            </w:tc>
            <w:tc>
              <w:tcPr>
                <w:tcW w:w="620" w:type="pct"/>
                <w:shd w:val="clear" w:color="auto" w:fill="FFFFFF" w:themeFill="background2"/>
                <w:tcMar>
                  <w:top w:w="60" w:type="dxa"/>
                  <w:left w:w="114" w:type="dxa"/>
                  <w:bottom w:w="60" w:type="dxa"/>
                  <w:right w:w="114" w:type="dxa"/>
                </w:tcMar>
                <w:vAlign w:val="center"/>
              </w:tcPr>
              <w:p w14:paraId="63D4D820" w14:textId="10753177" w:rsidR="00EA333F" w:rsidRPr="00ED33EF" w:rsidRDefault="00EA333F" w:rsidP="00EA333F">
                <w:pPr>
                  <w:pStyle w:val="TableTextLeft"/>
                  <w:spacing w:before="0" w:after="0"/>
                  <w:jc w:val="center"/>
                  <w:rPr>
                    <w:sz w:val="14"/>
                    <w:szCs w:val="14"/>
                  </w:rPr>
                </w:pPr>
                <w:r w:rsidRPr="00EA333F">
                  <w:rPr>
                    <w:sz w:val="14"/>
                    <w:szCs w:val="14"/>
                  </w:rPr>
                  <w:t>3,853</w:t>
                </w:r>
              </w:p>
            </w:tc>
            <w:tc>
              <w:tcPr>
                <w:tcW w:w="621" w:type="pct"/>
                <w:shd w:val="clear" w:color="auto" w:fill="FFFFFF" w:themeFill="background2"/>
                <w:vAlign w:val="center"/>
              </w:tcPr>
              <w:p w14:paraId="77741FDC" w14:textId="7BC867A2" w:rsidR="00EA333F" w:rsidRPr="00ED33EF" w:rsidRDefault="00EA333F" w:rsidP="00EA333F">
                <w:pPr>
                  <w:pStyle w:val="TableTextLeft"/>
                  <w:spacing w:before="0" w:after="0"/>
                  <w:jc w:val="center"/>
                  <w:rPr>
                    <w:sz w:val="14"/>
                    <w:szCs w:val="14"/>
                  </w:rPr>
                </w:pPr>
                <w:r w:rsidRPr="00EA333F">
                  <w:rPr>
                    <w:sz w:val="14"/>
                    <w:szCs w:val="14"/>
                  </w:rPr>
                  <w:t>1,027</w:t>
                </w:r>
              </w:p>
            </w:tc>
            <w:tc>
              <w:tcPr>
                <w:tcW w:w="621" w:type="pct"/>
                <w:shd w:val="clear" w:color="auto" w:fill="FFFFFF" w:themeFill="background2"/>
                <w:vAlign w:val="center"/>
              </w:tcPr>
              <w:p w14:paraId="3CF72BC4" w14:textId="7B48AEB2" w:rsidR="00EA333F" w:rsidRPr="00ED33EF" w:rsidRDefault="00EA333F" w:rsidP="00EA333F">
                <w:pPr>
                  <w:pStyle w:val="TableTextLeft"/>
                  <w:spacing w:before="0" w:after="0"/>
                  <w:jc w:val="center"/>
                  <w:rPr>
                    <w:sz w:val="14"/>
                    <w:szCs w:val="14"/>
                  </w:rPr>
                </w:pPr>
                <w:r w:rsidRPr="00EA333F">
                  <w:rPr>
                    <w:sz w:val="14"/>
                    <w:szCs w:val="14"/>
                  </w:rPr>
                  <w:t>2,698</w:t>
                </w:r>
              </w:p>
            </w:tc>
            <w:tc>
              <w:tcPr>
                <w:tcW w:w="621" w:type="pct"/>
                <w:shd w:val="clear" w:color="auto" w:fill="FFFFFF" w:themeFill="background2"/>
                <w:vAlign w:val="center"/>
              </w:tcPr>
              <w:p w14:paraId="7156C6F5" w14:textId="20A9675D"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377</w:t>
                </w:r>
              </w:p>
            </w:tc>
            <w:tc>
              <w:tcPr>
                <w:tcW w:w="621" w:type="pct"/>
                <w:shd w:val="clear" w:color="auto" w:fill="FFFFFF" w:themeFill="background2"/>
                <w:vAlign w:val="center"/>
              </w:tcPr>
              <w:p w14:paraId="291B8D28" w14:textId="791C79D3"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1,592</w:t>
                </w:r>
              </w:p>
            </w:tc>
            <w:tc>
              <w:tcPr>
                <w:tcW w:w="621" w:type="pct"/>
                <w:shd w:val="clear" w:color="auto" w:fill="FFFFFF" w:themeFill="background2"/>
                <w:vAlign w:val="center"/>
              </w:tcPr>
              <w:p w14:paraId="2102FD97" w14:textId="7CF470D3" w:rsidR="00EA333F" w:rsidRPr="00ED33EF" w:rsidRDefault="00EA333F" w:rsidP="00EA333F">
                <w:pPr>
                  <w:pStyle w:val="TableTextLeft"/>
                  <w:spacing w:before="0" w:after="0"/>
                  <w:jc w:val="center"/>
                  <w:rPr>
                    <w:rFonts w:cs="Segoe UI"/>
                    <w:sz w:val="14"/>
                    <w:szCs w:val="14"/>
                    <w:lang w:eastAsia="it-IT"/>
                  </w:rPr>
                </w:pPr>
                <w:r w:rsidRPr="00EA333F">
                  <w:rPr>
                    <w:rFonts w:cs="Segoe UI"/>
                    <w:sz w:val="14"/>
                    <w:szCs w:val="14"/>
                    <w:lang w:eastAsia="it-IT"/>
                  </w:rPr>
                  <w:t>16,745</w:t>
                </w:r>
              </w:p>
            </w:tc>
          </w:tr>
          <w:tr w:rsidR="00EA333F" w:rsidRPr="00EA333F" w14:paraId="501A98DD" w14:textId="77777777" w:rsidTr="00EA333F">
            <w:trPr>
              <w:trHeight w:val="283"/>
            </w:trPr>
            <w:tc>
              <w:tcPr>
                <w:tcW w:w="655" w:type="pct"/>
                <w:shd w:val="clear" w:color="auto" w:fill="FFFFFF" w:themeFill="background2"/>
                <w:tcMar>
                  <w:top w:w="60" w:type="dxa"/>
                  <w:left w:w="114" w:type="dxa"/>
                  <w:bottom w:w="60" w:type="dxa"/>
                  <w:right w:w="114" w:type="dxa"/>
                </w:tcMar>
                <w:vAlign w:val="center"/>
              </w:tcPr>
              <w:p w14:paraId="20231E63" w14:textId="5BEAA776" w:rsidR="00EA333F" w:rsidRPr="00EA333F" w:rsidRDefault="00EA333F" w:rsidP="00EA333F">
                <w:pPr>
                  <w:pStyle w:val="TableIndent3"/>
                  <w:spacing w:before="0" w:after="0"/>
                  <w:ind w:left="0"/>
                  <w:jc w:val="center"/>
                  <w:rPr>
                    <w:b/>
                    <w:sz w:val="14"/>
                    <w:szCs w:val="14"/>
                  </w:rPr>
                </w:pPr>
                <w:r w:rsidRPr="00EA333F">
                  <w:rPr>
                    <w:rFonts w:cs="Segoe UI"/>
                    <w:b/>
                    <w:sz w:val="14"/>
                    <w:lang w:val="en-GB" w:eastAsia="it-IT"/>
                  </w:rPr>
                  <w:t>Total</w:t>
                </w:r>
              </w:p>
            </w:tc>
            <w:tc>
              <w:tcPr>
                <w:tcW w:w="620" w:type="pct"/>
                <w:shd w:val="clear" w:color="auto" w:fill="FFFFFF" w:themeFill="background2"/>
                <w:tcMar>
                  <w:top w:w="60" w:type="dxa"/>
                  <w:left w:w="114" w:type="dxa"/>
                  <w:bottom w:w="60" w:type="dxa"/>
                  <w:right w:w="114" w:type="dxa"/>
                </w:tcMar>
                <w:vAlign w:val="center"/>
              </w:tcPr>
              <w:p w14:paraId="7E516ED6" w14:textId="39623CB0" w:rsidR="00EA333F" w:rsidRPr="00EA333F" w:rsidRDefault="00EA333F" w:rsidP="00EA333F">
                <w:pPr>
                  <w:pStyle w:val="TableTextLeft"/>
                  <w:spacing w:before="0" w:after="0"/>
                  <w:jc w:val="center"/>
                  <w:rPr>
                    <w:b/>
                    <w:sz w:val="14"/>
                    <w:szCs w:val="14"/>
                  </w:rPr>
                </w:pPr>
                <w:r w:rsidRPr="00EA333F">
                  <w:rPr>
                    <w:b/>
                    <w:sz w:val="14"/>
                    <w:szCs w:val="14"/>
                  </w:rPr>
                  <w:t>193,999</w:t>
                </w:r>
              </w:p>
            </w:tc>
            <w:tc>
              <w:tcPr>
                <w:tcW w:w="620" w:type="pct"/>
                <w:shd w:val="clear" w:color="auto" w:fill="FFFFFF" w:themeFill="background2"/>
                <w:tcMar>
                  <w:top w:w="60" w:type="dxa"/>
                  <w:left w:w="114" w:type="dxa"/>
                  <w:bottom w:w="60" w:type="dxa"/>
                  <w:right w:w="114" w:type="dxa"/>
                </w:tcMar>
                <w:vAlign w:val="center"/>
              </w:tcPr>
              <w:p w14:paraId="151614C3" w14:textId="21732A4E" w:rsidR="00EA333F" w:rsidRPr="00EA333F" w:rsidRDefault="00EA333F" w:rsidP="00EA333F">
                <w:pPr>
                  <w:pStyle w:val="TableTextLeft"/>
                  <w:spacing w:before="0" w:after="0"/>
                  <w:jc w:val="center"/>
                  <w:rPr>
                    <w:b/>
                    <w:sz w:val="14"/>
                    <w:szCs w:val="14"/>
                  </w:rPr>
                </w:pPr>
                <w:r w:rsidRPr="00EA333F">
                  <w:rPr>
                    <w:b/>
                    <w:sz w:val="14"/>
                    <w:szCs w:val="14"/>
                  </w:rPr>
                  <w:t>148,507</w:t>
                </w:r>
              </w:p>
            </w:tc>
            <w:tc>
              <w:tcPr>
                <w:tcW w:w="621" w:type="pct"/>
                <w:shd w:val="clear" w:color="auto" w:fill="FFFFFF" w:themeFill="background2"/>
                <w:vAlign w:val="center"/>
              </w:tcPr>
              <w:p w14:paraId="0B272AA0" w14:textId="35411F08" w:rsidR="00EA333F" w:rsidRPr="00EA333F" w:rsidRDefault="00EA333F" w:rsidP="00EA333F">
                <w:pPr>
                  <w:pStyle w:val="TableTextLeft"/>
                  <w:spacing w:before="0" w:after="0"/>
                  <w:jc w:val="center"/>
                  <w:rPr>
                    <w:b/>
                    <w:sz w:val="14"/>
                    <w:szCs w:val="14"/>
                  </w:rPr>
                </w:pPr>
                <w:r w:rsidRPr="00EA333F">
                  <w:rPr>
                    <w:b/>
                    <w:sz w:val="14"/>
                    <w:szCs w:val="14"/>
                  </w:rPr>
                  <w:t>55,126</w:t>
                </w:r>
              </w:p>
            </w:tc>
            <w:tc>
              <w:tcPr>
                <w:tcW w:w="621" w:type="pct"/>
                <w:shd w:val="clear" w:color="auto" w:fill="FFFFFF" w:themeFill="background2"/>
                <w:vAlign w:val="center"/>
              </w:tcPr>
              <w:p w14:paraId="789AEEEC" w14:textId="08CB52AD" w:rsidR="00EA333F" w:rsidRPr="00EA333F" w:rsidRDefault="00EA333F" w:rsidP="00EA333F">
                <w:pPr>
                  <w:pStyle w:val="TableTextLeft"/>
                  <w:spacing w:before="0" w:after="0"/>
                  <w:jc w:val="center"/>
                  <w:rPr>
                    <w:b/>
                    <w:sz w:val="14"/>
                    <w:szCs w:val="14"/>
                  </w:rPr>
                </w:pPr>
                <w:r w:rsidRPr="00EA333F">
                  <w:rPr>
                    <w:b/>
                    <w:sz w:val="14"/>
                    <w:szCs w:val="14"/>
                  </w:rPr>
                  <w:t>86,181</w:t>
                </w:r>
              </w:p>
            </w:tc>
            <w:tc>
              <w:tcPr>
                <w:tcW w:w="621" w:type="pct"/>
                <w:shd w:val="clear" w:color="auto" w:fill="FFFFFF" w:themeFill="background2"/>
                <w:vAlign w:val="center"/>
              </w:tcPr>
              <w:p w14:paraId="6ACCD9C7" w14:textId="65C99B6B" w:rsidR="00EA333F" w:rsidRPr="00EA333F" w:rsidRDefault="00EA333F" w:rsidP="00EA333F">
                <w:pPr>
                  <w:pStyle w:val="TableTextLeft"/>
                  <w:spacing w:before="0" w:after="0"/>
                  <w:jc w:val="center"/>
                  <w:rPr>
                    <w:rFonts w:cs="Segoe UI"/>
                    <w:b/>
                    <w:sz w:val="14"/>
                    <w:szCs w:val="14"/>
                    <w:lang w:eastAsia="it-IT"/>
                  </w:rPr>
                </w:pPr>
                <w:r w:rsidRPr="00EA333F">
                  <w:rPr>
                    <w:rFonts w:cs="Segoe UI"/>
                    <w:b/>
                    <w:sz w:val="14"/>
                    <w:szCs w:val="14"/>
                    <w:lang w:eastAsia="it-IT"/>
                  </w:rPr>
                  <w:t>11,601</w:t>
                </w:r>
              </w:p>
            </w:tc>
            <w:tc>
              <w:tcPr>
                <w:tcW w:w="621" w:type="pct"/>
                <w:shd w:val="clear" w:color="auto" w:fill="FFFFFF" w:themeFill="background2"/>
                <w:vAlign w:val="center"/>
              </w:tcPr>
              <w:p w14:paraId="4FCBA5D9" w14:textId="25F76446" w:rsidR="00EA333F" w:rsidRPr="00EA333F" w:rsidRDefault="00EA333F" w:rsidP="00EA333F">
                <w:pPr>
                  <w:pStyle w:val="TableTextLeft"/>
                  <w:spacing w:before="0" w:after="0"/>
                  <w:jc w:val="center"/>
                  <w:rPr>
                    <w:rFonts w:cs="Segoe UI"/>
                    <w:b/>
                    <w:sz w:val="14"/>
                    <w:szCs w:val="14"/>
                    <w:lang w:eastAsia="it-IT"/>
                  </w:rPr>
                </w:pPr>
                <w:r w:rsidRPr="00EA333F">
                  <w:rPr>
                    <w:rFonts w:cs="Segoe UI"/>
                    <w:b/>
                    <w:sz w:val="14"/>
                    <w:szCs w:val="14"/>
                    <w:lang w:eastAsia="it-IT"/>
                  </w:rPr>
                  <w:t>34,576</w:t>
                </w:r>
              </w:p>
            </w:tc>
            <w:tc>
              <w:tcPr>
                <w:tcW w:w="621" w:type="pct"/>
                <w:shd w:val="clear" w:color="auto" w:fill="FFFFFF" w:themeFill="background2"/>
                <w:vAlign w:val="center"/>
              </w:tcPr>
              <w:p w14:paraId="52A647BA" w14:textId="7703BBF7" w:rsidR="00EA333F" w:rsidRPr="00EA333F" w:rsidRDefault="00EA333F" w:rsidP="00EA333F">
                <w:pPr>
                  <w:pStyle w:val="TableTextLeft"/>
                  <w:spacing w:before="0" w:after="0"/>
                  <w:jc w:val="center"/>
                  <w:rPr>
                    <w:rFonts w:cs="Segoe UI"/>
                    <w:b/>
                    <w:sz w:val="14"/>
                    <w:szCs w:val="14"/>
                    <w:lang w:eastAsia="it-IT"/>
                  </w:rPr>
                </w:pPr>
                <w:r w:rsidRPr="00EA333F">
                  <w:rPr>
                    <w:rFonts w:cs="Segoe UI"/>
                    <w:b/>
                    <w:sz w:val="14"/>
                    <w:szCs w:val="14"/>
                    <w:lang w:eastAsia="it-IT"/>
                  </w:rPr>
                  <w:t>529,990</w:t>
                </w:r>
              </w:p>
            </w:tc>
          </w:tr>
        </w:tbl>
        <w:p w14:paraId="2B72F16B" w14:textId="77777777" w:rsidR="00A3443E" w:rsidRDefault="00A3443E" w:rsidP="00A3443E">
          <w:pPr>
            <w:rPr>
              <w:lang w:val="en-GB"/>
            </w:rPr>
          </w:pPr>
        </w:p>
        <w:p w14:paraId="19641CF1" w14:textId="297BD04D" w:rsidR="00DF6454" w:rsidRPr="00DF6454" w:rsidRDefault="00DF6454" w:rsidP="00DF6454">
          <w:pPr>
            <w:pStyle w:val="Didascalia"/>
            <w:rPr>
              <w:rFonts w:ascii="Segoe UI" w:hAnsi="Segoe UI" w:cs="Segoe UI"/>
              <w:i/>
              <w:color w:val="002E5A" w:themeColor="text2"/>
              <w:sz w:val="14"/>
              <w:szCs w:val="24"/>
              <w:lang w:val="en-GB"/>
            </w:rPr>
          </w:pPr>
          <w:bookmarkStart w:id="36" w:name="_Toc130806308"/>
          <w:bookmarkStart w:id="37" w:name="_Toc166675648"/>
          <w:bookmarkStart w:id="38" w:name="_Toc167131775"/>
          <w:r w:rsidRPr="0032337D">
            <w:rPr>
              <w:rFonts w:ascii="Segoe UI" w:hAnsi="Segoe UI" w:cs="Segoe UI"/>
              <w:i/>
              <w:color w:val="002E5A" w:themeColor="text2"/>
              <w:sz w:val="14"/>
              <w:szCs w:val="24"/>
              <w:lang w:val="en-GB"/>
            </w:rPr>
            <w:t xml:space="preserve">Exhibit </w:t>
          </w:r>
          <w:r w:rsidRPr="00DF6454">
            <w:rPr>
              <w:rFonts w:ascii="Segoe UI" w:hAnsi="Segoe UI" w:cs="Segoe UI"/>
              <w:i/>
              <w:color w:val="002E5A" w:themeColor="text2"/>
              <w:sz w:val="14"/>
              <w:szCs w:val="24"/>
              <w:lang w:val="en-GB"/>
            </w:rPr>
            <w:fldChar w:fldCharType="begin"/>
          </w:r>
          <w:r>
            <w:rPr>
              <w:rFonts w:ascii="Segoe UI" w:hAnsi="Segoe UI" w:cs="Segoe UI"/>
              <w:i/>
              <w:color w:val="002E5A" w:themeColor="text2"/>
              <w:sz w:val="14"/>
              <w:szCs w:val="24"/>
              <w:lang w:val="en-GB"/>
            </w:rPr>
            <w:instrText xml:space="preserve"> SEQ Exhibit \* ARABIC </w:instrText>
          </w:r>
          <w:r w:rsidRPr="00DF6454">
            <w:rPr>
              <w:rFonts w:ascii="Segoe UI" w:hAnsi="Segoe UI" w:cs="Segoe UI"/>
              <w:i/>
              <w:color w:val="002E5A" w:themeColor="text2"/>
              <w:sz w:val="14"/>
              <w:szCs w:val="24"/>
              <w:lang w:val="en-GB"/>
            </w:rPr>
            <w:fldChar w:fldCharType="separate"/>
          </w:r>
          <w:r w:rsidR="009857B6">
            <w:rPr>
              <w:rFonts w:ascii="Segoe UI" w:hAnsi="Segoe UI" w:cs="Segoe UI"/>
              <w:i/>
              <w:noProof/>
              <w:color w:val="002E5A" w:themeColor="text2"/>
              <w:sz w:val="14"/>
              <w:szCs w:val="24"/>
              <w:lang w:val="en-GB"/>
            </w:rPr>
            <w:t>7</w:t>
          </w:r>
          <w:r w:rsidRPr="00DF6454">
            <w:rPr>
              <w:rFonts w:ascii="Segoe UI" w:hAnsi="Segoe UI" w:cs="Segoe UI"/>
              <w:i/>
              <w:color w:val="002E5A" w:themeColor="text2"/>
              <w:sz w:val="14"/>
              <w:szCs w:val="24"/>
              <w:lang w:val="en-GB"/>
            </w:rPr>
            <w:fldChar w:fldCharType="end"/>
          </w:r>
          <w:r w:rsidRPr="0032337D">
            <w:rPr>
              <w:rFonts w:ascii="Segoe UI" w:hAnsi="Segoe UI" w:cs="Segoe UI"/>
              <w:i/>
              <w:color w:val="002E5A" w:themeColor="text2"/>
              <w:sz w:val="14"/>
              <w:szCs w:val="24"/>
              <w:lang w:val="en-GB"/>
            </w:rPr>
            <w:t>: Distribution of rated entities by industry – Percentage of ratings</w:t>
          </w:r>
          <w:bookmarkEnd w:id="36"/>
          <w:bookmarkEnd w:id="37"/>
          <w:bookmarkEnd w:id="38"/>
        </w:p>
        <w:tbl>
          <w:tblPr>
            <w:tblW w:w="5000" w:type="pct"/>
            <w:tblBorders>
              <w:top w:val="single" w:sz="4" w:space="0" w:color="AFAFB4" w:themeColor="accent4"/>
              <w:bottom w:val="single" w:sz="4" w:space="0" w:color="AFAFB4" w:themeColor="accent4"/>
              <w:insideH w:val="single" w:sz="4" w:space="0" w:color="AFAFB4" w:themeColor="accent4"/>
            </w:tblBorders>
            <w:shd w:val="clear" w:color="auto" w:fill="FFFFFF" w:themeFill="background2"/>
            <w:tblCellMar>
              <w:left w:w="0" w:type="dxa"/>
              <w:right w:w="0" w:type="dxa"/>
            </w:tblCellMar>
            <w:tblLook w:val="0620" w:firstRow="1" w:lastRow="0" w:firstColumn="0" w:lastColumn="0" w:noHBand="1" w:noVBand="1"/>
            <w:tblDescription w:val="{&quot;Ott&quot;:{&quot;FirstRow&quot;:{&quot;BackgroundColor&quot;:{&quot;Key&quot;:&quot;Light2&quot;},&quot;Font&quot;:{&quot;Name&quot;:&quot;Source Sans Pro&quot;,&quot;Size&quot;:14.0,&quot;Bold&quot;:false,&quot;Italic&quot;:false,&quot;Color&quot;:{&quot;Key&quot;:&quot;Dark2&quot;}},&quot;ExcelCellFormatting&quot;:&quot;General&quot;,&quot;Alignment&quot;:{&quot;Horizontal&quot;:&quot;Left&quot;,&quot;Vertical&quot;:&quot;Bottom&quot;},&quot;Borders&quot;:{&quot;Vertical&quot;:{&quot;Visible&quot;:false},&quot;Left&quot;:{&quot;Visible&quot;:false},&quot;Top&quot;:{&quot;Visible&quot;:false},&quot;Right&quot;:{&quot;Visible&quot;:false},&quot;Bottom&quot;:{&quot;Color&quot;:{&quot;Key&quot;:&quot;Accent4&quot;},&quot;BorderWeight&quot;:&quot;Pt1_5&quot;,&quot;Type&quot;:&quot;Solid&quot;,&quot;Visible&quot;:true}}},&quot;FitRowHeightPp&quot;:true,&quot;ZeroMarginsWord&quot;:true,&quot;BackgroundColor&quot;:{&quot;Key&quot;:&quot;Light2&quot;},&quot;Font&quot;:{&quot;Name&quot;:&quot;Source Sans Pro&quot;,&quot;Size&quot;:11.0,&quot;Bold&quot;:false,&quot;Italic&quot;:false,&quot;Color&quot;:{&quot;Key&quot;:&quot;Dark2&quot;}},&quot;LineSpacing&quot;:{&quot;Rule&quot;:&quot;Single&quot;},&quot;Alignment&quot;:{&quot;Horizontal&quot;:&quot;Left&quot;,&quot;Vertical&quot;:&quot;Top&quot;},&quot;Margin&quot;:{&quot;Left&quot;:5.7,&quot;Top&quot;:3.0,&quot;Right&quot;:5.7,&quot;Bottom&quot;:3.0},&quot;Borders&quot;:{&quot;Vertical&quot;:{&quot;Visible&quot;:false},&quot;Horizontal&quot;:{&quot;Color&quot;:{&quot;Key&quot;:&quot;Accent4&quot;},&quot;BorderWeight&quot;:&quot;Pt0_5&quot;,&quot;Type&quot;:&quot;Solid&quot;,&quot;Visible&quot;:true}},&quot;ParagraphSpacing&quot;:{&quot;SpaceBefore&quot;:2.0,&quot;SpaceAfter&quot;:2.0},&quot;ExcelWrapText&quot;:true},&quot;Ccs&quot;:{&quot;DarkBlue&quot;:&quot;0, 20, 55&quot;,&quot;Turquoise&quot;:&quot;0, 164, 230&quot;,&quot;Red&quot;:&quot;214, 70, 65&quot;,&quot;LightGrey&quot;:&quot;174, 174, 180&quot;,&quot;BlueGrey&quot;:&quot;77, 91, 115&quot;,&quot;IceBlue&quot;:&quot;178, 184, 195&quot;,&quot;Grey&quot;:&quot;145, 147, 153&quot;,&quot;Background&quot;:&quot;0, 0, 0, 0&quot;,&quot;White&quot;:&quot;White&quot;,&quot;Accent1&quot;:&quot;1, 1, 1, 1&quot;,&quot;Accent2&quot;:&quot;1, 1, 1, 2&quot;,&quot;Accent3&quot;:&quot;1, 1, 1, 3&quot;,&quot;Accent4&quot;:&quot;1, 1, 1, 4&quot;,&quot;Accent5&quot;:&quot;1, 1, 1, 5&quot;,&quot;Accent6&quot;:&quot;1, 1, 1, 6&quot;,&quot;Dark1&quot;:&quot;1, 1, 1, 7&quot;,&quot;Dark2&quot;:&quot;1, 1, 1, 9&quot;,&quot;Light1&quot;:&quot;1, 1, 1, 8&quot;,&quot;Light2&quot;:&quot;1, 1, 1, 10&quot;},&quot;Cop&quot;:{&quot;FirstRow&quot;:true,&quot;LastRow&quot;:false,&quot;FirstColumn&quot;:false,&quot;LastColumn&quot;:false,&quot;BandedRows&quot;:false,&quot;BandedColumns&quot;:false},&quot;Aaf&quot;:false}"/>
          </w:tblPr>
          <w:tblGrid>
            <w:gridCol w:w="1367"/>
            <w:gridCol w:w="1283"/>
            <w:gridCol w:w="1283"/>
            <w:gridCol w:w="1285"/>
            <w:gridCol w:w="1285"/>
            <w:gridCol w:w="1285"/>
            <w:gridCol w:w="1285"/>
            <w:gridCol w:w="1275"/>
          </w:tblGrid>
          <w:tr w:rsidR="00DF6454" w:rsidRPr="00ED33EF" w14:paraId="3388B0CC" w14:textId="77777777" w:rsidTr="0066567F">
            <w:trPr>
              <w:trHeight w:val="283"/>
            </w:trPr>
            <w:tc>
              <w:tcPr>
                <w:tcW w:w="660"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09F7D66C" w14:textId="77777777" w:rsidR="00DF6454" w:rsidRPr="00ED33EF" w:rsidRDefault="00DF6454" w:rsidP="004412F7">
                <w:pPr>
                  <w:spacing w:before="0" w:line="240" w:lineRule="auto"/>
                  <w:jc w:val="center"/>
                  <w:rPr>
                    <w:b/>
                    <w:color w:val="33A1AB" w:themeColor="accent2"/>
                    <w:sz w:val="14"/>
                    <w:szCs w:val="14"/>
                  </w:rPr>
                </w:pPr>
                <w:r>
                  <w:rPr>
                    <w:b/>
                    <w:color w:val="33A1AB" w:themeColor="accent2"/>
                    <w:sz w:val="14"/>
                    <w:szCs w:val="14"/>
                  </w:rPr>
                  <w:t>Year</w:t>
                </w:r>
              </w:p>
            </w:tc>
            <w:tc>
              <w:tcPr>
                <w:tcW w:w="620"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03E99F4A" w14:textId="77777777" w:rsidR="00DF6454" w:rsidRPr="00ED33EF" w:rsidRDefault="00DF6454" w:rsidP="004412F7">
                <w:pPr>
                  <w:spacing w:before="0" w:line="240" w:lineRule="auto"/>
                  <w:jc w:val="center"/>
                  <w:rPr>
                    <w:b/>
                    <w:color w:val="33A1AB" w:themeColor="accent2"/>
                    <w:sz w:val="14"/>
                    <w:szCs w:val="14"/>
                  </w:rPr>
                </w:pPr>
                <w:r w:rsidRPr="00A3443E">
                  <w:rPr>
                    <w:b/>
                    <w:color w:val="33A1AB" w:themeColor="accent2"/>
                    <w:sz w:val="14"/>
                    <w:szCs w:val="14"/>
                  </w:rPr>
                  <w:t>Manufacturing</w:t>
                </w:r>
              </w:p>
            </w:tc>
            <w:tc>
              <w:tcPr>
                <w:tcW w:w="620"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34909A3F" w14:textId="77777777" w:rsidR="00DF6454" w:rsidRPr="00ED33EF" w:rsidRDefault="00DF6454" w:rsidP="004412F7">
                <w:pPr>
                  <w:spacing w:before="0" w:line="240" w:lineRule="auto"/>
                  <w:jc w:val="center"/>
                  <w:rPr>
                    <w:b/>
                    <w:color w:val="33A1AB" w:themeColor="accent2"/>
                    <w:sz w:val="14"/>
                    <w:szCs w:val="14"/>
                  </w:rPr>
                </w:pPr>
                <w:r w:rsidRPr="00A3443E">
                  <w:rPr>
                    <w:b/>
                    <w:color w:val="33A1AB" w:themeColor="accent2"/>
                    <w:sz w:val="14"/>
                    <w:szCs w:val="14"/>
                  </w:rPr>
                  <w:t>Wholesale</w:t>
                </w:r>
              </w:p>
            </w:tc>
            <w:tc>
              <w:tcPr>
                <w:tcW w:w="621" w:type="pct"/>
                <w:tcBorders>
                  <w:top w:val="single" w:sz="12" w:space="0" w:color="AFAFB4" w:themeColor="accent4"/>
                </w:tcBorders>
                <w:shd w:val="clear" w:color="auto" w:fill="FFFFFF" w:themeFill="background2"/>
                <w:vAlign w:val="center"/>
              </w:tcPr>
              <w:p w14:paraId="2A7A3DDA" w14:textId="77777777" w:rsidR="00DF6454" w:rsidRPr="00ED33EF" w:rsidRDefault="00DF6454" w:rsidP="004412F7">
                <w:pPr>
                  <w:spacing w:before="0" w:line="240" w:lineRule="auto"/>
                  <w:jc w:val="center"/>
                  <w:rPr>
                    <w:b/>
                    <w:color w:val="33A1AB" w:themeColor="accent2"/>
                    <w:sz w:val="14"/>
                    <w:szCs w:val="14"/>
                  </w:rPr>
                </w:pPr>
                <w:r w:rsidRPr="00A3443E">
                  <w:rPr>
                    <w:b/>
                    <w:color w:val="33A1AB" w:themeColor="accent2"/>
                    <w:sz w:val="14"/>
                    <w:szCs w:val="14"/>
                  </w:rPr>
                  <w:t>Construction</w:t>
                </w:r>
              </w:p>
            </w:tc>
            <w:tc>
              <w:tcPr>
                <w:tcW w:w="621" w:type="pct"/>
                <w:tcBorders>
                  <w:top w:val="single" w:sz="12" w:space="0" w:color="AFAFB4" w:themeColor="accent4"/>
                </w:tcBorders>
                <w:shd w:val="clear" w:color="auto" w:fill="FFFFFF" w:themeFill="background2"/>
                <w:vAlign w:val="center"/>
              </w:tcPr>
              <w:p w14:paraId="2EA39B4E" w14:textId="77777777" w:rsidR="00DF6454" w:rsidRPr="00ED33EF" w:rsidRDefault="00DF6454" w:rsidP="004412F7">
                <w:pPr>
                  <w:spacing w:before="0" w:line="240" w:lineRule="auto"/>
                  <w:jc w:val="center"/>
                  <w:rPr>
                    <w:b/>
                    <w:color w:val="33A1AB" w:themeColor="accent2"/>
                    <w:sz w:val="14"/>
                    <w:szCs w:val="14"/>
                  </w:rPr>
                </w:pPr>
                <w:r w:rsidRPr="00A3443E">
                  <w:rPr>
                    <w:b/>
                    <w:color w:val="33A1AB" w:themeColor="accent2"/>
                    <w:sz w:val="14"/>
                    <w:szCs w:val="14"/>
                  </w:rPr>
                  <w:t>Service &amp; Transport</w:t>
                </w:r>
              </w:p>
            </w:tc>
            <w:tc>
              <w:tcPr>
                <w:tcW w:w="621" w:type="pct"/>
                <w:tcBorders>
                  <w:top w:val="single" w:sz="12" w:space="0" w:color="AFAFB4" w:themeColor="accent4"/>
                </w:tcBorders>
                <w:shd w:val="clear" w:color="auto" w:fill="FFFFFF" w:themeFill="background2"/>
                <w:vAlign w:val="center"/>
              </w:tcPr>
              <w:p w14:paraId="5589C146" w14:textId="77777777" w:rsidR="00DF6454" w:rsidRPr="00ED33EF" w:rsidRDefault="00DF6454" w:rsidP="004412F7">
                <w:pPr>
                  <w:spacing w:before="0" w:line="240" w:lineRule="auto"/>
                  <w:jc w:val="center"/>
                  <w:rPr>
                    <w:b/>
                    <w:color w:val="33A1AB" w:themeColor="accent2"/>
                    <w:sz w:val="14"/>
                    <w:szCs w:val="14"/>
                  </w:rPr>
                </w:pPr>
                <w:r w:rsidRPr="00A3443E">
                  <w:rPr>
                    <w:b/>
                    <w:color w:val="33A1AB" w:themeColor="accent2"/>
                    <w:sz w:val="14"/>
                    <w:szCs w:val="14"/>
                  </w:rPr>
                  <w:t>Agriculture</w:t>
                </w:r>
              </w:p>
            </w:tc>
            <w:tc>
              <w:tcPr>
                <w:tcW w:w="621" w:type="pct"/>
                <w:tcBorders>
                  <w:top w:val="single" w:sz="12" w:space="0" w:color="AFAFB4" w:themeColor="accent4"/>
                </w:tcBorders>
                <w:shd w:val="clear" w:color="auto" w:fill="FFFFFF" w:themeFill="background2"/>
                <w:vAlign w:val="center"/>
              </w:tcPr>
              <w:p w14:paraId="20C86E47" w14:textId="77777777" w:rsidR="00DF6454" w:rsidRPr="00ED33EF" w:rsidRDefault="00DF6454" w:rsidP="004412F7">
                <w:pPr>
                  <w:spacing w:before="0" w:line="240" w:lineRule="auto"/>
                  <w:jc w:val="center"/>
                  <w:rPr>
                    <w:b/>
                    <w:color w:val="33A1AB" w:themeColor="accent2"/>
                    <w:sz w:val="14"/>
                    <w:szCs w:val="14"/>
                  </w:rPr>
                </w:pPr>
                <w:r w:rsidRPr="00A3443E">
                  <w:rPr>
                    <w:b/>
                    <w:color w:val="33A1AB" w:themeColor="accent2"/>
                    <w:sz w:val="14"/>
                    <w:szCs w:val="14"/>
                  </w:rPr>
                  <w:t>Other</w:t>
                </w:r>
              </w:p>
            </w:tc>
            <w:tc>
              <w:tcPr>
                <w:tcW w:w="617" w:type="pct"/>
                <w:tcBorders>
                  <w:top w:val="single" w:sz="12" w:space="0" w:color="AFAFB4" w:themeColor="accent4"/>
                </w:tcBorders>
                <w:shd w:val="clear" w:color="auto" w:fill="FFFFFF" w:themeFill="background2"/>
                <w:vAlign w:val="center"/>
              </w:tcPr>
              <w:p w14:paraId="443B5716" w14:textId="77777777" w:rsidR="00DF6454" w:rsidRPr="00ED33EF" w:rsidRDefault="00DF6454" w:rsidP="004412F7">
                <w:pPr>
                  <w:spacing w:before="0" w:line="240" w:lineRule="auto"/>
                  <w:jc w:val="center"/>
                  <w:rPr>
                    <w:b/>
                    <w:color w:val="33A1AB" w:themeColor="accent2"/>
                    <w:sz w:val="14"/>
                    <w:szCs w:val="14"/>
                  </w:rPr>
                </w:pPr>
                <w:r w:rsidRPr="00A3443E">
                  <w:rPr>
                    <w:b/>
                    <w:color w:val="33A1AB" w:themeColor="accent2"/>
                    <w:sz w:val="14"/>
                    <w:szCs w:val="14"/>
                  </w:rPr>
                  <w:t>TOTAL</w:t>
                </w:r>
              </w:p>
            </w:tc>
          </w:tr>
          <w:tr w:rsidR="0066567F" w:rsidRPr="00ED33EF" w14:paraId="668D06F1" w14:textId="77777777" w:rsidTr="0066567F">
            <w:trPr>
              <w:trHeight w:val="283"/>
            </w:trPr>
            <w:tc>
              <w:tcPr>
                <w:tcW w:w="660" w:type="pct"/>
                <w:shd w:val="clear" w:color="auto" w:fill="FFFFFF" w:themeFill="background2"/>
                <w:tcMar>
                  <w:top w:w="60" w:type="dxa"/>
                  <w:left w:w="114" w:type="dxa"/>
                  <w:bottom w:w="60" w:type="dxa"/>
                  <w:right w:w="114" w:type="dxa"/>
                </w:tcMar>
                <w:vAlign w:val="center"/>
              </w:tcPr>
              <w:p w14:paraId="1DF358BB" w14:textId="77777777" w:rsidR="0066567F" w:rsidRPr="00ED33EF" w:rsidRDefault="0066567F" w:rsidP="0066567F">
                <w:pPr>
                  <w:pStyle w:val="TableIndent3"/>
                  <w:spacing w:before="0" w:after="0"/>
                  <w:ind w:left="0"/>
                  <w:rPr>
                    <w:sz w:val="14"/>
                    <w:szCs w:val="14"/>
                  </w:rPr>
                </w:pPr>
                <w:r w:rsidRPr="0032337D">
                  <w:rPr>
                    <w:rFonts w:cs="Segoe UI"/>
                    <w:b/>
                    <w:sz w:val="14"/>
                    <w:lang w:val="en-GB" w:eastAsia="it-IT"/>
                  </w:rPr>
                  <w:t>31 December 2008</w:t>
                </w:r>
              </w:p>
            </w:tc>
            <w:tc>
              <w:tcPr>
                <w:tcW w:w="620" w:type="pct"/>
                <w:shd w:val="clear" w:color="auto" w:fill="FFFFFF" w:themeFill="background2"/>
                <w:tcMar>
                  <w:top w:w="60" w:type="dxa"/>
                  <w:left w:w="114" w:type="dxa"/>
                  <w:bottom w:w="60" w:type="dxa"/>
                  <w:right w:w="114" w:type="dxa"/>
                </w:tcMar>
                <w:vAlign w:val="center"/>
              </w:tcPr>
              <w:p w14:paraId="1B9FB083" w14:textId="1EDB8A55" w:rsidR="0066567F" w:rsidRPr="00283508" w:rsidRDefault="0066567F" w:rsidP="0066567F">
                <w:pPr>
                  <w:pStyle w:val="TableTextLeft"/>
                  <w:spacing w:before="0" w:after="0"/>
                  <w:jc w:val="center"/>
                  <w:rPr>
                    <w:sz w:val="14"/>
                    <w:szCs w:val="14"/>
                  </w:rPr>
                </w:pPr>
                <w:r w:rsidRPr="0066567F">
                  <w:rPr>
                    <w:sz w:val="14"/>
                    <w:szCs w:val="14"/>
                  </w:rPr>
                  <w:t>38.0%</w:t>
                </w:r>
              </w:p>
            </w:tc>
            <w:tc>
              <w:tcPr>
                <w:tcW w:w="620" w:type="pct"/>
                <w:shd w:val="clear" w:color="auto" w:fill="FFFFFF" w:themeFill="background2"/>
                <w:tcMar>
                  <w:top w:w="60" w:type="dxa"/>
                  <w:left w:w="114" w:type="dxa"/>
                  <w:bottom w:w="60" w:type="dxa"/>
                  <w:right w:w="114" w:type="dxa"/>
                </w:tcMar>
                <w:vAlign w:val="center"/>
              </w:tcPr>
              <w:p w14:paraId="58435C5E" w14:textId="007B7040" w:rsidR="0066567F" w:rsidRPr="00283508" w:rsidRDefault="0066567F" w:rsidP="0066567F">
                <w:pPr>
                  <w:pStyle w:val="TableTextLeft"/>
                  <w:spacing w:before="0" w:after="0"/>
                  <w:jc w:val="center"/>
                  <w:rPr>
                    <w:sz w:val="14"/>
                    <w:szCs w:val="14"/>
                  </w:rPr>
                </w:pPr>
                <w:r w:rsidRPr="0066567F">
                  <w:rPr>
                    <w:sz w:val="14"/>
                    <w:szCs w:val="14"/>
                  </w:rPr>
                  <w:t>36.5%</w:t>
                </w:r>
              </w:p>
            </w:tc>
            <w:tc>
              <w:tcPr>
                <w:tcW w:w="621" w:type="pct"/>
                <w:shd w:val="clear" w:color="auto" w:fill="FFFFFF" w:themeFill="background2"/>
                <w:vAlign w:val="center"/>
              </w:tcPr>
              <w:p w14:paraId="2B3B66A1" w14:textId="53994616" w:rsidR="0066567F" w:rsidRPr="00283508" w:rsidRDefault="0066567F" w:rsidP="0066567F">
                <w:pPr>
                  <w:pStyle w:val="TableTextLeft"/>
                  <w:spacing w:before="0" w:after="0"/>
                  <w:jc w:val="center"/>
                  <w:rPr>
                    <w:sz w:val="14"/>
                    <w:szCs w:val="14"/>
                  </w:rPr>
                </w:pPr>
                <w:r w:rsidRPr="0066567F">
                  <w:rPr>
                    <w:sz w:val="14"/>
                    <w:szCs w:val="14"/>
                  </w:rPr>
                  <w:t>13.2%</w:t>
                </w:r>
              </w:p>
            </w:tc>
            <w:tc>
              <w:tcPr>
                <w:tcW w:w="621" w:type="pct"/>
                <w:shd w:val="clear" w:color="auto" w:fill="FFFFFF" w:themeFill="background2"/>
                <w:vAlign w:val="center"/>
              </w:tcPr>
              <w:p w14:paraId="20DCF838" w14:textId="5F4CC8F5" w:rsidR="0066567F" w:rsidRPr="00283508" w:rsidRDefault="0066567F" w:rsidP="0066567F">
                <w:pPr>
                  <w:pStyle w:val="TableTextLeft"/>
                  <w:spacing w:before="0" w:after="0"/>
                  <w:jc w:val="center"/>
                  <w:rPr>
                    <w:sz w:val="14"/>
                    <w:szCs w:val="14"/>
                  </w:rPr>
                </w:pPr>
                <w:r w:rsidRPr="0066567F">
                  <w:rPr>
                    <w:sz w:val="14"/>
                    <w:szCs w:val="14"/>
                  </w:rPr>
                  <w:t>10.1%</w:t>
                </w:r>
              </w:p>
            </w:tc>
            <w:tc>
              <w:tcPr>
                <w:tcW w:w="621" w:type="pct"/>
                <w:shd w:val="clear" w:color="auto" w:fill="FFFFFF" w:themeFill="background2"/>
                <w:vAlign w:val="center"/>
              </w:tcPr>
              <w:p w14:paraId="582B4BFE" w14:textId="13F53755" w:rsidR="0066567F" w:rsidRPr="00283508" w:rsidRDefault="0066567F" w:rsidP="0066567F">
                <w:pPr>
                  <w:pStyle w:val="TableTextLeft"/>
                  <w:spacing w:before="0" w:after="0"/>
                  <w:jc w:val="center"/>
                  <w:rPr>
                    <w:sz w:val="14"/>
                    <w:szCs w:val="14"/>
                  </w:rPr>
                </w:pPr>
                <w:r w:rsidRPr="0066567F">
                  <w:rPr>
                    <w:sz w:val="14"/>
                    <w:szCs w:val="14"/>
                  </w:rPr>
                  <w:t>1.2%</w:t>
                </w:r>
              </w:p>
            </w:tc>
            <w:tc>
              <w:tcPr>
                <w:tcW w:w="621" w:type="pct"/>
                <w:shd w:val="clear" w:color="auto" w:fill="FFFFFF" w:themeFill="background2"/>
                <w:vAlign w:val="center"/>
              </w:tcPr>
              <w:p w14:paraId="100F2C56" w14:textId="783DD22D" w:rsidR="0066567F" w:rsidRPr="00283508" w:rsidRDefault="0066567F" w:rsidP="0066567F">
                <w:pPr>
                  <w:pStyle w:val="TableTextLeft"/>
                  <w:spacing w:before="0" w:after="0"/>
                  <w:jc w:val="center"/>
                  <w:rPr>
                    <w:sz w:val="14"/>
                    <w:szCs w:val="14"/>
                  </w:rPr>
                </w:pPr>
                <w:r w:rsidRPr="0066567F">
                  <w:rPr>
                    <w:sz w:val="14"/>
                    <w:szCs w:val="14"/>
                  </w:rPr>
                  <w:t>1.1%</w:t>
                </w:r>
              </w:p>
            </w:tc>
            <w:tc>
              <w:tcPr>
                <w:tcW w:w="617" w:type="pct"/>
                <w:shd w:val="clear" w:color="auto" w:fill="FFFFFF" w:themeFill="background2"/>
                <w:vAlign w:val="center"/>
              </w:tcPr>
              <w:p w14:paraId="3124A9A6" w14:textId="185B2EE3" w:rsidR="0066567F" w:rsidRPr="00283508" w:rsidRDefault="0066567F" w:rsidP="0066567F">
                <w:pPr>
                  <w:pStyle w:val="TableTextLeft"/>
                  <w:spacing w:before="0" w:after="0"/>
                  <w:jc w:val="center"/>
                  <w:rPr>
                    <w:sz w:val="14"/>
                    <w:szCs w:val="14"/>
                  </w:rPr>
                </w:pPr>
                <w:r w:rsidRPr="0066567F">
                  <w:rPr>
                    <w:sz w:val="14"/>
                    <w:szCs w:val="14"/>
                  </w:rPr>
                  <w:t>100.0%</w:t>
                </w:r>
              </w:p>
            </w:tc>
          </w:tr>
          <w:tr w:rsidR="0066567F" w:rsidRPr="00ED33EF" w14:paraId="3C88842F" w14:textId="77777777" w:rsidTr="0066567F">
            <w:trPr>
              <w:trHeight w:val="283"/>
            </w:trPr>
            <w:tc>
              <w:tcPr>
                <w:tcW w:w="660" w:type="pct"/>
                <w:shd w:val="clear" w:color="auto" w:fill="FFFFFF" w:themeFill="background2"/>
                <w:tcMar>
                  <w:top w:w="60" w:type="dxa"/>
                  <w:left w:w="114" w:type="dxa"/>
                  <w:bottom w:w="60" w:type="dxa"/>
                  <w:right w:w="114" w:type="dxa"/>
                </w:tcMar>
                <w:vAlign w:val="center"/>
              </w:tcPr>
              <w:p w14:paraId="4B5029E3" w14:textId="77777777" w:rsidR="0066567F" w:rsidRPr="00ED33EF" w:rsidRDefault="0066567F" w:rsidP="0066567F">
                <w:pPr>
                  <w:pStyle w:val="TableIndent3"/>
                  <w:spacing w:before="0" w:after="0"/>
                  <w:ind w:left="0"/>
                  <w:rPr>
                    <w:sz w:val="14"/>
                    <w:szCs w:val="14"/>
                  </w:rPr>
                </w:pPr>
                <w:r w:rsidRPr="0032337D">
                  <w:rPr>
                    <w:rFonts w:cs="Segoe UI"/>
                    <w:b/>
                    <w:sz w:val="14"/>
                    <w:lang w:val="en-GB" w:eastAsia="it-IT"/>
                  </w:rPr>
                  <w:t>31 December 2009</w:t>
                </w:r>
              </w:p>
            </w:tc>
            <w:tc>
              <w:tcPr>
                <w:tcW w:w="620" w:type="pct"/>
                <w:shd w:val="clear" w:color="auto" w:fill="FFFFFF" w:themeFill="background2"/>
                <w:tcMar>
                  <w:top w:w="60" w:type="dxa"/>
                  <w:left w:w="114" w:type="dxa"/>
                  <w:bottom w:w="60" w:type="dxa"/>
                  <w:right w:w="114" w:type="dxa"/>
                </w:tcMar>
                <w:vAlign w:val="center"/>
              </w:tcPr>
              <w:p w14:paraId="5D63B73D" w14:textId="30FC98E4" w:rsidR="0066567F" w:rsidRPr="00283508" w:rsidRDefault="0066567F" w:rsidP="0066567F">
                <w:pPr>
                  <w:pStyle w:val="TableTextLeft"/>
                  <w:spacing w:before="0" w:after="0"/>
                  <w:jc w:val="center"/>
                  <w:rPr>
                    <w:sz w:val="14"/>
                    <w:szCs w:val="14"/>
                  </w:rPr>
                </w:pPr>
                <w:r w:rsidRPr="0066567F">
                  <w:rPr>
                    <w:sz w:val="14"/>
                    <w:szCs w:val="14"/>
                  </w:rPr>
                  <w:t>32.9%</w:t>
                </w:r>
              </w:p>
            </w:tc>
            <w:tc>
              <w:tcPr>
                <w:tcW w:w="620" w:type="pct"/>
                <w:shd w:val="clear" w:color="auto" w:fill="FFFFFF" w:themeFill="background2"/>
                <w:tcMar>
                  <w:top w:w="60" w:type="dxa"/>
                  <w:left w:w="114" w:type="dxa"/>
                  <w:bottom w:w="60" w:type="dxa"/>
                  <w:right w:w="114" w:type="dxa"/>
                </w:tcMar>
                <w:vAlign w:val="center"/>
              </w:tcPr>
              <w:p w14:paraId="55798DD4" w14:textId="4E7B5385" w:rsidR="0066567F" w:rsidRPr="00283508" w:rsidRDefault="0066567F" w:rsidP="0066567F">
                <w:pPr>
                  <w:pStyle w:val="TableTextLeft"/>
                  <w:spacing w:before="0" w:after="0"/>
                  <w:jc w:val="center"/>
                  <w:rPr>
                    <w:sz w:val="14"/>
                    <w:szCs w:val="14"/>
                  </w:rPr>
                </w:pPr>
                <w:r w:rsidRPr="0066567F">
                  <w:rPr>
                    <w:sz w:val="14"/>
                    <w:szCs w:val="14"/>
                  </w:rPr>
                  <w:t>32.2%</w:t>
                </w:r>
              </w:p>
            </w:tc>
            <w:tc>
              <w:tcPr>
                <w:tcW w:w="621" w:type="pct"/>
                <w:shd w:val="clear" w:color="auto" w:fill="FFFFFF" w:themeFill="background2"/>
                <w:vAlign w:val="center"/>
              </w:tcPr>
              <w:p w14:paraId="3342E2B8" w14:textId="6BFA60DF" w:rsidR="0066567F" w:rsidRPr="00283508" w:rsidRDefault="0066567F" w:rsidP="0066567F">
                <w:pPr>
                  <w:pStyle w:val="TableTextLeft"/>
                  <w:spacing w:before="0" w:after="0"/>
                  <w:jc w:val="center"/>
                  <w:rPr>
                    <w:sz w:val="14"/>
                    <w:szCs w:val="14"/>
                  </w:rPr>
                </w:pPr>
                <w:r w:rsidRPr="0066567F">
                  <w:rPr>
                    <w:sz w:val="14"/>
                    <w:szCs w:val="14"/>
                  </w:rPr>
                  <w:t>12.3%</w:t>
                </w:r>
              </w:p>
            </w:tc>
            <w:tc>
              <w:tcPr>
                <w:tcW w:w="621" w:type="pct"/>
                <w:shd w:val="clear" w:color="auto" w:fill="FFFFFF" w:themeFill="background2"/>
                <w:vAlign w:val="center"/>
              </w:tcPr>
              <w:p w14:paraId="28008B7B" w14:textId="1F99CB1C" w:rsidR="0066567F" w:rsidRPr="00283508" w:rsidRDefault="0066567F" w:rsidP="0066567F">
                <w:pPr>
                  <w:pStyle w:val="TableTextLeft"/>
                  <w:spacing w:before="0" w:after="0"/>
                  <w:jc w:val="center"/>
                  <w:rPr>
                    <w:sz w:val="14"/>
                    <w:szCs w:val="14"/>
                  </w:rPr>
                </w:pPr>
                <w:r w:rsidRPr="0066567F">
                  <w:rPr>
                    <w:sz w:val="14"/>
                    <w:szCs w:val="14"/>
                  </w:rPr>
                  <w:t>17.5%</w:t>
                </w:r>
              </w:p>
            </w:tc>
            <w:tc>
              <w:tcPr>
                <w:tcW w:w="621" w:type="pct"/>
                <w:shd w:val="clear" w:color="auto" w:fill="FFFFFF" w:themeFill="background2"/>
                <w:vAlign w:val="center"/>
              </w:tcPr>
              <w:p w14:paraId="37F3B0F8" w14:textId="42D7BB1D" w:rsidR="0066567F" w:rsidRPr="00283508" w:rsidRDefault="0066567F" w:rsidP="0066567F">
                <w:pPr>
                  <w:pStyle w:val="TableTextLeft"/>
                  <w:spacing w:before="0" w:after="0"/>
                  <w:jc w:val="center"/>
                  <w:rPr>
                    <w:sz w:val="14"/>
                    <w:szCs w:val="14"/>
                  </w:rPr>
                </w:pPr>
                <w:r w:rsidRPr="0066567F">
                  <w:rPr>
                    <w:sz w:val="14"/>
                    <w:szCs w:val="14"/>
                  </w:rPr>
                  <w:t>2.0%</w:t>
                </w:r>
              </w:p>
            </w:tc>
            <w:tc>
              <w:tcPr>
                <w:tcW w:w="621" w:type="pct"/>
                <w:shd w:val="clear" w:color="auto" w:fill="FFFFFF" w:themeFill="background2"/>
                <w:vAlign w:val="center"/>
              </w:tcPr>
              <w:p w14:paraId="1AD8F848" w14:textId="430373E0" w:rsidR="0066567F" w:rsidRPr="00283508" w:rsidRDefault="0066567F" w:rsidP="0066567F">
                <w:pPr>
                  <w:pStyle w:val="TableTextLeft"/>
                  <w:spacing w:before="0" w:after="0"/>
                  <w:jc w:val="center"/>
                  <w:rPr>
                    <w:sz w:val="14"/>
                    <w:szCs w:val="14"/>
                  </w:rPr>
                </w:pPr>
                <w:r w:rsidRPr="0066567F">
                  <w:rPr>
                    <w:sz w:val="14"/>
                    <w:szCs w:val="14"/>
                  </w:rPr>
                  <w:t>3.1%</w:t>
                </w:r>
              </w:p>
            </w:tc>
            <w:tc>
              <w:tcPr>
                <w:tcW w:w="617" w:type="pct"/>
                <w:shd w:val="clear" w:color="auto" w:fill="FFFFFF" w:themeFill="background2"/>
                <w:vAlign w:val="center"/>
              </w:tcPr>
              <w:p w14:paraId="10B9A200" w14:textId="54FD3ED3" w:rsidR="0066567F" w:rsidRPr="00283508" w:rsidRDefault="0066567F" w:rsidP="0066567F">
                <w:pPr>
                  <w:pStyle w:val="TableTextLeft"/>
                  <w:spacing w:before="0" w:after="0"/>
                  <w:jc w:val="center"/>
                  <w:rPr>
                    <w:sz w:val="14"/>
                    <w:szCs w:val="14"/>
                  </w:rPr>
                </w:pPr>
                <w:r w:rsidRPr="0066567F">
                  <w:rPr>
                    <w:sz w:val="14"/>
                    <w:szCs w:val="14"/>
                  </w:rPr>
                  <w:t>100.0%</w:t>
                </w:r>
              </w:p>
            </w:tc>
          </w:tr>
          <w:tr w:rsidR="0066567F" w:rsidRPr="00ED33EF" w14:paraId="52B3A5AA" w14:textId="77777777" w:rsidTr="0066567F">
            <w:trPr>
              <w:trHeight w:val="283"/>
            </w:trPr>
            <w:tc>
              <w:tcPr>
                <w:tcW w:w="660" w:type="pct"/>
                <w:shd w:val="clear" w:color="auto" w:fill="FFFFFF" w:themeFill="background2"/>
                <w:tcMar>
                  <w:top w:w="60" w:type="dxa"/>
                  <w:left w:w="114" w:type="dxa"/>
                  <w:bottom w:w="60" w:type="dxa"/>
                  <w:right w:w="114" w:type="dxa"/>
                </w:tcMar>
                <w:vAlign w:val="center"/>
              </w:tcPr>
              <w:p w14:paraId="5C43E307" w14:textId="77777777" w:rsidR="0066567F" w:rsidRPr="00ED33EF" w:rsidRDefault="0066567F" w:rsidP="0066567F">
                <w:pPr>
                  <w:pStyle w:val="TableIndent3"/>
                  <w:spacing w:before="0" w:after="0"/>
                  <w:ind w:left="0"/>
                  <w:rPr>
                    <w:sz w:val="14"/>
                    <w:szCs w:val="14"/>
                  </w:rPr>
                </w:pPr>
                <w:r w:rsidRPr="0032337D">
                  <w:rPr>
                    <w:rFonts w:cs="Segoe UI"/>
                    <w:b/>
                    <w:sz w:val="14"/>
                    <w:lang w:val="en-GB" w:eastAsia="it-IT"/>
                  </w:rPr>
                  <w:t>31 December 2010</w:t>
                </w:r>
              </w:p>
            </w:tc>
            <w:tc>
              <w:tcPr>
                <w:tcW w:w="620" w:type="pct"/>
                <w:shd w:val="clear" w:color="auto" w:fill="FFFFFF" w:themeFill="background2"/>
                <w:tcMar>
                  <w:top w:w="60" w:type="dxa"/>
                  <w:left w:w="114" w:type="dxa"/>
                  <w:bottom w:w="60" w:type="dxa"/>
                  <w:right w:w="114" w:type="dxa"/>
                </w:tcMar>
                <w:vAlign w:val="center"/>
              </w:tcPr>
              <w:p w14:paraId="33696939" w14:textId="095C664F" w:rsidR="0066567F" w:rsidRPr="00283508" w:rsidRDefault="0066567F" w:rsidP="0066567F">
                <w:pPr>
                  <w:pStyle w:val="TableTextLeft"/>
                  <w:spacing w:before="0" w:after="0"/>
                  <w:jc w:val="center"/>
                  <w:rPr>
                    <w:sz w:val="14"/>
                    <w:szCs w:val="14"/>
                  </w:rPr>
                </w:pPr>
                <w:r w:rsidRPr="0066567F">
                  <w:rPr>
                    <w:sz w:val="14"/>
                    <w:szCs w:val="14"/>
                  </w:rPr>
                  <w:t>32.6%</w:t>
                </w:r>
              </w:p>
            </w:tc>
            <w:tc>
              <w:tcPr>
                <w:tcW w:w="620" w:type="pct"/>
                <w:shd w:val="clear" w:color="auto" w:fill="FFFFFF" w:themeFill="background2"/>
                <w:tcMar>
                  <w:top w:w="60" w:type="dxa"/>
                  <w:left w:w="114" w:type="dxa"/>
                  <w:bottom w:w="60" w:type="dxa"/>
                  <w:right w:w="114" w:type="dxa"/>
                </w:tcMar>
                <w:vAlign w:val="center"/>
              </w:tcPr>
              <w:p w14:paraId="6DF675D6" w14:textId="42D80212" w:rsidR="0066567F" w:rsidRPr="00283508" w:rsidRDefault="0066567F" w:rsidP="0066567F">
                <w:pPr>
                  <w:pStyle w:val="TableTextLeft"/>
                  <w:spacing w:before="0" w:after="0"/>
                  <w:jc w:val="center"/>
                  <w:rPr>
                    <w:sz w:val="14"/>
                    <w:szCs w:val="14"/>
                  </w:rPr>
                </w:pPr>
                <w:r w:rsidRPr="0066567F">
                  <w:rPr>
                    <w:sz w:val="14"/>
                    <w:szCs w:val="14"/>
                  </w:rPr>
                  <w:t>28.1%</w:t>
                </w:r>
              </w:p>
            </w:tc>
            <w:tc>
              <w:tcPr>
                <w:tcW w:w="621" w:type="pct"/>
                <w:shd w:val="clear" w:color="auto" w:fill="FFFFFF" w:themeFill="background2"/>
                <w:vAlign w:val="center"/>
              </w:tcPr>
              <w:p w14:paraId="2313938C" w14:textId="31E1C5CF" w:rsidR="0066567F" w:rsidRPr="00283508" w:rsidRDefault="0066567F" w:rsidP="0066567F">
                <w:pPr>
                  <w:pStyle w:val="TableTextLeft"/>
                  <w:spacing w:before="0" w:after="0"/>
                  <w:jc w:val="center"/>
                  <w:rPr>
                    <w:sz w:val="14"/>
                    <w:szCs w:val="14"/>
                  </w:rPr>
                </w:pPr>
                <w:r w:rsidRPr="0066567F">
                  <w:rPr>
                    <w:sz w:val="14"/>
                    <w:szCs w:val="14"/>
                  </w:rPr>
                  <w:t>12.3%</w:t>
                </w:r>
              </w:p>
            </w:tc>
            <w:tc>
              <w:tcPr>
                <w:tcW w:w="621" w:type="pct"/>
                <w:shd w:val="clear" w:color="auto" w:fill="FFFFFF" w:themeFill="background2"/>
                <w:vAlign w:val="center"/>
              </w:tcPr>
              <w:p w14:paraId="41101EA0" w14:textId="4D6EA81A" w:rsidR="0066567F" w:rsidRPr="00283508" w:rsidRDefault="0066567F" w:rsidP="0066567F">
                <w:pPr>
                  <w:pStyle w:val="TableTextLeft"/>
                  <w:spacing w:before="0" w:after="0"/>
                  <w:jc w:val="center"/>
                  <w:rPr>
                    <w:sz w:val="14"/>
                    <w:szCs w:val="14"/>
                  </w:rPr>
                </w:pPr>
                <w:r w:rsidRPr="0066567F">
                  <w:rPr>
                    <w:sz w:val="14"/>
                    <w:szCs w:val="14"/>
                  </w:rPr>
                  <w:t>21.0%</w:t>
                </w:r>
              </w:p>
            </w:tc>
            <w:tc>
              <w:tcPr>
                <w:tcW w:w="621" w:type="pct"/>
                <w:shd w:val="clear" w:color="auto" w:fill="FFFFFF" w:themeFill="background2"/>
                <w:vAlign w:val="center"/>
              </w:tcPr>
              <w:p w14:paraId="2273C5E1" w14:textId="43AD3EF7" w:rsidR="0066567F" w:rsidRPr="00283508" w:rsidRDefault="0066567F" w:rsidP="0066567F">
                <w:pPr>
                  <w:pStyle w:val="TableTextLeft"/>
                  <w:spacing w:before="0" w:after="0"/>
                  <w:jc w:val="center"/>
                  <w:rPr>
                    <w:sz w:val="14"/>
                    <w:szCs w:val="14"/>
                  </w:rPr>
                </w:pPr>
                <w:r w:rsidRPr="0066567F">
                  <w:rPr>
                    <w:sz w:val="14"/>
                    <w:szCs w:val="14"/>
                  </w:rPr>
                  <w:t>2.3%</w:t>
                </w:r>
              </w:p>
            </w:tc>
            <w:tc>
              <w:tcPr>
                <w:tcW w:w="621" w:type="pct"/>
                <w:shd w:val="clear" w:color="auto" w:fill="FFFFFF" w:themeFill="background2"/>
                <w:vAlign w:val="center"/>
              </w:tcPr>
              <w:p w14:paraId="4E7B15D7" w14:textId="2FD69E55" w:rsidR="0066567F" w:rsidRPr="00283508" w:rsidRDefault="0066567F" w:rsidP="0066567F">
                <w:pPr>
                  <w:pStyle w:val="TableTextLeft"/>
                  <w:spacing w:before="0" w:after="0"/>
                  <w:jc w:val="center"/>
                  <w:rPr>
                    <w:sz w:val="14"/>
                    <w:szCs w:val="14"/>
                  </w:rPr>
                </w:pPr>
                <w:r w:rsidRPr="0066567F">
                  <w:rPr>
                    <w:sz w:val="14"/>
                    <w:szCs w:val="14"/>
                  </w:rPr>
                  <w:t>3.7%</w:t>
                </w:r>
              </w:p>
            </w:tc>
            <w:tc>
              <w:tcPr>
                <w:tcW w:w="617" w:type="pct"/>
                <w:shd w:val="clear" w:color="auto" w:fill="FFFFFF" w:themeFill="background2"/>
                <w:vAlign w:val="center"/>
              </w:tcPr>
              <w:p w14:paraId="6301AF6C" w14:textId="2133CF4C" w:rsidR="0066567F" w:rsidRPr="00283508" w:rsidRDefault="0066567F" w:rsidP="0066567F">
                <w:pPr>
                  <w:pStyle w:val="TableTextLeft"/>
                  <w:spacing w:before="0" w:after="0"/>
                  <w:jc w:val="center"/>
                  <w:rPr>
                    <w:sz w:val="14"/>
                    <w:szCs w:val="14"/>
                  </w:rPr>
                </w:pPr>
                <w:r w:rsidRPr="0066567F">
                  <w:rPr>
                    <w:sz w:val="14"/>
                    <w:szCs w:val="14"/>
                  </w:rPr>
                  <w:t>100.0%</w:t>
                </w:r>
              </w:p>
            </w:tc>
          </w:tr>
          <w:tr w:rsidR="0066567F" w:rsidRPr="00ED33EF" w14:paraId="03A499D5" w14:textId="77777777" w:rsidTr="0066567F">
            <w:trPr>
              <w:trHeight w:val="283"/>
            </w:trPr>
            <w:tc>
              <w:tcPr>
                <w:tcW w:w="660" w:type="pct"/>
                <w:shd w:val="clear" w:color="auto" w:fill="FFFFFF" w:themeFill="background2"/>
                <w:tcMar>
                  <w:top w:w="60" w:type="dxa"/>
                  <w:left w:w="114" w:type="dxa"/>
                  <w:bottom w:w="60" w:type="dxa"/>
                  <w:right w:w="114" w:type="dxa"/>
                </w:tcMar>
                <w:vAlign w:val="center"/>
              </w:tcPr>
              <w:p w14:paraId="50E74605" w14:textId="77777777" w:rsidR="0066567F" w:rsidRPr="00ED33EF" w:rsidRDefault="0066567F" w:rsidP="0066567F">
                <w:pPr>
                  <w:pStyle w:val="TableIndent3"/>
                  <w:spacing w:before="0" w:after="0"/>
                  <w:ind w:left="0"/>
                  <w:rPr>
                    <w:sz w:val="14"/>
                    <w:szCs w:val="14"/>
                  </w:rPr>
                </w:pPr>
                <w:r w:rsidRPr="0032337D">
                  <w:rPr>
                    <w:rFonts w:cs="Segoe UI"/>
                    <w:b/>
                    <w:sz w:val="14"/>
                    <w:lang w:val="en-GB" w:eastAsia="it-IT"/>
                  </w:rPr>
                  <w:t>31 December 2011</w:t>
                </w:r>
              </w:p>
            </w:tc>
            <w:tc>
              <w:tcPr>
                <w:tcW w:w="620" w:type="pct"/>
                <w:shd w:val="clear" w:color="auto" w:fill="FFFFFF" w:themeFill="background2"/>
                <w:tcMar>
                  <w:top w:w="60" w:type="dxa"/>
                  <w:left w:w="114" w:type="dxa"/>
                  <w:bottom w:w="60" w:type="dxa"/>
                  <w:right w:w="114" w:type="dxa"/>
                </w:tcMar>
                <w:vAlign w:val="center"/>
              </w:tcPr>
              <w:p w14:paraId="537610CC" w14:textId="4BEB5AEF" w:rsidR="0066567F" w:rsidRPr="00283508" w:rsidRDefault="0066567F" w:rsidP="0066567F">
                <w:pPr>
                  <w:pStyle w:val="TableTextLeft"/>
                  <w:spacing w:before="0" w:after="0"/>
                  <w:jc w:val="center"/>
                  <w:rPr>
                    <w:sz w:val="14"/>
                    <w:szCs w:val="14"/>
                  </w:rPr>
                </w:pPr>
                <w:r w:rsidRPr="0066567F">
                  <w:rPr>
                    <w:sz w:val="14"/>
                    <w:szCs w:val="14"/>
                  </w:rPr>
                  <w:t>40.9%</w:t>
                </w:r>
              </w:p>
            </w:tc>
            <w:tc>
              <w:tcPr>
                <w:tcW w:w="620" w:type="pct"/>
                <w:shd w:val="clear" w:color="auto" w:fill="FFFFFF" w:themeFill="background2"/>
                <w:tcMar>
                  <w:top w:w="60" w:type="dxa"/>
                  <w:left w:w="114" w:type="dxa"/>
                  <w:bottom w:w="60" w:type="dxa"/>
                  <w:right w:w="114" w:type="dxa"/>
                </w:tcMar>
                <w:vAlign w:val="center"/>
              </w:tcPr>
              <w:p w14:paraId="736F39EC" w14:textId="3B0ED79E" w:rsidR="0066567F" w:rsidRPr="00283508" w:rsidRDefault="0066567F" w:rsidP="0066567F">
                <w:pPr>
                  <w:pStyle w:val="TableTextLeft"/>
                  <w:spacing w:before="0" w:after="0"/>
                  <w:jc w:val="center"/>
                  <w:rPr>
                    <w:sz w:val="14"/>
                    <w:szCs w:val="14"/>
                  </w:rPr>
                </w:pPr>
                <w:r w:rsidRPr="0066567F">
                  <w:rPr>
                    <w:sz w:val="14"/>
                    <w:szCs w:val="14"/>
                  </w:rPr>
                  <w:t>29.7%</w:t>
                </w:r>
              </w:p>
            </w:tc>
            <w:tc>
              <w:tcPr>
                <w:tcW w:w="621" w:type="pct"/>
                <w:shd w:val="clear" w:color="auto" w:fill="FFFFFF" w:themeFill="background2"/>
                <w:vAlign w:val="center"/>
              </w:tcPr>
              <w:p w14:paraId="0D0E0E72" w14:textId="1D42ECCE" w:rsidR="0066567F" w:rsidRPr="00283508" w:rsidRDefault="0066567F" w:rsidP="0066567F">
                <w:pPr>
                  <w:pStyle w:val="TableTextLeft"/>
                  <w:spacing w:before="0" w:after="0"/>
                  <w:jc w:val="center"/>
                  <w:rPr>
                    <w:sz w:val="14"/>
                    <w:szCs w:val="14"/>
                  </w:rPr>
                </w:pPr>
                <w:r w:rsidRPr="0066567F">
                  <w:rPr>
                    <w:sz w:val="14"/>
                    <w:szCs w:val="14"/>
                  </w:rPr>
                  <w:t>10.9%</w:t>
                </w:r>
              </w:p>
            </w:tc>
            <w:tc>
              <w:tcPr>
                <w:tcW w:w="621" w:type="pct"/>
                <w:shd w:val="clear" w:color="auto" w:fill="FFFFFF" w:themeFill="background2"/>
                <w:vAlign w:val="center"/>
              </w:tcPr>
              <w:p w14:paraId="6F4CDAB1" w14:textId="67AAE15F" w:rsidR="0066567F" w:rsidRPr="00283508" w:rsidRDefault="0066567F" w:rsidP="0066567F">
                <w:pPr>
                  <w:pStyle w:val="TableTextLeft"/>
                  <w:spacing w:before="0" w:after="0"/>
                  <w:jc w:val="center"/>
                  <w:rPr>
                    <w:sz w:val="14"/>
                    <w:szCs w:val="14"/>
                  </w:rPr>
                </w:pPr>
                <w:r w:rsidRPr="0066567F">
                  <w:rPr>
                    <w:sz w:val="14"/>
                    <w:szCs w:val="14"/>
                  </w:rPr>
                  <w:t>15.1%</w:t>
                </w:r>
              </w:p>
            </w:tc>
            <w:tc>
              <w:tcPr>
                <w:tcW w:w="621" w:type="pct"/>
                <w:shd w:val="clear" w:color="auto" w:fill="FFFFFF" w:themeFill="background2"/>
                <w:vAlign w:val="center"/>
              </w:tcPr>
              <w:p w14:paraId="726EA9BD" w14:textId="669C686F" w:rsidR="0066567F" w:rsidRPr="00283508" w:rsidRDefault="0066567F" w:rsidP="0066567F">
                <w:pPr>
                  <w:pStyle w:val="TableTextLeft"/>
                  <w:spacing w:before="0" w:after="0"/>
                  <w:jc w:val="center"/>
                  <w:rPr>
                    <w:sz w:val="14"/>
                    <w:szCs w:val="14"/>
                  </w:rPr>
                </w:pPr>
                <w:r w:rsidRPr="0066567F">
                  <w:rPr>
                    <w:sz w:val="14"/>
                    <w:szCs w:val="14"/>
                  </w:rPr>
                  <w:t>1.6%</w:t>
                </w:r>
              </w:p>
            </w:tc>
            <w:tc>
              <w:tcPr>
                <w:tcW w:w="621" w:type="pct"/>
                <w:shd w:val="clear" w:color="auto" w:fill="FFFFFF" w:themeFill="background2"/>
                <w:vAlign w:val="center"/>
              </w:tcPr>
              <w:p w14:paraId="1A72B82A" w14:textId="783100A2" w:rsidR="0066567F" w:rsidRPr="00283508" w:rsidRDefault="0066567F" w:rsidP="0066567F">
                <w:pPr>
                  <w:pStyle w:val="TableTextLeft"/>
                  <w:spacing w:before="0" w:after="0"/>
                  <w:jc w:val="center"/>
                  <w:rPr>
                    <w:sz w:val="14"/>
                    <w:szCs w:val="14"/>
                  </w:rPr>
                </w:pPr>
                <w:r w:rsidRPr="0066567F">
                  <w:rPr>
                    <w:sz w:val="14"/>
                    <w:szCs w:val="14"/>
                  </w:rPr>
                  <w:t>1.8%</w:t>
                </w:r>
              </w:p>
            </w:tc>
            <w:tc>
              <w:tcPr>
                <w:tcW w:w="617" w:type="pct"/>
                <w:shd w:val="clear" w:color="auto" w:fill="FFFFFF" w:themeFill="background2"/>
                <w:vAlign w:val="center"/>
              </w:tcPr>
              <w:p w14:paraId="3E0FEA84" w14:textId="0877DA0C" w:rsidR="0066567F" w:rsidRPr="00283508" w:rsidRDefault="0066567F" w:rsidP="0066567F">
                <w:pPr>
                  <w:pStyle w:val="TableTextLeft"/>
                  <w:spacing w:before="0" w:after="0"/>
                  <w:jc w:val="center"/>
                  <w:rPr>
                    <w:sz w:val="14"/>
                    <w:szCs w:val="14"/>
                  </w:rPr>
                </w:pPr>
                <w:r w:rsidRPr="0066567F">
                  <w:rPr>
                    <w:sz w:val="14"/>
                    <w:szCs w:val="14"/>
                  </w:rPr>
                  <w:t>100.0%</w:t>
                </w:r>
              </w:p>
            </w:tc>
          </w:tr>
          <w:tr w:rsidR="0066567F" w:rsidRPr="00ED33EF" w14:paraId="2A8A9B92" w14:textId="77777777" w:rsidTr="0066567F">
            <w:trPr>
              <w:trHeight w:val="283"/>
            </w:trPr>
            <w:tc>
              <w:tcPr>
                <w:tcW w:w="660" w:type="pct"/>
                <w:shd w:val="clear" w:color="auto" w:fill="FFFFFF" w:themeFill="background2"/>
                <w:tcMar>
                  <w:top w:w="60" w:type="dxa"/>
                  <w:left w:w="114" w:type="dxa"/>
                  <w:bottom w:w="60" w:type="dxa"/>
                  <w:right w:w="114" w:type="dxa"/>
                </w:tcMar>
                <w:vAlign w:val="center"/>
              </w:tcPr>
              <w:p w14:paraId="5CAE259E" w14:textId="77777777" w:rsidR="0066567F" w:rsidRPr="00ED33EF" w:rsidRDefault="0066567F" w:rsidP="0066567F">
                <w:pPr>
                  <w:pStyle w:val="TableIndent3"/>
                  <w:spacing w:before="0" w:after="0"/>
                  <w:ind w:left="0"/>
                  <w:rPr>
                    <w:sz w:val="14"/>
                    <w:szCs w:val="14"/>
                  </w:rPr>
                </w:pPr>
                <w:r w:rsidRPr="0032337D">
                  <w:rPr>
                    <w:rFonts w:cs="Segoe UI"/>
                    <w:b/>
                    <w:sz w:val="14"/>
                    <w:lang w:val="en-GB" w:eastAsia="it-IT"/>
                  </w:rPr>
                  <w:t>31 December 2012</w:t>
                </w:r>
              </w:p>
            </w:tc>
            <w:tc>
              <w:tcPr>
                <w:tcW w:w="620" w:type="pct"/>
                <w:shd w:val="clear" w:color="auto" w:fill="FFFFFF" w:themeFill="background2"/>
                <w:tcMar>
                  <w:top w:w="60" w:type="dxa"/>
                  <w:left w:w="114" w:type="dxa"/>
                  <w:bottom w:w="60" w:type="dxa"/>
                  <w:right w:w="114" w:type="dxa"/>
                </w:tcMar>
                <w:vAlign w:val="center"/>
              </w:tcPr>
              <w:p w14:paraId="1FE602CE" w14:textId="5FC43FFD" w:rsidR="0066567F" w:rsidRPr="00283508" w:rsidRDefault="0066567F" w:rsidP="0066567F">
                <w:pPr>
                  <w:pStyle w:val="TableTextLeft"/>
                  <w:spacing w:before="0" w:after="0"/>
                  <w:jc w:val="center"/>
                  <w:rPr>
                    <w:sz w:val="14"/>
                    <w:szCs w:val="14"/>
                  </w:rPr>
                </w:pPr>
                <w:r w:rsidRPr="0066567F">
                  <w:rPr>
                    <w:sz w:val="14"/>
                    <w:szCs w:val="14"/>
                  </w:rPr>
                  <w:t>39.9%</w:t>
                </w:r>
              </w:p>
            </w:tc>
            <w:tc>
              <w:tcPr>
                <w:tcW w:w="620" w:type="pct"/>
                <w:shd w:val="clear" w:color="auto" w:fill="FFFFFF" w:themeFill="background2"/>
                <w:tcMar>
                  <w:top w:w="60" w:type="dxa"/>
                  <w:left w:w="114" w:type="dxa"/>
                  <w:bottom w:w="60" w:type="dxa"/>
                  <w:right w:w="114" w:type="dxa"/>
                </w:tcMar>
                <w:vAlign w:val="center"/>
              </w:tcPr>
              <w:p w14:paraId="56065B99" w14:textId="1C248E68" w:rsidR="0066567F" w:rsidRPr="00283508" w:rsidRDefault="0066567F" w:rsidP="0066567F">
                <w:pPr>
                  <w:pStyle w:val="TableTextLeft"/>
                  <w:spacing w:before="0" w:after="0"/>
                  <w:jc w:val="center"/>
                  <w:rPr>
                    <w:sz w:val="14"/>
                    <w:szCs w:val="14"/>
                  </w:rPr>
                </w:pPr>
                <w:r w:rsidRPr="0066567F">
                  <w:rPr>
                    <w:sz w:val="14"/>
                    <w:szCs w:val="14"/>
                  </w:rPr>
                  <w:t>28.8%</w:t>
                </w:r>
              </w:p>
            </w:tc>
            <w:tc>
              <w:tcPr>
                <w:tcW w:w="621" w:type="pct"/>
                <w:shd w:val="clear" w:color="auto" w:fill="FFFFFF" w:themeFill="background2"/>
                <w:vAlign w:val="center"/>
              </w:tcPr>
              <w:p w14:paraId="4CF4D05A" w14:textId="2DF94172" w:rsidR="0066567F" w:rsidRPr="00283508" w:rsidRDefault="0066567F" w:rsidP="0066567F">
                <w:pPr>
                  <w:pStyle w:val="TableTextLeft"/>
                  <w:spacing w:before="0" w:after="0"/>
                  <w:jc w:val="center"/>
                  <w:rPr>
                    <w:sz w:val="14"/>
                    <w:szCs w:val="14"/>
                  </w:rPr>
                </w:pPr>
                <w:r w:rsidRPr="0066567F">
                  <w:rPr>
                    <w:sz w:val="14"/>
                    <w:szCs w:val="14"/>
                  </w:rPr>
                  <w:t>9.4%</w:t>
                </w:r>
              </w:p>
            </w:tc>
            <w:tc>
              <w:tcPr>
                <w:tcW w:w="621" w:type="pct"/>
                <w:shd w:val="clear" w:color="auto" w:fill="FFFFFF" w:themeFill="background2"/>
                <w:vAlign w:val="center"/>
              </w:tcPr>
              <w:p w14:paraId="66E9E961" w14:textId="7F10DA19" w:rsidR="0066567F" w:rsidRPr="00283508" w:rsidRDefault="0066567F" w:rsidP="0066567F">
                <w:pPr>
                  <w:pStyle w:val="TableTextLeft"/>
                  <w:spacing w:before="0" w:after="0"/>
                  <w:jc w:val="center"/>
                  <w:rPr>
                    <w:sz w:val="14"/>
                    <w:szCs w:val="14"/>
                  </w:rPr>
                </w:pPr>
                <w:r w:rsidRPr="0066567F">
                  <w:rPr>
                    <w:sz w:val="14"/>
                    <w:szCs w:val="14"/>
                  </w:rPr>
                  <w:t>13.6%</w:t>
                </w:r>
              </w:p>
            </w:tc>
            <w:tc>
              <w:tcPr>
                <w:tcW w:w="621" w:type="pct"/>
                <w:shd w:val="clear" w:color="auto" w:fill="FFFFFF" w:themeFill="background2"/>
                <w:vAlign w:val="center"/>
              </w:tcPr>
              <w:p w14:paraId="36AB2287" w14:textId="46FC578B" w:rsidR="0066567F" w:rsidRPr="00283508" w:rsidRDefault="0066567F" w:rsidP="0066567F">
                <w:pPr>
                  <w:pStyle w:val="TableTextLeft"/>
                  <w:spacing w:before="0" w:after="0"/>
                  <w:jc w:val="center"/>
                  <w:rPr>
                    <w:sz w:val="14"/>
                    <w:szCs w:val="14"/>
                  </w:rPr>
                </w:pPr>
                <w:r w:rsidRPr="0066567F">
                  <w:rPr>
                    <w:sz w:val="14"/>
                    <w:szCs w:val="14"/>
                  </w:rPr>
                  <w:t>2.0%</w:t>
                </w:r>
              </w:p>
            </w:tc>
            <w:tc>
              <w:tcPr>
                <w:tcW w:w="621" w:type="pct"/>
                <w:shd w:val="clear" w:color="auto" w:fill="FFFFFF" w:themeFill="background2"/>
                <w:vAlign w:val="center"/>
              </w:tcPr>
              <w:p w14:paraId="5E586B49" w14:textId="67C756F0" w:rsidR="0066567F" w:rsidRPr="00283508" w:rsidRDefault="0066567F" w:rsidP="0066567F">
                <w:pPr>
                  <w:pStyle w:val="TableTextLeft"/>
                  <w:spacing w:before="0" w:after="0"/>
                  <w:jc w:val="center"/>
                  <w:rPr>
                    <w:sz w:val="14"/>
                    <w:szCs w:val="14"/>
                  </w:rPr>
                </w:pPr>
                <w:r w:rsidRPr="0066567F">
                  <w:rPr>
                    <w:sz w:val="14"/>
                    <w:szCs w:val="14"/>
                  </w:rPr>
                  <w:t>6.2%</w:t>
                </w:r>
              </w:p>
            </w:tc>
            <w:tc>
              <w:tcPr>
                <w:tcW w:w="617" w:type="pct"/>
                <w:shd w:val="clear" w:color="auto" w:fill="FFFFFF" w:themeFill="background2"/>
                <w:vAlign w:val="center"/>
              </w:tcPr>
              <w:p w14:paraId="0118ABFC" w14:textId="0DCA0EF2" w:rsidR="0066567F" w:rsidRPr="00283508" w:rsidRDefault="0066567F" w:rsidP="0066567F">
                <w:pPr>
                  <w:pStyle w:val="TableTextLeft"/>
                  <w:spacing w:before="0" w:after="0"/>
                  <w:jc w:val="center"/>
                  <w:rPr>
                    <w:sz w:val="14"/>
                    <w:szCs w:val="14"/>
                  </w:rPr>
                </w:pPr>
                <w:r w:rsidRPr="0066567F">
                  <w:rPr>
                    <w:sz w:val="14"/>
                    <w:szCs w:val="14"/>
                  </w:rPr>
                  <w:t>100.0%</w:t>
                </w:r>
              </w:p>
            </w:tc>
          </w:tr>
          <w:tr w:rsidR="0066567F" w:rsidRPr="00ED33EF" w14:paraId="53DFF228" w14:textId="77777777" w:rsidTr="0066567F">
            <w:trPr>
              <w:trHeight w:val="283"/>
            </w:trPr>
            <w:tc>
              <w:tcPr>
                <w:tcW w:w="660" w:type="pct"/>
                <w:shd w:val="clear" w:color="auto" w:fill="FFFFFF" w:themeFill="background2"/>
                <w:tcMar>
                  <w:top w:w="60" w:type="dxa"/>
                  <w:left w:w="114" w:type="dxa"/>
                  <w:bottom w:w="60" w:type="dxa"/>
                  <w:right w:w="114" w:type="dxa"/>
                </w:tcMar>
                <w:vAlign w:val="center"/>
              </w:tcPr>
              <w:p w14:paraId="227EEC49" w14:textId="77777777" w:rsidR="0066567F" w:rsidRPr="00ED33EF" w:rsidRDefault="0066567F" w:rsidP="0066567F">
                <w:pPr>
                  <w:pStyle w:val="TableIndent3"/>
                  <w:spacing w:before="0" w:after="0"/>
                  <w:ind w:left="0"/>
                  <w:rPr>
                    <w:sz w:val="14"/>
                    <w:szCs w:val="14"/>
                  </w:rPr>
                </w:pPr>
                <w:r w:rsidRPr="0032337D">
                  <w:rPr>
                    <w:rFonts w:cs="Segoe UI"/>
                    <w:b/>
                    <w:sz w:val="14"/>
                    <w:lang w:val="en-GB" w:eastAsia="it-IT"/>
                  </w:rPr>
                  <w:t>31 December 2013</w:t>
                </w:r>
              </w:p>
            </w:tc>
            <w:tc>
              <w:tcPr>
                <w:tcW w:w="620" w:type="pct"/>
                <w:shd w:val="clear" w:color="auto" w:fill="FFFFFF" w:themeFill="background2"/>
                <w:tcMar>
                  <w:top w:w="60" w:type="dxa"/>
                  <w:left w:w="114" w:type="dxa"/>
                  <w:bottom w:w="60" w:type="dxa"/>
                  <w:right w:w="114" w:type="dxa"/>
                </w:tcMar>
                <w:vAlign w:val="center"/>
              </w:tcPr>
              <w:p w14:paraId="7A3B6CFE" w14:textId="358A0479" w:rsidR="0066567F" w:rsidRPr="00283508" w:rsidRDefault="0066567F" w:rsidP="0066567F">
                <w:pPr>
                  <w:pStyle w:val="TableTextLeft"/>
                  <w:spacing w:before="0" w:after="0"/>
                  <w:jc w:val="center"/>
                  <w:rPr>
                    <w:sz w:val="14"/>
                    <w:szCs w:val="14"/>
                  </w:rPr>
                </w:pPr>
                <w:r w:rsidRPr="0066567F">
                  <w:rPr>
                    <w:sz w:val="14"/>
                    <w:szCs w:val="14"/>
                  </w:rPr>
                  <w:t>37.8%</w:t>
                </w:r>
              </w:p>
            </w:tc>
            <w:tc>
              <w:tcPr>
                <w:tcW w:w="620" w:type="pct"/>
                <w:shd w:val="clear" w:color="auto" w:fill="FFFFFF" w:themeFill="background2"/>
                <w:tcMar>
                  <w:top w:w="60" w:type="dxa"/>
                  <w:left w:w="114" w:type="dxa"/>
                  <w:bottom w:w="60" w:type="dxa"/>
                  <w:right w:w="114" w:type="dxa"/>
                </w:tcMar>
                <w:vAlign w:val="center"/>
              </w:tcPr>
              <w:p w14:paraId="54D144DF" w14:textId="750344B0" w:rsidR="0066567F" w:rsidRPr="00283508" w:rsidRDefault="0066567F" w:rsidP="0066567F">
                <w:pPr>
                  <w:pStyle w:val="TableTextLeft"/>
                  <w:spacing w:before="0" w:after="0"/>
                  <w:jc w:val="center"/>
                  <w:rPr>
                    <w:sz w:val="14"/>
                    <w:szCs w:val="14"/>
                  </w:rPr>
                </w:pPr>
                <w:r w:rsidRPr="0066567F">
                  <w:rPr>
                    <w:sz w:val="14"/>
                    <w:szCs w:val="14"/>
                  </w:rPr>
                  <w:t>27.5%</w:t>
                </w:r>
              </w:p>
            </w:tc>
            <w:tc>
              <w:tcPr>
                <w:tcW w:w="621" w:type="pct"/>
                <w:shd w:val="clear" w:color="auto" w:fill="FFFFFF" w:themeFill="background2"/>
                <w:vAlign w:val="center"/>
              </w:tcPr>
              <w:p w14:paraId="7B4BF327" w14:textId="561992C0" w:rsidR="0066567F" w:rsidRPr="00283508" w:rsidRDefault="0066567F" w:rsidP="0066567F">
                <w:pPr>
                  <w:pStyle w:val="TableTextLeft"/>
                  <w:spacing w:before="0" w:after="0"/>
                  <w:jc w:val="center"/>
                  <w:rPr>
                    <w:sz w:val="14"/>
                    <w:szCs w:val="14"/>
                  </w:rPr>
                </w:pPr>
                <w:r w:rsidRPr="0066567F">
                  <w:rPr>
                    <w:sz w:val="14"/>
                    <w:szCs w:val="14"/>
                  </w:rPr>
                  <w:t>9.3%</w:t>
                </w:r>
              </w:p>
            </w:tc>
            <w:tc>
              <w:tcPr>
                <w:tcW w:w="621" w:type="pct"/>
                <w:shd w:val="clear" w:color="auto" w:fill="FFFFFF" w:themeFill="background2"/>
                <w:vAlign w:val="center"/>
              </w:tcPr>
              <w:p w14:paraId="2BBC1EB3" w14:textId="131550DD" w:rsidR="0066567F" w:rsidRPr="00283508" w:rsidRDefault="0066567F" w:rsidP="0066567F">
                <w:pPr>
                  <w:pStyle w:val="TableTextLeft"/>
                  <w:spacing w:before="0" w:after="0"/>
                  <w:jc w:val="center"/>
                  <w:rPr>
                    <w:sz w:val="14"/>
                    <w:szCs w:val="14"/>
                  </w:rPr>
                </w:pPr>
                <w:r w:rsidRPr="0066567F">
                  <w:rPr>
                    <w:sz w:val="14"/>
                    <w:szCs w:val="14"/>
                  </w:rPr>
                  <w:t>13.8%</w:t>
                </w:r>
              </w:p>
            </w:tc>
            <w:tc>
              <w:tcPr>
                <w:tcW w:w="621" w:type="pct"/>
                <w:shd w:val="clear" w:color="auto" w:fill="FFFFFF" w:themeFill="background2"/>
                <w:vAlign w:val="center"/>
              </w:tcPr>
              <w:p w14:paraId="6AF2727F" w14:textId="2EE0302E" w:rsidR="0066567F" w:rsidRPr="00283508" w:rsidRDefault="0066567F" w:rsidP="0066567F">
                <w:pPr>
                  <w:pStyle w:val="TableTextLeft"/>
                  <w:spacing w:before="0" w:after="0"/>
                  <w:jc w:val="center"/>
                  <w:rPr>
                    <w:sz w:val="14"/>
                    <w:szCs w:val="14"/>
                  </w:rPr>
                </w:pPr>
                <w:r w:rsidRPr="0066567F">
                  <w:rPr>
                    <w:sz w:val="14"/>
                    <w:szCs w:val="14"/>
                  </w:rPr>
                  <w:t>2.1%</w:t>
                </w:r>
              </w:p>
            </w:tc>
            <w:tc>
              <w:tcPr>
                <w:tcW w:w="621" w:type="pct"/>
                <w:shd w:val="clear" w:color="auto" w:fill="FFFFFF" w:themeFill="background2"/>
                <w:vAlign w:val="center"/>
              </w:tcPr>
              <w:p w14:paraId="721F5830" w14:textId="7C48FED2" w:rsidR="0066567F" w:rsidRPr="00283508" w:rsidRDefault="0066567F" w:rsidP="0066567F">
                <w:pPr>
                  <w:pStyle w:val="TableTextLeft"/>
                  <w:spacing w:before="0" w:after="0"/>
                  <w:jc w:val="center"/>
                  <w:rPr>
                    <w:sz w:val="14"/>
                    <w:szCs w:val="14"/>
                  </w:rPr>
                </w:pPr>
                <w:r w:rsidRPr="0066567F">
                  <w:rPr>
                    <w:sz w:val="14"/>
                    <w:szCs w:val="14"/>
                  </w:rPr>
                  <w:t>9.5%</w:t>
                </w:r>
              </w:p>
            </w:tc>
            <w:tc>
              <w:tcPr>
                <w:tcW w:w="617" w:type="pct"/>
                <w:shd w:val="clear" w:color="auto" w:fill="FFFFFF" w:themeFill="background2"/>
                <w:vAlign w:val="center"/>
              </w:tcPr>
              <w:p w14:paraId="37871290" w14:textId="0DADA7CE" w:rsidR="0066567F" w:rsidRPr="00283508" w:rsidRDefault="0066567F" w:rsidP="0066567F">
                <w:pPr>
                  <w:pStyle w:val="TableTextLeft"/>
                  <w:spacing w:before="0" w:after="0"/>
                  <w:jc w:val="center"/>
                  <w:rPr>
                    <w:sz w:val="14"/>
                    <w:szCs w:val="14"/>
                  </w:rPr>
                </w:pPr>
                <w:r w:rsidRPr="0066567F">
                  <w:rPr>
                    <w:sz w:val="14"/>
                    <w:szCs w:val="14"/>
                  </w:rPr>
                  <w:t>100.0%</w:t>
                </w:r>
              </w:p>
            </w:tc>
          </w:tr>
          <w:tr w:rsidR="0066567F" w:rsidRPr="00ED33EF" w14:paraId="4D552B93" w14:textId="77777777" w:rsidTr="0066567F">
            <w:trPr>
              <w:trHeight w:val="283"/>
            </w:trPr>
            <w:tc>
              <w:tcPr>
                <w:tcW w:w="660" w:type="pct"/>
                <w:shd w:val="clear" w:color="auto" w:fill="FFFFFF" w:themeFill="background2"/>
                <w:tcMar>
                  <w:top w:w="60" w:type="dxa"/>
                  <w:left w:w="114" w:type="dxa"/>
                  <w:bottom w:w="60" w:type="dxa"/>
                  <w:right w:w="114" w:type="dxa"/>
                </w:tcMar>
                <w:vAlign w:val="center"/>
              </w:tcPr>
              <w:p w14:paraId="5159CC2F" w14:textId="77777777" w:rsidR="0066567F" w:rsidRPr="00ED33EF" w:rsidRDefault="0066567F" w:rsidP="0066567F">
                <w:pPr>
                  <w:pStyle w:val="TableIndent3"/>
                  <w:spacing w:before="0" w:after="0"/>
                  <w:ind w:left="0"/>
                  <w:rPr>
                    <w:sz w:val="14"/>
                    <w:szCs w:val="14"/>
                  </w:rPr>
                </w:pPr>
                <w:r w:rsidRPr="0032337D">
                  <w:rPr>
                    <w:rFonts w:cs="Segoe UI"/>
                    <w:b/>
                    <w:sz w:val="14"/>
                    <w:lang w:val="en-GB" w:eastAsia="it-IT"/>
                  </w:rPr>
                  <w:t>31 December 2014</w:t>
                </w:r>
              </w:p>
            </w:tc>
            <w:tc>
              <w:tcPr>
                <w:tcW w:w="620" w:type="pct"/>
                <w:shd w:val="clear" w:color="auto" w:fill="FFFFFF" w:themeFill="background2"/>
                <w:tcMar>
                  <w:top w:w="60" w:type="dxa"/>
                  <w:left w:w="114" w:type="dxa"/>
                  <w:bottom w:w="60" w:type="dxa"/>
                  <w:right w:w="114" w:type="dxa"/>
                </w:tcMar>
                <w:vAlign w:val="center"/>
              </w:tcPr>
              <w:p w14:paraId="7CFB173D" w14:textId="7BBA9D8D" w:rsidR="0066567F" w:rsidRPr="00283508" w:rsidRDefault="0066567F" w:rsidP="0066567F">
                <w:pPr>
                  <w:pStyle w:val="TableTextLeft"/>
                  <w:spacing w:before="0" w:after="0"/>
                  <w:jc w:val="center"/>
                  <w:rPr>
                    <w:sz w:val="14"/>
                    <w:szCs w:val="14"/>
                  </w:rPr>
                </w:pPr>
                <w:r w:rsidRPr="0066567F">
                  <w:rPr>
                    <w:sz w:val="14"/>
                    <w:szCs w:val="14"/>
                  </w:rPr>
                  <w:t>35.9%</w:t>
                </w:r>
              </w:p>
            </w:tc>
            <w:tc>
              <w:tcPr>
                <w:tcW w:w="620" w:type="pct"/>
                <w:shd w:val="clear" w:color="auto" w:fill="FFFFFF" w:themeFill="background2"/>
                <w:tcMar>
                  <w:top w:w="60" w:type="dxa"/>
                  <w:left w:w="114" w:type="dxa"/>
                  <w:bottom w:w="60" w:type="dxa"/>
                  <w:right w:w="114" w:type="dxa"/>
                </w:tcMar>
                <w:vAlign w:val="center"/>
              </w:tcPr>
              <w:p w14:paraId="47B77C24" w14:textId="14D1D50B" w:rsidR="0066567F" w:rsidRPr="00283508" w:rsidRDefault="0066567F" w:rsidP="0066567F">
                <w:pPr>
                  <w:pStyle w:val="TableTextLeft"/>
                  <w:spacing w:before="0" w:after="0"/>
                  <w:jc w:val="center"/>
                  <w:rPr>
                    <w:sz w:val="14"/>
                    <w:szCs w:val="14"/>
                  </w:rPr>
                </w:pPr>
                <w:r w:rsidRPr="0066567F">
                  <w:rPr>
                    <w:sz w:val="14"/>
                    <w:szCs w:val="14"/>
                  </w:rPr>
                  <w:t>24.5%</w:t>
                </w:r>
              </w:p>
            </w:tc>
            <w:tc>
              <w:tcPr>
                <w:tcW w:w="621" w:type="pct"/>
                <w:shd w:val="clear" w:color="auto" w:fill="FFFFFF" w:themeFill="background2"/>
                <w:vAlign w:val="center"/>
              </w:tcPr>
              <w:p w14:paraId="65224A04" w14:textId="3D30B547" w:rsidR="0066567F" w:rsidRPr="00283508" w:rsidRDefault="0066567F" w:rsidP="0066567F">
                <w:pPr>
                  <w:pStyle w:val="TableTextLeft"/>
                  <w:spacing w:before="0" w:after="0"/>
                  <w:jc w:val="center"/>
                  <w:rPr>
                    <w:sz w:val="14"/>
                    <w:szCs w:val="14"/>
                  </w:rPr>
                </w:pPr>
                <w:r w:rsidRPr="0066567F">
                  <w:rPr>
                    <w:sz w:val="14"/>
                    <w:szCs w:val="14"/>
                  </w:rPr>
                  <w:t>10.6%</w:t>
                </w:r>
              </w:p>
            </w:tc>
            <w:tc>
              <w:tcPr>
                <w:tcW w:w="621" w:type="pct"/>
                <w:shd w:val="clear" w:color="auto" w:fill="FFFFFF" w:themeFill="background2"/>
                <w:vAlign w:val="center"/>
              </w:tcPr>
              <w:p w14:paraId="6F7E6C98" w14:textId="7B067F6D" w:rsidR="0066567F" w:rsidRPr="00283508" w:rsidRDefault="0066567F" w:rsidP="0066567F">
                <w:pPr>
                  <w:pStyle w:val="TableTextLeft"/>
                  <w:spacing w:before="0" w:after="0"/>
                  <w:jc w:val="center"/>
                  <w:rPr>
                    <w:sz w:val="14"/>
                    <w:szCs w:val="14"/>
                  </w:rPr>
                </w:pPr>
                <w:r w:rsidRPr="0066567F">
                  <w:rPr>
                    <w:sz w:val="14"/>
                    <w:szCs w:val="14"/>
                  </w:rPr>
                  <w:t>16.4%</w:t>
                </w:r>
              </w:p>
            </w:tc>
            <w:tc>
              <w:tcPr>
                <w:tcW w:w="621" w:type="pct"/>
                <w:shd w:val="clear" w:color="auto" w:fill="FFFFFF" w:themeFill="background2"/>
                <w:vAlign w:val="center"/>
              </w:tcPr>
              <w:p w14:paraId="6018E7B2" w14:textId="72CFD37E" w:rsidR="0066567F" w:rsidRPr="00283508" w:rsidRDefault="0066567F" w:rsidP="0066567F">
                <w:pPr>
                  <w:pStyle w:val="TableTextLeft"/>
                  <w:spacing w:before="0" w:after="0"/>
                  <w:jc w:val="center"/>
                  <w:rPr>
                    <w:sz w:val="14"/>
                    <w:szCs w:val="14"/>
                  </w:rPr>
                </w:pPr>
                <w:r w:rsidRPr="0066567F">
                  <w:rPr>
                    <w:sz w:val="14"/>
                    <w:szCs w:val="14"/>
                  </w:rPr>
                  <w:t>3.1%</w:t>
                </w:r>
              </w:p>
            </w:tc>
            <w:tc>
              <w:tcPr>
                <w:tcW w:w="621" w:type="pct"/>
                <w:shd w:val="clear" w:color="auto" w:fill="FFFFFF" w:themeFill="background2"/>
                <w:vAlign w:val="center"/>
              </w:tcPr>
              <w:p w14:paraId="367D87D5" w14:textId="300CE892" w:rsidR="0066567F" w:rsidRPr="00283508" w:rsidRDefault="0066567F" w:rsidP="0066567F">
                <w:pPr>
                  <w:pStyle w:val="TableTextLeft"/>
                  <w:spacing w:before="0" w:after="0"/>
                  <w:jc w:val="center"/>
                  <w:rPr>
                    <w:sz w:val="14"/>
                    <w:szCs w:val="14"/>
                  </w:rPr>
                </w:pPr>
                <w:r w:rsidRPr="0066567F">
                  <w:rPr>
                    <w:sz w:val="14"/>
                    <w:szCs w:val="14"/>
                  </w:rPr>
                  <w:t>9.5%</w:t>
                </w:r>
              </w:p>
            </w:tc>
            <w:tc>
              <w:tcPr>
                <w:tcW w:w="617" w:type="pct"/>
                <w:shd w:val="clear" w:color="auto" w:fill="FFFFFF" w:themeFill="background2"/>
                <w:vAlign w:val="center"/>
              </w:tcPr>
              <w:p w14:paraId="08D0CD00" w14:textId="735D16C0" w:rsidR="0066567F" w:rsidRPr="00283508" w:rsidRDefault="0066567F" w:rsidP="0066567F">
                <w:pPr>
                  <w:pStyle w:val="TableTextLeft"/>
                  <w:spacing w:before="0" w:after="0"/>
                  <w:jc w:val="center"/>
                  <w:rPr>
                    <w:sz w:val="14"/>
                    <w:szCs w:val="14"/>
                  </w:rPr>
                </w:pPr>
                <w:r w:rsidRPr="0066567F">
                  <w:rPr>
                    <w:sz w:val="14"/>
                    <w:szCs w:val="14"/>
                  </w:rPr>
                  <w:t>100.0%</w:t>
                </w:r>
              </w:p>
            </w:tc>
          </w:tr>
          <w:tr w:rsidR="0066567F" w:rsidRPr="00ED33EF" w14:paraId="4A2C46B0" w14:textId="77777777" w:rsidTr="0066567F">
            <w:trPr>
              <w:trHeight w:val="283"/>
            </w:trPr>
            <w:tc>
              <w:tcPr>
                <w:tcW w:w="660" w:type="pct"/>
                <w:shd w:val="clear" w:color="auto" w:fill="FFFFFF" w:themeFill="background2"/>
                <w:tcMar>
                  <w:top w:w="60" w:type="dxa"/>
                  <w:left w:w="114" w:type="dxa"/>
                  <w:bottom w:w="60" w:type="dxa"/>
                  <w:right w:w="114" w:type="dxa"/>
                </w:tcMar>
                <w:vAlign w:val="center"/>
              </w:tcPr>
              <w:p w14:paraId="5775978B" w14:textId="77777777" w:rsidR="0066567F" w:rsidRPr="00ED33EF" w:rsidRDefault="0066567F" w:rsidP="0066567F">
                <w:pPr>
                  <w:pStyle w:val="TableIndent3"/>
                  <w:spacing w:before="0" w:after="0"/>
                  <w:ind w:left="0"/>
                  <w:rPr>
                    <w:sz w:val="14"/>
                    <w:szCs w:val="14"/>
                  </w:rPr>
                </w:pPr>
                <w:r w:rsidRPr="0032337D">
                  <w:rPr>
                    <w:rFonts w:cs="Segoe UI"/>
                    <w:b/>
                    <w:sz w:val="14"/>
                    <w:lang w:val="en-GB" w:eastAsia="it-IT"/>
                  </w:rPr>
                  <w:t>31 December 2015</w:t>
                </w:r>
              </w:p>
            </w:tc>
            <w:tc>
              <w:tcPr>
                <w:tcW w:w="620" w:type="pct"/>
                <w:shd w:val="clear" w:color="auto" w:fill="FFFFFF" w:themeFill="background2"/>
                <w:tcMar>
                  <w:top w:w="60" w:type="dxa"/>
                  <w:left w:w="114" w:type="dxa"/>
                  <w:bottom w:w="60" w:type="dxa"/>
                  <w:right w:w="114" w:type="dxa"/>
                </w:tcMar>
                <w:vAlign w:val="center"/>
              </w:tcPr>
              <w:p w14:paraId="554393F9" w14:textId="61D99171" w:rsidR="0066567F" w:rsidRPr="00283508" w:rsidRDefault="0066567F" w:rsidP="0066567F">
                <w:pPr>
                  <w:pStyle w:val="TableTextLeft"/>
                  <w:spacing w:before="0" w:after="0"/>
                  <w:jc w:val="center"/>
                  <w:rPr>
                    <w:sz w:val="14"/>
                    <w:szCs w:val="14"/>
                  </w:rPr>
                </w:pPr>
                <w:r w:rsidRPr="0066567F">
                  <w:rPr>
                    <w:sz w:val="14"/>
                    <w:szCs w:val="14"/>
                  </w:rPr>
                  <w:t>37.0%</w:t>
                </w:r>
              </w:p>
            </w:tc>
            <w:tc>
              <w:tcPr>
                <w:tcW w:w="620" w:type="pct"/>
                <w:shd w:val="clear" w:color="auto" w:fill="FFFFFF" w:themeFill="background2"/>
                <w:tcMar>
                  <w:top w:w="60" w:type="dxa"/>
                  <w:left w:w="114" w:type="dxa"/>
                  <w:bottom w:w="60" w:type="dxa"/>
                  <w:right w:w="114" w:type="dxa"/>
                </w:tcMar>
                <w:vAlign w:val="center"/>
              </w:tcPr>
              <w:p w14:paraId="1C90A78D" w14:textId="046DD38C" w:rsidR="0066567F" w:rsidRPr="00283508" w:rsidRDefault="0066567F" w:rsidP="0066567F">
                <w:pPr>
                  <w:pStyle w:val="TableTextLeft"/>
                  <w:spacing w:before="0" w:after="0"/>
                  <w:jc w:val="center"/>
                  <w:rPr>
                    <w:sz w:val="14"/>
                    <w:szCs w:val="14"/>
                  </w:rPr>
                </w:pPr>
                <w:r w:rsidRPr="0066567F">
                  <w:rPr>
                    <w:sz w:val="14"/>
                    <w:szCs w:val="14"/>
                  </w:rPr>
                  <w:t>23.4%</w:t>
                </w:r>
              </w:p>
            </w:tc>
            <w:tc>
              <w:tcPr>
                <w:tcW w:w="621" w:type="pct"/>
                <w:shd w:val="clear" w:color="auto" w:fill="FFFFFF" w:themeFill="background2"/>
                <w:vAlign w:val="center"/>
              </w:tcPr>
              <w:p w14:paraId="74789BDE" w14:textId="708DA889" w:rsidR="0066567F" w:rsidRPr="00283508" w:rsidRDefault="0066567F" w:rsidP="0066567F">
                <w:pPr>
                  <w:pStyle w:val="TableTextLeft"/>
                  <w:spacing w:before="0" w:after="0"/>
                  <w:jc w:val="center"/>
                  <w:rPr>
                    <w:sz w:val="14"/>
                    <w:szCs w:val="14"/>
                  </w:rPr>
                </w:pPr>
                <w:r w:rsidRPr="0066567F">
                  <w:rPr>
                    <w:sz w:val="14"/>
                    <w:szCs w:val="14"/>
                  </w:rPr>
                  <w:t>8.8%</w:t>
                </w:r>
              </w:p>
            </w:tc>
            <w:tc>
              <w:tcPr>
                <w:tcW w:w="621" w:type="pct"/>
                <w:shd w:val="clear" w:color="auto" w:fill="FFFFFF" w:themeFill="background2"/>
                <w:vAlign w:val="center"/>
              </w:tcPr>
              <w:p w14:paraId="52009712" w14:textId="398BF928" w:rsidR="0066567F" w:rsidRPr="00283508" w:rsidRDefault="0066567F" w:rsidP="0066567F">
                <w:pPr>
                  <w:pStyle w:val="TableTextLeft"/>
                  <w:spacing w:before="0" w:after="0"/>
                  <w:jc w:val="center"/>
                  <w:rPr>
                    <w:sz w:val="14"/>
                    <w:szCs w:val="14"/>
                  </w:rPr>
                </w:pPr>
                <w:r w:rsidRPr="0066567F">
                  <w:rPr>
                    <w:sz w:val="14"/>
                    <w:szCs w:val="14"/>
                  </w:rPr>
                  <w:t>15.5%</w:t>
                </w:r>
              </w:p>
            </w:tc>
            <w:tc>
              <w:tcPr>
                <w:tcW w:w="621" w:type="pct"/>
                <w:shd w:val="clear" w:color="auto" w:fill="FFFFFF" w:themeFill="background2"/>
                <w:vAlign w:val="center"/>
              </w:tcPr>
              <w:p w14:paraId="7BB07E74" w14:textId="09EFE4FD" w:rsidR="0066567F" w:rsidRPr="00283508" w:rsidRDefault="0066567F" w:rsidP="0066567F">
                <w:pPr>
                  <w:pStyle w:val="TableTextLeft"/>
                  <w:spacing w:before="0" w:after="0"/>
                  <w:jc w:val="center"/>
                  <w:rPr>
                    <w:sz w:val="14"/>
                    <w:szCs w:val="14"/>
                  </w:rPr>
                </w:pPr>
                <w:r w:rsidRPr="0066567F">
                  <w:rPr>
                    <w:sz w:val="14"/>
                    <w:szCs w:val="14"/>
                  </w:rPr>
                  <w:t>3.4%</w:t>
                </w:r>
              </w:p>
            </w:tc>
            <w:tc>
              <w:tcPr>
                <w:tcW w:w="621" w:type="pct"/>
                <w:shd w:val="clear" w:color="auto" w:fill="FFFFFF" w:themeFill="background2"/>
                <w:vAlign w:val="center"/>
              </w:tcPr>
              <w:p w14:paraId="3CF01E14" w14:textId="056949E8" w:rsidR="0066567F" w:rsidRPr="00283508" w:rsidRDefault="0066567F" w:rsidP="0066567F">
                <w:pPr>
                  <w:pStyle w:val="TableTextLeft"/>
                  <w:spacing w:before="0" w:after="0"/>
                  <w:jc w:val="center"/>
                  <w:rPr>
                    <w:sz w:val="14"/>
                    <w:szCs w:val="14"/>
                  </w:rPr>
                </w:pPr>
                <w:r w:rsidRPr="0066567F">
                  <w:rPr>
                    <w:sz w:val="14"/>
                    <w:szCs w:val="14"/>
                  </w:rPr>
                  <w:t>12.0%</w:t>
                </w:r>
              </w:p>
            </w:tc>
            <w:tc>
              <w:tcPr>
                <w:tcW w:w="617" w:type="pct"/>
                <w:shd w:val="clear" w:color="auto" w:fill="FFFFFF" w:themeFill="background2"/>
                <w:vAlign w:val="center"/>
              </w:tcPr>
              <w:p w14:paraId="62BEBB82" w14:textId="790BCB5C" w:rsidR="0066567F" w:rsidRPr="00283508" w:rsidRDefault="0066567F" w:rsidP="0066567F">
                <w:pPr>
                  <w:pStyle w:val="TableTextLeft"/>
                  <w:spacing w:before="0" w:after="0"/>
                  <w:jc w:val="center"/>
                  <w:rPr>
                    <w:sz w:val="14"/>
                    <w:szCs w:val="14"/>
                  </w:rPr>
                </w:pPr>
                <w:r w:rsidRPr="0066567F">
                  <w:rPr>
                    <w:sz w:val="14"/>
                    <w:szCs w:val="14"/>
                  </w:rPr>
                  <w:t>100.0%</w:t>
                </w:r>
              </w:p>
            </w:tc>
          </w:tr>
          <w:tr w:rsidR="0066567F" w:rsidRPr="00ED33EF" w14:paraId="2013E086" w14:textId="77777777" w:rsidTr="0066567F">
            <w:trPr>
              <w:trHeight w:val="283"/>
            </w:trPr>
            <w:tc>
              <w:tcPr>
                <w:tcW w:w="660" w:type="pct"/>
                <w:shd w:val="clear" w:color="auto" w:fill="FFFFFF" w:themeFill="background2"/>
                <w:tcMar>
                  <w:top w:w="60" w:type="dxa"/>
                  <w:left w:w="114" w:type="dxa"/>
                  <w:bottom w:w="60" w:type="dxa"/>
                  <w:right w:w="114" w:type="dxa"/>
                </w:tcMar>
                <w:vAlign w:val="center"/>
              </w:tcPr>
              <w:p w14:paraId="1FA0AD53" w14:textId="77777777" w:rsidR="0066567F" w:rsidRPr="00ED33EF" w:rsidRDefault="0066567F" w:rsidP="0066567F">
                <w:pPr>
                  <w:pStyle w:val="TableIndent3"/>
                  <w:spacing w:before="0" w:after="0"/>
                  <w:ind w:left="0"/>
                  <w:rPr>
                    <w:sz w:val="14"/>
                    <w:szCs w:val="14"/>
                  </w:rPr>
                </w:pPr>
                <w:r w:rsidRPr="0032337D">
                  <w:rPr>
                    <w:rFonts w:cs="Segoe UI"/>
                    <w:b/>
                    <w:sz w:val="14"/>
                    <w:lang w:val="en-GB" w:eastAsia="it-IT"/>
                  </w:rPr>
                  <w:t>31 December 2016</w:t>
                </w:r>
              </w:p>
            </w:tc>
            <w:tc>
              <w:tcPr>
                <w:tcW w:w="620" w:type="pct"/>
                <w:shd w:val="clear" w:color="auto" w:fill="FFFFFF" w:themeFill="background2"/>
                <w:tcMar>
                  <w:top w:w="60" w:type="dxa"/>
                  <w:left w:w="114" w:type="dxa"/>
                  <w:bottom w:w="60" w:type="dxa"/>
                  <w:right w:w="114" w:type="dxa"/>
                </w:tcMar>
                <w:vAlign w:val="center"/>
              </w:tcPr>
              <w:p w14:paraId="72260564" w14:textId="21EB530B" w:rsidR="0066567F" w:rsidRPr="00283508" w:rsidRDefault="0066567F" w:rsidP="0066567F">
                <w:pPr>
                  <w:pStyle w:val="TableTextLeft"/>
                  <w:spacing w:before="0" w:after="0"/>
                  <w:jc w:val="center"/>
                  <w:rPr>
                    <w:sz w:val="14"/>
                    <w:szCs w:val="14"/>
                  </w:rPr>
                </w:pPr>
                <w:r w:rsidRPr="0066567F">
                  <w:rPr>
                    <w:sz w:val="14"/>
                    <w:szCs w:val="14"/>
                  </w:rPr>
                  <w:t>34.6%</w:t>
                </w:r>
              </w:p>
            </w:tc>
            <w:tc>
              <w:tcPr>
                <w:tcW w:w="620" w:type="pct"/>
                <w:shd w:val="clear" w:color="auto" w:fill="FFFFFF" w:themeFill="background2"/>
                <w:tcMar>
                  <w:top w:w="60" w:type="dxa"/>
                  <w:left w:w="114" w:type="dxa"/>
                  <w:bottom w:w="60" w:type="dxa"/>
                  <w:right w:w="114" w:type="dxa"/>
                </w:tcMar>
                <w:vAlign w:val="center"/>
              </w:tcPr>
              <w:p w14:paraId="37A9CF08" w14:textId="5F08EBED" w:rsidR="0066567F" w:rsidRPr="00283508" w:rsidRDefault="0066567F" w:rsidP="0066567F">
                <w:pPr>
                  <w:pStyle w:val="TableTextLeft"/>
                  <w:spacing w:before="0" w:after="0"/>
                  <w:jc w:val="center"/>
                  <w:rPr>
                    <w:sz w:val="14"/>
                    <w:szCs w:val="14"/>
                  </w:rPr>
                </w:pPr>
                <w:r w:rsidRPr="0066567F">
                  <w:rPr>
                    <w:sz w:val="14"/>
                    <w:szCs w:val="14"/>
                  </w:rPr>
                  <w:t>23.0%</w:t>
                </w:r>
              </w:p>
            </w:tc>
            <w:tc>
              <w:tcPr>
                <w:tcW w:w="621" w:type="pct"/>
                <w:shd w:val="clear" w:color="auto" w:fill="FFFFFF" w:themeFill="background2"/>
                <w:vAlign w:val="center"/>
              </w:tcPr>
              <w:p w14:paraId="08782992" w14:textId="321E7437" w:rsidR="0066567F" w:rsidRPr="00283508" w:rsidRDefault="0066567F" w:rsidP="0066567F">
                <w:pPr>
                  <w:pStyle w:val="TableTextLeft"/>
                  <w:spacing w:before="0" w:after="0"/>
                  <w:jc w:val="center"/>
                  <w:rPr>
                    <w:sz w:val="14"/>
                    <w:szCs w:val="14"/>
                  </w:rPr>
                </w:pPr>
                <w:r w:rsidRPr="0066567F">
                  <w:rPr>
                    <w:sz w:val="14"/>
                    <w:szCs w:val="14"/>
                  </w:rPr>
                  <w:t>9.2%</w:t>
                </w:r>
              </w:p>
            </w:tc>
            <w:tc>
              <w:tcPr>
                <w:tcW w:w="621" w:type="pct"/>
                <w:shd w:val="clear" w:color="auto" w:fill="FFFFFF" w:themeFill="background2"/>
                <w:vAlign w:val="center"/>
              </w:tcPr>
              <w:p w14:paraId="04DF7A58" w14:textId="71A7DD2B" w:rsidR="0066567F" w:rsidRPr="00283508" w:rsidRDefault="0066567F" w:rsidP="0066567F">
                <w:pPr>
                  <w:pStyle w:val="TableTextLeft"/>
                  <w:spacing w:before="0" w:after="0"/>
                  <w:jc w:val="center"/>
                  <w:rPr>
                    <w:sz w:val="14"/>
                    <w:szCs w:val="14"/>
                  </w:rPr>
                </w:pPr>
                <w:r w:rsidRPr="0066567F">
                  <w:rPr>
                    <w:sz w:val="14"/>
                    <w:szCs w:val="14"/>
                  </w:rPr>
                  <w:t>18.4%</w:t>
                </w:r>
              </w:p>
            </w:tc>
            <w:tc>
              <w:tcPr>
                <w:tcW w:w="621" w:type="pct"/>
                <w:shd w:val="clear" w:color="auto" w:fill="FFFFFF" w:themeFill="background2"/>
                <w:vAlign w:val="center"/>
              </w:tcPr>
              <w:p w14:paraId="0C652D35" w14:textId="6259BE00" w:rsidR="0066567F" w:rsidRPr="00283508" w:rsidRDefault="0066567F" w:rsidP="0066567F">
                <w:pPr>
                  <w:pStyle w:val="TableTextLeft"/>
                  <w:spacing w:before="0" w:after="0"/>
                  <w:jc w:val="center"/>
                  <w:rPr>
                    <w:sz w:val="14"/>
                    <w:szCs w:val="14"/>
                  </w:rPr>
                </w:pPr>
                <w:r w:rsidRPr="0066567F">
                  <w:rPr>
                    <w:sz w:val="14"/>
                    <w:szCs w:val="14"/>
                  </w:rPr>
                  <w:t>3.0%</w:t>
                </w:r>
              </w:p>
            </w:tc>
            <w:tc>
              <w:tcPr>
                <w:tcW w:w="621" w:type="pct"/>
                <w:shd w:val="clear" w:color="auto" w:fill="FFFFFF" w:themeFill="background2"/>
                <w:vAlign w:val="center"/>
              </w:tcPr>
              <w:p w14:paraId="2083F650" w14:textId="15C3CA82" w:rsidR="0066567F" w:rsidRPr="00283508" w:rsidRDefault="0066567F" w:rsidP="0066567F">
                <w:pPr>
                  <w:pStyle w:val="TableTextLeft"/>
                  <w:spacing w:before="0" w:after="0"/>
                  <w:jc w:val="center"/>
                  <w:rPr>
                    <w:sz w:val="14"/>
                    <w:szCs w:val="14"/>
                  </w:rPr>
                </w:pPr>
                <w:r w:rsidRPr="0066567F">
                  <w:rPr>
                    <w:sz w:val="14"/>
                    <w:szCs w:val="14"/>
                  </w:rPr>
                  <w:t>11.7%</w:t>
                </w:r>
              </w:p>
            </w:tc>
            <w:tc>
              <w:tcPr>
                <w:tcW w:w="617" w:type="pct"/>
                <w:shd w:val="clear" w:color="auto" w:fill="FFFFFF" w:themeFill="background2"/>
                <w:vAlign w:val="center"/>
              </w:tcPr>
              <w:p w14:paraId="018D2D6A" w14:textId="18879889" w:rsidR="0066567F" w:rsidRPr="00283508" w:rsidRDefault="0066567F" w:rsidP="0066567F">
                <w:pPr>
                  <w:pStyle w:val="TableTextLeft"/>
                  <w:spacing w:before="0" w:after="0"/>
                  <w:jc w:val="center"/>
                  <w:rPr>
                    <w:sz w:val="14"/>
                    <w:szCs w:val="14"/>
                  </w:rPr>
                </w:pPr>
                <w:r w:rsidRPr="0066567F">
                  <w:rPr>
                    <w:sz w:val="14"/>
                    <w:szCs w:val="14"/>
                  </w:rPr>
                  <w:t>100.0%</w:t>
                </w:r>
              </w:p>
            </w:tc>
          </w:tr>
          <w:tr w:rsidR="0066567F" w:rsidRPr="00ED33EF" w14:paraId="473A4D96" w14:textId="77777777" w:rsidTr="0066567F">
            <w:trPr>
              <w:trHeight w:val="283"/>
            </w:trPr>
            <w:tc>
              <w:tcPr>
                <w:tcW w:w="660" w:type="pct"/>
                <w:shd w:val="clear" w:color="auto" w:fill="FFFFFF" w:themeFill="background2"/>
                <w:tcMar>
                  <w:top w:w="60" w:type="dxa"/>
                  <w:left w:w="114" w:type="dxa"/>
                  <w:bottom w:w="60" w:type="dxa"/>
                  <w:right w:w="114" w:type="dxa"/>
                </w:tcMar>
                <w:vAlign w:val="center"/>
              </w:tcPr>
              <w:p w14:paraId="3599442E" w14:textId="77777777" w:rsidR="0066567F" w:rsidRPr="00ED33EF" w:rsidRDefault="0066567F" w:rsidP="0066567F">
                <w:pPr>
                  <w:pStyle w:val="TableIndent3"/>
                  <w:spacing w:before="0" w:after="0"/>
                  <w:ind w:left="0"/>
                  <w:rPr>
                    <w:sz w:val="14"/>
                    <w:szCs w:val="14"/>
                  </w:rPr>
                </w:pPr>
                <w:r w:rsidRPr="0032337D">
                  <w:rPr>
                    <w:rFonts w:cs="Segoe UI"/>
                    <w:b/>
                    <w:sz w:val="14"/>
                    <w:lang w:val="en-GB" w:eastAsia="it-IT"/>
                  </w:rPr>
                  <w:t>31 December 2017</w:t>
                </w:r>
              </w:p>
            </w:tc>
            <w:tc>
              <w:tcPr>
                <w:tcW w:w="620" w:type="pct"/>
                <w:shd w:val="clear" w:color="auto" w:fill="FFFFFF" w:themeFill="background2"/>
                <w:tcMar>
                  <w:top w:w="60" w:type="dxa"/>
                  <w:left w:w="114" w:type="dxa"/>
                  <w:bottom w:w="60" w:type="dxa"/>
                  <w:right w:w="114" w:type="dxa"/>
                </w:tcMar>
                <w:vAlign w:val="center"/>
              </w:tcPr>
              <w:p w14:paraId="53D97356" w14:textId="2C5C5542" w:rsidR="0066567F" w:rsidRPr="00283508" w:rsidRDefault="0066567F" w:rsidP="0066567F">
                <w:pPr>
                  <w:pStyle w:val="TableTextLeft"/>
                  <w:spacing w:before="0" w:after="0"/>
                  <w:jc w:val="center"/>
                  <w:rPr>
                    <w:sz w:val="14"/>
                    <w:szCs w:val="14"/>
                  </w:rPr>
                </w:pPr>
                <w:r w:rsidRPr="0066567F">
                  <w:rPr>
                    <w:sz w:val="14"/>
                    <w:szCs w:val="14"/>
                  </w:rPr>
                  <w:t>35.4%</w:t>
                </w:r>
              </w:p>
            </w:tc>
            <w:tc>
              <w:tcPr>
                <w:tcW w:w="620" w:type="pct"/>
                <w:shd w:val="clear" w:color="auto" w:fill="FFFFFF" w:themeFill="background2"/>
                <w:tcMar>
                  <w:top w:w="60" w:type="dxa"/>
                  <w:left w:w="114" w:type="dxa"/>
                  <w:bottom w:w="60" w:type="dxa"/>
                  <w:right w:w="114" w:type="dxa"/>
                </w:tcMar>
                <w:vAlign w:val="center"/>
              </w:tcPr>
              <w:p w14:paraId="582A8B7F" w14:textId="37B1E3AA" w:rsidR="0066567F" w:rsidRPr="00283508" w:rsidRDefault="0066567F" w:rsidP="0066567F">
                <w:pPr>
                  <w:pStyle w:val="TableTextLeft"/>
                  <w:spacing w:before="0" w:after="0"/>
                  <w:jc w:val="center"/>
                  <w:rPr>
                    <w:sz w:val="14"/>
                    <w:szCs w:val="14"/>
                  </w:rPr>
                </w:pPr>
                <w:r w:rsidRPr="0066567F">
                  <w:rPr>
                    <w:sz w:val="14"/>
                    <w:szCs w:val="14"/>
                  </w:rPr>
                  <w:t>23.4%</w:t>
                </w:r>
              </w:p>
            </w:tc>
            <w:tc>
              <w:tcPr>
                <w:tcW w:w="621" w:type="pct"/>
                <w:shd w:val="clear" w:color="auto" w:fill="FFFFFF" w:themeFill="background2"/>
                <w:vAlign w:val="center"/>
              </w:tcPr>
              <w:p w14:paraId="73367E7F" w14:textId="15EBD283" w:rsidR="0066567F" w:rsidRPr="00283508" w:rsidRDefault="0066567F" w:rsidP="0066567F">
                <w:pPr>
                  <w:pStyle w:val="TableTextLeft"/>
                  <w:spacing w:before="0" w:after="0"/>
                  <w:jc w:val="center"/>
                  <w:rPr>
                    <w:sz w:val="14"/>
                    <w:szCs w:val="14"/>
                  </w:rPr>
                </w:pPr>
                <w:r w:rsidRPr="0066567F">
                  <w:rPr>
                    <w:sz w:val="14"/>
                    <w:szCs w:val="14"/>
                  </w:rPr>
                  <w:t>9.3%</w:t>
                </w:r>
              </w:p>
            </w:tc>
            <w:tc>
              <w:tcPr>
                <w:tcW w:w="621" w:type="pct"/>
                <w:shd w:val="clear" w:color="auto" w:fill="FFFFFF" w:themeFill="background2"/>
                <w:vAlign w:val="center"/>
              </w:tcPr>
              <w:p w14:paraId="0C9FB58B" w14:textId="44E26FB4" w:rsidR="0066567F" w:rsidRPr="00283508" w:rsidRDefault="0066567F" w:rsidP="0066567F">
                <w:pPr>
                  <w:pStyle w:val="TableTextLeft"/>
                  <w:spacing w:before="0" w:after="0"/>
                  <w:jc w:val="center"/>
                  <w:rPr>
                    <w:sz w:val="14"/>
                    <w:szCs w:val="14"/>
                  </w:rPr>
                </w:pPr>
                <w:r w:rsidRPr="0066567F">
                  <w:rPr>
                    <w:sz w:val="14"/>
                    <w:szCs w:val="14"/>
                  </w:rPr>
                  <w:t>17.5%</w:t>
                </w:r>
              </w:p>
            </w:tc>
            <w:tc>
              <w:tcPr>
                <w:tcW w:w="621" w:type="pct"/>
                <w:shd w:val="clear" w:color="auto" w:fill="FFFFFF" w:themeFill="background2"/>
                <w:vAlign w:val="center"/>
              </w:tcPr>
              <w:p w14:paraId="66043C15" w14:textId="7592ABFB" w:rsidR="0066567F" w:rsidRPr="00283508" w:rsidRDefault="0066567F" w:rsidP="0066567F">
                <w:pPr>
                  <w:pStyle w:val="TableTextLeft"/>
                  <w:spacing w:before="0" w:after="0"/>
                  <w:jc w:val="center"/>
                  <w:rPr>
                    <w:sz w:val="14"/>
                    <w:szCs w:val="14"/>
                  </w:rPr>
                </w:pPr>
                <w:r w:rsidRPr="0066567F">
                  <w:rPr>
                    <w:sz w:val="14"/>
                    <w:szCs w:val="14"/>
                  </w:rPr>
                  <w:t>2.8%</w:t>
                </w:r>
              </w:p>
            </w:tc>
            <w:tc>
              <w:tcPr>
                <w:tcW w:w="621" w:type="pct"/>
                <w:shd w:val="clear" w:color="auto" w:fill="FFFFFF" w:themeFill="background2"/>
                <w:vAlign w:val="center"/>
              </w:tcPr>
              <w:p w14:paraId="4B81E05F" w14:textId="2BC40444" w:rsidR="0066567F" w:rsidRPr="00283508" w:rsidRDefault="0066567F" w:rsidP="0066567F">
                <w:pPr>
                  <w:pStyle w:val="TableTextLeft"/>
                  <w:spacing w:before="0" w:after="0"/>
                  <w:jc w:val="center"/>
                  <w:rPr>
                    <w:sz w:val="14"/>
                    <w:szCs w:val="14"/>
                  </w:rPr>
                </w:pPr>
                <w:r w:rsidRPr="0066567F">
                  <w:rPr>
                    <w:sz w:val="14"/>
                    <w:szCs w:val="14"/>
                  </w:rPr>
                  <w:t>11.6%</w:t>
                </w:r>
              </w:p>
            </w:tc>
            <w:tc>
              <w:tcPr>
                <w:tcW w:w="617" w:type="pct"/>
                <w:shd w:val="clear" w:color="auto" w:fill="FFFFFF" w:themeFill="background2"/>
                <w:vAlign w:val="center"/>
              </w:tcPr>
              <w:p w14:paraId="5089882F" w14:textId="6D619178" w:rsidR="0066567F" w:rsidRPr="00283508" w:rsidRDefault="0066567F" w:rsidP="0066567F">
                <w:pPr>
                  <w:pStyle w:val="TableTextLeft"/>
                  <w:spacing w:before="0" w:after="0"/>
                  <w:jc w:val="center"/>
                  <w:rPr>
                    <w:sz w:val="14"/>
                    <w:szCs w:val="14"/>
                  </w:rPr>
                </w:pPr>
                <w:r w:rsidRPr="0066567F">
                  <w:rPr>
                    <w:sz w:val="14"/>
                    <w:szCs w:val="14"/>
                  </w:rPr>
                  <w:t>100.0%</w:t>
                </w:r>
              </w:p>
            </w:tc>
          </w:tr>
          <w:tr w:rsidR="0066567F" w:rsidRPr="00ED33EF" w14:paraId="70D5536A" w14:textId="77777777" w:rsidTr="0066567F">
            <w:trPr>
              <w:trHeight w:val="283"/>
            </w:trPr>
            <w:tc>
              <w:tcPr>
                <w:tcW w:w="660" w:type="pct"/>
                <w:shd w:val="clear" w:color="auto" w:fill="FFFFFF" w:themeFill="background2"/>
                <w:tcMar>
                  <w:top w:w="60" w:type="dxa"/>
                  <w:left w:w="114" w:type="dxa"/>
                  <w:bottom w:w="60" w:type="dxa"/>
                  <w:right w:w="114" w:type="dxa"/>
                </w:tcMar>
                <w:vAlign w:val="center"/>
              </w:tcPr>
              <w:p w14:paraId="22BF5D85" w14:textId="77777777" w:rsidR="0066567F" w:rsidRPr="00ED33EF" w:rsidRDefault="0066567F" w:rsidP="0066567F">
                <w:pPr>
                  <w:pStyle w:val="TableIndent3"/>
                  <w:spacing w:before="0" w:after="0"/>
                  <w:ind w:left="0"/>
                  <w:rPr>
                    <w:sz w:val="14"/>
                    <w:szCs w:val="14"/>
                  </w:rPr>
                </w:pPr>
                <w:r w:rsidRPr="0032337D">
                  <w:rPr>
                    <w:rFonts w:cs="Segoe UI"/>
                    <w:b/>
                    <w:sz w:val="14"/>
                    <w:lang w:val="en-GB" w:eastAsia="it-IT"/>
                  </w:rPr>
                  <w:t>31 December 2018</w:t>
                </w:r>
              </w:p>
            </w:tc>
            <w:tc>
              <w:tcPr>
                <w:tcW w:w="620" w:type="pct"/>
                <w:shd w:val="clear" w:color="auto" w:fill="FFFFFF" w:themeFill="background2"/>
                <w:tcMar>
                  <w:top w:w="60" w:type="dxa"/>
                  <w:left w:w="114" w:type="dxa"/>
                  <w:bottom w:w="60" w:type="dxa"/>
                  <w:right w:w="114" w:type="dxa"/>
                </w:tcMar>
                <w:vAlign w:val="center"/>
              </w:tcPr>
              <w:p w14:paraId="22736B9E" w14:textId="23D87401" w:rsidR="0066567F" w:rsidRPr="00283508" w:rsidRDefault="0066567F" w:rsidP="0066567F">
                <w:pPr>
                  <w:pStyle w:val="TableTextLeft"/>
                  <w:spacing w:before="0" w:after="0"/>
                  <w:jc w:val="center"/>
                  <w:rPr>
                    <w:sz w:val="14"/>
                    <w:szCs w:val="14"/>
                  </w:rPr>
                </w:pPr>
                <w:r w:rsidRPr="0066567F">
                  <w:rPr>
                    <w:sz w:val="14"/>
                    <w:szCs w:val="14"/>
                  </w:rPr>
                  <w:t>38.2%</w:t>
                </w:r>
              </w:p>
            </w:tc>
            <w:tc>
              <w:tcPr>
                <w:tcW w:w="620" w:type="pct"/>
                <w:shd w:val="clear" w:color="auto" w:fill="FFFFFF" w:themeFill="background2"/>
                <w:tcMar>
                  <w:top w:w="60" w:type="dxa"/>
                  <w:left w:w="114" w:type="dxa"/>
                  <w:bottom w:w="60" w:type="dxa"/>
                  <w:right w:w="114" w:type="dxa"/>
                </w:tcMar>
                <w:vAlign w:val="center"/>
              </w:tcPr>
              <w:p w14:paraId="40F45DFF" w14:textId="57EC7886" w:rsidR="0066567F" w:rsidRPr="00283508" w:rsidRDefault="0066567F" w:rsidP="0066567F">
                <w:pPr>
                  <w:pStyle w:val="TableTextLeft"/>
                  <w:spacing w:before="0" w:after="0"/>
                  <w:jc w:val="center"/>
                  <w:rPr>
                    <w:sz w:val="14"/>
                    <w:szCs w:val="14"/>
                  </w:rPr>
                </w:pPr>
                <w:r w:rsidRPr="0066567F">
                  <w:rPr>
                    <w:sz w:val="14"/>
                    <w:szCs w:val="14"/>
                  </w:rPr>
                  <w:t>24.6%</w:t>
                </w:r>
              </w:p>
            </w:tc>
            <w:tc>
              <w:tcPr>
                <w:tcW w:w="621" w:type="pct"/>
                <w:shd w:val="clear" w:color="auto" w:fill="FFFFFF" w:themeFill="background2"/>
                <w:vAlign w:val="center"/>
              </w:tcPr>
              <w:p w14:paraId="79C6D20E" w14:textId="7FB8C1F5" w:rsidR="0066567F" w:rsidRPr="00283508" w:rsidRDefault="0066567F" w:rsidP="0066567F">
                <w:pPr>
                  <w:pStyle w:val="TableTextLeft"/>
                  <w:spacing w:before="0" w:after="0"/>
                  <w:jc w:val="center"/>
                  <w:rPr>
                    <w:sz w:val="14"/>
                    <w:szCs w:val="14"/>
                  </w:rPr>
                </w:pPr>
                <w:r w:rsidRPr="0066567F">
                  <w:rPr>
                    <w:sz w:val="14"/>
                    <w:szCs w:val="14"/>
                  </w:rPr>
                  <w:t>7.6%</w:t>
                </w:r>
              </w:p>
            </w:tc>
            <w:tc>
              <w:tcPr>
                <w:tcW w:w="621" w:type="pct"/>
                <w:shd w:val="clear" w:color="auto" w:fill="FFFFFF" w:themeFill="background2"/>
                <w:vAlign w:val="center"/>
              </w:tcPr>
              <w:p w14:paraId="5B755BCB" w14:textId="0AD7E735" w:rsidR="0066567F" w:rsidRPr="00283508" w:rsidRDefault="0066567F" w:rsidP="0066567F">
                <w:pPr>
                  <w:pStyle w:val="TableTextLeft"/>
                  <w:spacing w:before="0" w:after="0"/>
                  <w:jc w:val="center"/>
                  <w:rPr>
                    <w:sz w:val="14"/>
                    <w:szCs w:val="14"/>
                  </w:rPr>
                </w:pPr>
                <w:r w:rsidRPr="0066567F">
                  <w:rPr>
                    <w:sz w:val="14"/>
                    <w:szCs w:val="14"/>
                  </w:rPr>
                  <w:t>17.1%</w:t>
                </w:r>
              </w:p>
            </w:tc>
            <w:tc>
              <w:tcPr>
                <w:tcW w:w="621" w:type="pct"/>
                <w:shd w:val="clear" w:color="auto" w:fill="FFFFFF" w:themeFill="background2"/>
                <w:vAlign w:val="center"/>
              </w:tcPr>
              <w:p w14:paraId="404F6C90" w14:textId="46B62C16" w:rsidR="0066567F" w:rsidRPr="00283508" w:rsidRDefault="0066567F" w:rsidP="0066567F">
                <w:pPr>
                  <w:pStyle w:val="TableTextLeft"/>
                  <w:spacing w:before="0" w:after="0"/>
                  <w:jc w:val="center"/>
                  <w:rPr>
                    <w:sz w:val="14"/>
                    <w:szCs w:val="14"/>
                  </w:rPr>
                </w:pPr>
                <w:r w:rsidRPr="0066567F">
                  <w:rPr>
                    <w:sz w:val="14"/>
                    <w:szCs w:val="14"/>
                  </w:rPr>
                  <w:t>2.3%</w:t>
                </w:r>
              </w:p>
            </w:tc>
            <w:tc>
              <w:tcPr>
                <w:tcW w:w="621" w:type="pct"/>
                <w:shd w:val="clear" w:color="auto" w:fill="FFFFFF" w:themeFill="background2"/>
                <w:vAlign w:val="center"/>
              </w:tcPr>
              <w:p w14:paraId="4204A6C8" w14:textId="2AF6121B" w:rsidR="0066567F" w:rsidRPr="00283508" w:rsidRDefault="0066567F" w:rsidP="0066567F">
                <w:pPr>
                  <w:pStyle w:val="TableTextLeft"/>
                  <w:spacing w:before="0" w:after="0"/>
                  <w:jc w:val="center"/>
                  <w:rPr>
                    <w:sz w:val="14"/>
                    <w:szCs w:val="14"/>
                  </w:rPr>
                </w:pPr>
                <w:r w:rsidRPr="0066567F">
                  <w:rPr>
                    <w:sz w:val="14"/>
                    <w:szCs w:val="14"/>
                  </w:rPr>
                  <w:t>10.2%</w:t>
                </w:r>
              </w:p>
            </w:tc>
            <w:tc>
              <w:tcPr>
                <w:tcW w:w="617" w:type="pct"/>
                <w:shd w:val="clear" w:color="auto" w:fill="FFFFFF" w:themeFill="background2"/>
                <w:vAlign w:val="center"/>
              </w:tcPr>
              <w:p w14:paraId="477F11A9" w14:textId="4697070C" w:rsidR="0066567F" w:rsidRPr="00283508" w:rsidRDefault="0066567F" w:rsidP="0066567F">
                <w:pPr>
                  <w:pStyle w:val="TableTextLeft"/>
                  <w:spacing w:before="0" w:after="0"/>
                  <w:jc w:val="center"/>
                  <w:rPr>
                    <w:sz w:val="14"/>
                    <w:szCs w:val="14"/>
                  </w:rPr>
                </w:pPr>
                <w:r w:rsidRPr="0066567F">
                  <w:rPr>
                    <w:sz w:val="14"/>
                    <w:szCs w:val="14"/>
                  </w:rPr>
                  <w:t>100.0%</w:t>
                </w:r>
              </w:p>
            </w:tc>
          </w:tr>
          <w:tr w:rsidR="0066567F" w:rsidRPr="00ED33EF" w14:paraId="69610D18" w14:textId="77777777" w:rsidTr="0066567F">
            <w:trPr>
              <w:trHeight w:val="283"/>
            </w:trPr>
            <w:tc>
              <w:tcPr>
                <w:tcW w:w="660" w:type="pct"/>
                <w:shd w:val="clear" w:color="auto" w:fill="FFFFFF" w:themeFill="background2"/>
                <w:tcMar>
                  <w:top w:w="60" w:type="dxa"/>
                  <w:left w:w="114" w:type="dxa"/>
                  <w:bottom w:w="60" w:type="dxa"/>
                  <w:right w:w="114" w:type="dxa"/>
                </w:tcMar>
                <w:vAlign w:val="center"/>
              </w:tcPr>
              <w:p w14:paraId="42EDED3D" w14:textId="77777777" w:rsidR="0066567F" w:rsidRPr="00ED33EF" w:rsidRDefault="0066567F" w:rsidP="0066567F">
                <w:pPr>
                  <w:pStyle w:val="TableIndent3"/>
                  <w:spacing w:before="0" w:after="0"/>
                  <w:ind w:left="0"/>
                  <w:rPr>
                    <w:sz w:val="14"/>
                    <w:szCs w:val="14"/>
                  </w:rPr>
                </w:pPr>
                <w:r w:rsidRPr="0032337D">
                  <w:rPr>
                    <w:rFonts w:cs="Segoe UI"/>
                    <w:b/>
                    <w:sz w:val="14"/>
                    <w:lang w:val="en-GB" w:eastAsia="it-IT"/>
                  </w:rPr>
                  <w:t>31 December 2019</w:t>
                </w:r>
              </w:p>
            </w:tc>
            <w:tc>
              <w:tcPr>
                <w:tcW w:w="620" w:type="pct"/>
                <w:shd w:val="clear" w:color="auto" w:fill="FFFFFF" w:themeFill="background2"/>
                <w:tcMar>
                  <w:top w:w="60" w:type="dxa"/>
                  <w:left w:w="114" w:type="dxa"/>
                  <w:bottom w:w="60" w:type="dxa"/>
                  <w:right w:w="114" w:type="dxa"/>
                </w:tcMar>
                <w:vAlign w:val="center"/>
              </w:tcPr>
              <w:p w14:paraId="3CB30E02" w14:textId="401B1699" w:rsidR="0066567F" w:rsidRPr="00283508" w:rsidRDefault="0066567F" w:rsidP="0066567F">
                <w:pPr>
                  <w:pStyle w:val="TableTextLeft"/>
                  <w:spacing w:before="0" w:after="0"/>
                  <w:jc w:val="center"/>
                  <w:rPr>
                    <w:sz w:val="14"/>
                    <w:szCs w:val="14"/>
                  </w:rPr>
                </w:pPr>
                <w:r w:rsidRPr="0066567F">
                  <w:rPr>
                    <w:sz w:val="14"/>
                    <w:szCs w:val="14"/>
                  </w:rPr>
                  <w:t>37.9%</w:t>
                </w:r>
              </w:p>
            </w:tc>
            <w:tc>
              <w:tcPr>
                <w:tcW w:w="620" w:type="pct"/>
                <w:shd w:val="clear" w:color="auto" w:fill="FFFFFF" w:themeFill="background2"/>
                <w:tcMar>
                  <w:top w:w="60" w:type="dxa"/>
                  <w:left w:w="114" w:type="dxa"/>
                  <w:bottom w:w="60" w:type="dxa"/>
                  <w:right w:w="114" w:type="dxa"/>
                </w:tcMar>
                <w:vAlign w:val="center"/>
              </w:tcPr>
              <w:p w14:paraId="3C2D3C31" w14:textId="05BE0B2F" w:rsidR="0066567F" w:rsidRPr="00283508" w:rsidRDefault="0066567F" w:rsidP="0066567F">
                <w:pPr>
                  <w:pStyle w:val="TableTextLeft"/>
                  <w:spacing w:before="0" w:after="0"/>
                  <w:jc w:val="center"/>
                  <w:rPr>
                    <w:sz w:val="14"/>
                    <w:szCs w:val="14"/>
                  </w:rPr>
                </w:pPr>
                <w:r w:rsidRPr="0066567F">
                  <w:rPr>
                    <w:sz w:val="14"/>
                    <w:szCs w:val="14"/>
                  </w:rPr>
                  <w:t>23.4%</w:t>
                </w:r>
              </w:p>
            </w:tc>
            <w:tc>
              <w:tcPr>
                <w:tcW w:w="621" w:type="pct"/>
                <w:shd w:val="clear" w:color="auto" w:fill="FFFFFF" w:themeFill="background2"/>
                <w:vAlign w:val="center"/>
              </w:tcPr>
              <w:p w14:paraId="2E6AF8FF" w14:textId="6727C140" w:rsidR="0066567F" w:rsidRPr="00283508" w:rsidRDefault="0066567F" w:rsidP="0066567F">
                <w:pPr>
                  <w:pStyle w:val="TableTextLeft"/>
                  <w:spacing w:before="0" w:after="0"/>
                  <w:jc w:val="center"/>
                  <w:rPr>
                    <w:sz w:val="14"/>
                    <w:szCs w:val="14"/>
                  </w:rPr>
                </w:pPr>
                <w:r w:rsidRPr="0066567F">
                  <w:rPr>
                    <w:sz w:val="14"/>
                    <w:szCs w:val="14"/>
                  </w:rPr>
                  <w:t>7.6%</w:t>
                </w:r>
              </w:p>
            </w:tc>
            <w:tc>
              <w:tcPr>
                <w:tcW w:w="621" w:type="pct"/>
                <w:shd w:val="clear" w:color="auto" w:fill="FFFFFF" w:themeFill="background2"/>
                <w:vAlign w:val="center"/>
              </w:tcPr>
              <w:p w14:paraId="58DF1644" w14:textId="22A1A120" w:rsidR="0066567F" w:rsidRPr="00283508" w:rsidRDefault="0066567F" w:rsidP="0066567F">
                <w:pPr>
                  <w:pStyle w:val="TableTextLeft"/>
                  <w:spacing w:before="0" w:after="0"/>
                  <w:jc w:val="center"/>
                  <w:rPr>
                    <w:sz w:val="14"/>
                    <w:szCs w:val="14"/>
                  </w:rPr>
                </w:pPr>
                <w:r w:rsidRPr="0066567F">
                  <w:rPr>
                    <w:sz w:val="14"/>
                    <w:szCs w:val="14"/>
                  </w:rPr>
                  <w:t>17.0%</w:t>
                </w:r>
              </w:p>
            </w:tc>
            <w:tc>
              <w:tcPr>
                <w:tcW w:w="621" w:type="pct"/>
                <w:shd w:val="clear" w:color="auto" w:fill="FFFFFF" w:themeFill="background2"/>
                <w:vAlign w:val="center"/>
              </w:tcPr>
              <w:p w14:paraId="0166216C" w14:textId="31379302" w:rsidR="0066567F" w:rsidRPr="00283508" w:rsidRDefault="0066567F" w:rsidP="0066567F">
                <w:pPr>
                  <w:pStyle w:val="TableTextLeft"/>
                  <w:spacing w:before="0" w:after="0"/>
                  <w:jc w:val="center"/>
                  <w:rPr>
                    <w:sz w:val="14"/>
                    <w:szCs w:val="14"/>
                  </w:rPr>
                </w:pPr>
                <w:r w:rsidRPr="0066567F">
                  <w:rPr>
                    <w:sz w:val="14"/>
                    <w:szCs w:val="14"/>
                  </w:rPr>
                  <w:t>2.6%</w:t>
                </w:r>
              </w:p>
            </w:tc>
            <w:tc>
              <w:tcPr>
                <w:tcW w:w="621" w:type="pct"/>
                <w:shd w:val="clear" w:color="auto" w:fill="FFFFFF" w:themeFill="background2"/>
                <w:vAlign w:val="center"/>
              </w:tcPr>
              <w:p w14:paraId="461CE33B" w14:textId="3BDF038A" w:rsidR="0066567F" w:rsidRPr="00283508" w:rsidRDefault="0066567F" w:rsidP="0066567F">
                <w:pPr>
                  <w:pStyle w:val="TableTextLeft"/>
                  <w:spacing w:before="0" w:after="0"/>
                  <w:jc w:val="center"/>
                  <w:rPr>
                    <w:sz w:val="14"/>
                    <w:szCs w:val="14"/>
                  </w:rPr>
                </w:pPr>
                <w:r w:rsidRPr="0066567F">
                  <w:rPr>
                    <w:sz w:val="14"/>
                    <w:szCs w:val="14"/>
                  </w:rPr>
                  <w:t>11.4%</w:t>
                </w:r>
              </w:p>
            </w:tc>
            <w:tc>
              <w:tcPr>
                <w:tcW w:w="617" w:type="pct"/>
                <w:shd w:val="clear" w:color="auto" w:fill="FFFFFF" w:themeFill="background2"/>
                <w:vAlign w:val="center"/>
              </w:tcPr>
              <w:p w14:paraId="5D4634B6" w14:textId="51C3AA45" w:rsidR="0066567F" w:rsidRPr="00283508" w:rsidRDefault="0066567F" w:rsidP="0066567F">
                <w:pPr>
                  <w:pStyle w:val="TableTextLeft"/>
                  <w:spacing w:before="0" w:after="0"/>
                  <w:jc w:val="center"/>
                  <w:rPr>
                    <w:sz w:val="14"/>
                    <w:szCs w:val="14"/>
                  </w:rPr>
                </w:pPr>
                <w:r w:rsidRPr="0066567F">
                  <w:rPr>
                    <w:sz w:val="14"/>
                    <w:szCs w:val="14"/>
                  </w:rPr>
                  <w:t>100.0%</w:t>
                </w:r>
              </w:p>
            </w:tc>
          </w:tr>
          <w:tr w:rsidR="0066567F" w:rsidRPr="00ED33EF" w14:paraId="0D45A225" w14:textId="77777777" w:rsidTr="0066567F">
            <w:trPr>
              <w:trHeight w:val="283"/>
            </w:trPr>
            <w:tc>
              <w:tcPr>
                <w:tcW w:w="660" w:type="pct"/>
                <w:shd w:val="clear" w:color="auto" w:fill="FFFFFF" w:themeFill="background2"/>
                <w:tcMar>
                  <w:top w:w="60" w:type="dxa"/>
                  <w:left w:w="114" w:type="dxa"/>
                  <w:bottom w:w="60" w:type="dxa"/>
                  <w:right w:w="114" w:type="dxa"/>
                </w:tcMar>
                <w:vAlign w:val="center"/>
              </w:tcPr>
              <w:p w14:paraId="4B404FE6" w14:textId="77777777" w:rsidR="0066567F" w:rsidRPr="00ED33EF" w:rsidRDefault="0066567F" w:rsidP="0066567F">
                <w:pPr>
                  <w:pStyle w:val="TableIndent3"/>
                  <w:spacing w:before="0" w:after="0"/>
                  <w:ind w:left="0"/>
                  <w:rPr>
                    <w:sz w:val="14"/>
                    <w:szCs w:val="14"/>
                  </w:rPr>
                </w:pPr>
                <w:r w:rsidRPr="0032337D">
                  <w:rPr>
                    <w:rFonts w:cs="Segoe UI"/>
                    <w:b/>
                    <w:sz w:val="14"/>
                    <w:lang w:val="en-GB" w:eastAsia="it-IT"/>
                  </w:rPr>
                  <w:t>31 December 20</w:t>
                </w:r>
                <w:r>
                  <w:rPr>
                    <w:rFonts w:cs="Segoe UI"/>
                    <w:b/>
                    <w:sz w:val="14"/>
                    <w:lang w:val="en-GB" w:eastAsia="it-IT"/>
                  </w:rPr>
                  <w:t>20</w:t>
                </w:r>
              </w:p>
            </w:tc>
            <w:tc>
              <w:tcPr>
                <w:tcW w:w="620" w:type="pct"/>
                <w:shd w:val="clear" w:color="auto" w:fill="FFFFFF" w:themeFill="background2"/>
                <w:tcMar>
                  <w:top w:w="60" w:type="dxa"/>
                  <w:left w:w="114" w:type="dxa"/>
                  <w:bottom w:w="60" w:type="dxa"/>
                  <w:right w:w="114" w:type="dxa"/>
                </w:tcMar>
                <w:vAlign w:val="center"/>
              </w:tcPr>
              <w:p w14:paraId="7D45FFE5" w14:textId="62E3E8AC" w:rsidR="0066567F" w:rsidRPr="00283508" w:rsidRDefault="0066567F" w:rsidP="0066567F">
                <w:pPr>
                  <w:pStyle w:val="TableTextLeft"/>
                  <w:spacing w:before="0" w:after="0"/>
                  <w:jc w:val="center"/>
                  <w:rPr>
                    <w:sz w:val="14"/>
                    <w:szCs w:val="14"/>
                  </w:rPr>
                </w:pPr>
                <w:r w:rsidRPr="0066567F">
                  <w:rPr>
                    <w:sz w:val="14"/>
                    <w:szCs w:val="14"/>
                  </w:rPr>
                  <w:t>39.1%</w:t>
                </w:r>
              </w:p>
            </w:tc>
            <w:tc>
              <w:tcPr>
                <w:tcW w:w="620" w:type="pct"/>
                <w:shd w:val="clear" w:color="auto" w:fill="FFFFFF" w:themeFill="background2"/>
                <w:tcMar>
                  <w:top w:w="60" w:type="dxa"/>
                  <w:left w:w="114" w:type="dxa"/>
                  <w:bottom w:w="60" w:type="dxa"/>
                  <w:right w:w="114" w:type="dxa"/>
                </w:tcMar>
                <w:vAlign w:val="center"/>
              </w:tcPr>
              <w:p w14:paraId="0176F021" w14:textId="36DA9EA1" w:rsidR="0066567F" w:rsidRPr="00283508" w:rsidRDefault="0066567F" w:rsidP="0066567F">
                <w:pPr>
                  <w:pStyle w:val="TableTextLeft"/>
                  <w:spacing w:before="0" w:after="0"/>
                  <w:jc w:val="center"/>
                  <w:rPr>
                    <w:sz w:val="14"/>
                    <w:szCs w:val="14"/>
                  </w:rPr>
                </w:pPr>
                <w:r w:rsidRPr="0066567F">
                  <w:rPr>
                    <w:sz w:val="14"/>
                    <w:szCs w:val="14"/>
                  </w:rPr>
                  <w:t>21.9%</w:t>
                </w:r>
              </w:p>
            </w:tc>
            <w:tc>
              <w:tcPr>
                <w:tcW w:w="621" w:type="pct"/>
                <w:shd w:val="clear" w:color="auto" w:fill="FFFFFF" w:themeFill="background2"/>
                <w:vAlign w:val="center"/>
              </w:tcPr>
              <w:p w14:paraId="4AE6BFE2" w14:textId="4F9140F2" w:rsidR="0066567F" w:rsidRPr="00283508" w:rsidRDefault="0066567F" w:rsidP="0066567F">
                <w:pPr>
                  <w:pStyle w:val="TableTextLeft"/>
                  <w:spacing w:before="0" w:after="0"/>
                  <w:jc w:val="center"/>
                  <w:rPr>
                    <w:sz w:val="14"/>
                    <w:szCs w:val="14"/>
                  </w:rPr>
                </w:pPr>
                <w:r w:rsidRPr="0066567F">
                  <w:rPr>
                    <w:sz w:val="14"/>
                    <w:szCs w:val="14"/>
                  </w:rPr>
                  <w:t>7.6%</w:t>
                </w:r>
              </w:p>
            </w:tc>
            <w:tc>
              <w:tcPr>
                <w:tcW w:w="621" w:type="pct"/>
                <w:shd w:val="clear" w:color="auto" w:fill="FFFFFF" w:themeFill="background2"/>
                <w:vAlign w:val="center"/>
              </w:tcPr>
              <w:p w14:paraId="115C2D27" w14:textId="3B780856" w:rsidR="0066567F" w:rsidRPr="00283508" w:rsidRDefault="0066567F" w:rsidP="0066567F">
                <w:pPr>
                  <w:pStyle w:val="TableTextLeft"/>
                  <w:spacing w:before="0" w:after="0"/>
                  <w:jc w:val="center"/>
                  <w:rPr>
                    <w:sz w:val="14"/>
                    <w:szCs w:val="14"/>
                  </w:rPr>
                </w:pPr>
                <w:r w:rsidRPr="0066567F">
                  <w:rPr>
                    <w:sz w:val="14"/>
                    <w:szCs w:val="14"/>
                  </w:rPr>
                  <w:t>16.8%</w:t>
                </w:r>
              </w:p>
            </w:tc>
            <w:tc>
              <w:tcPr>
                <w:tcW w:w="621" w:type="pct"/>
                <w:shd w:val="clear" w:color="auto" w:fill="FFFFFF" w:themeFill="background2"/>
                <w:vAlign w:val="center"/>
              </w:tcPr>
              <w:p w14:paraId="183CED43" w14:textId="0E3615F1" w:rsidR="0066567F" w:rsidRPr="00283508" w:rsidRDefault="0066567F" w:rsidP="0066567F">
                <w:pPr>
                  <w:pStyle w:val="TableTextLeft"/>
                  <w:spacing w:before="0" w:after="0"/>
                  <w:jc w:val="center"/>
                  <w:rPr>
                    <w:sz w:val="14"/>
                    <w:szCs w:val="14"/>
                  </w:rPr>
                </w:pPr>
                <w:r w:rsidRPr="0066567F">
                  <w:rPr>
                    <w:sz w:val="14"/>
                    <w:szCs w:val="14"/>
                  </w:rPr>
                  <w:t>2.4%</w:t>
                </w:r>
              </w:p>
            </w:tc>
            <w:tc>
              <w:tcPr>
                <w:tcW w:w="621" w:type="pct"/>
                <w:shd w:val="clear" w:color="auto" w:fill="FFFFFF" w:themeFill="background2"/>
                <w:vAlign w:val="center"/>
              </w:tcPr>
              <w:p w14:paraId="7466F0BD" w14:textId="7A4059CD" w:rsidR="0066567F" w:rsidRPr="00283508" w:rsidRDefault="0066567F" w:rsidP="0066567F">
                <w:pPr>
                  <w:pStyle w:val="TableTextLeft"/>
                  <w:spacing w:before="0" w:after="0"/>
                  <w:jc w:val="center"/>
                  <w:rPr>
                    <w:sz w:val="14"/>
                    <w:szCs w:val="14"/>
                  </w:rPr>
                </w:pPr>
                <w:r w:rsidRPr="0066567F">
                  <w:rPr>
                    <w:sz w:val="14"/>
                    <w:szCs w:val="14"/>
                  </w:rPr>
                  <w:t>12.1%</w:t>
                </w:r>
              </w:p>
            </w:tc>
            <w:tc>
              <w:tcPr>
                <w:tcW w:w="617" w:type="pct"/>
                <w:shd w:val="clear" w:color="auto" w:fill="FFFFFF" w:themeFill="background2"/>
                <w:vAlign w:val="center"/>
              </w:tcPr>
              <w:p w14:paraId="2C2E74DA" w14:textId="5A43523C" w:rsidR="0066567F" w:rsidRPr="00283508" w:rsidRDefault="0066567F" w:rsidP="0066567F">
                <w:pPr>
                  <w:pStyle w:val="TableTextLeft"/>
                  <w:spacing w:before="0" w:after="0"/>
                  <w:jc w:val="center"/>
                  <w:rPr>
                    <w:sz w:val="14"/>
                    <w:szCs w:val="14"/>
                  </w:rPr>
                </w:pPr>
                <w:r w:rsidRPr="0066567F">
                  <w:rPr>
                    <w:sz w:val="14"/>
                    <w:szCs w:val="14"/>
                  </w:rPr>
                  <w:t>100.0%</w:t>
                </w:r>
              </w:p>
            </w:tc>
          </w:tr>
          <w:tr w:rsidR="0066567F" w:rsidRPr="00ED33EF" w14:paraId="1BEB243A" w14:textId="77777777" w:rsidTr="0066567F">
            <w:trPr>
              <w:trHeight w:val="283"/>
            </w:trPr>
            <w:tc>
              <w:tcPr>
                <w:tcW w:w="660" w:type="pct"/>
                <w:shd w:val="clear" w:color="auto" w:fill="FFFFFF" w:themeFill="background2"/>
                <w:tcMar>
                  <w:top w:w="60" w:type="dxa"/>
                  <w:left w:w="114" w:type="dxa"/>
                  <w:bottom w:w="60" w:type="dxa"/>
                  <w:right w:w="114" w:type="dxa"/>
                </w:tcMar>
                <w:vAlign w:val="center"/>
              </w:tcPr>
              <w:p w14:paraId="436A1BD7" w14:textId="77777777" w:rsidR="0066567F" w:rsidRPr="00ED33EF" w:rsidRDefault="0066567F" w:rsidP="0066567F">
                <w:pPr>
                  <w:pStyle w:val="TableIndent3"/>
                  <w:spacing w:before="0" w:after="0"/>
                  <w:ind w:left="0"/>
                  <w:rPr>
                    <w:sz w:val="14"/>
                    <w:szCs w:val="14"/>
                  </w:rPr>
                </w:pPr>
                <w:r w:rsidRPr="0032337D">
                  <w:rPr>
                    <w:rFonts w:cs="Segoe UI"/>
                    <w:b/>
                    <w:sz w:val="14"/>
                    <w:lang w:val="en-GB" w:eastAsia="it-IT"/>
                  </w:rPr>
                  <w:t>31 December 20</w:t>
                </w:r>
                <w:r>
                  <w:rPr>
                    <w:rFonts w:cs="Segoe UI"/>
                    <w:b/>
                    <w:sz w:val="14"/>
                    <w:lang w:val="en-GB" w:eastAsia="it-IT"/>
                  </w:rPr>
                  <w:t>21</w:t>
                </w:r>
              </w:p>
            </w:tc>
            <w:tc>
              <w:tcPr>
                <w:tcW w:w="620" w:type="pct"/>
                <w:shd w:val="clear" w:color="auto" w:fill="FFFFFF" w:themeFill="background2"/>
                <w:tcMar>
                  <w:top w:w="60" w:type="dxa"/>
                  <w:left w:w="114" w:type="dxa"/>
                  <w:bottom w:w="60" w:type="dxa"/>
                  <w:right w:w="114" w:type="dxa"/>
                </w:tcMar>
                <w:vAlign w:val="center"/>
              </w:tcPr>
              <w:p w14:paraId="58BADBFF" w14:textId="721B8819" w:rsidR="0066567F" w:rsidRPr="00283508" w:rsidRDefault="0066567F" w:rsidP="0066567F">
                <w:pPr>
                  <w:pStyle w:val="TableTextLeft"/>
                  <w:spacing w:before="0" w:after="0"/>
                  <w:jc w:val="center"/>
                  <w:rPr>
                    <w:sz w:val="14"/>
                    <w:szCs w:val="14"/>
                  </w:rPr>
                </w:pPr>
                <w:r w:rsidRPr="0066567F">
                  <w:rPr>
                    <w:sz w:val="14"/>
                    <w:szCs w:val="14"/>
                  </w:rPr>
                  <w:t>41.2%</w:t>
                </w:r>
              </w:p>
            </w:tc>
            <w:tc>
              <w:tcPr>
                <w:tcW w:w="620" w:type="pct"/>
                <w:shd w:val="clear" w:color="auto" w:fill="FFFFFF" w:themeFill="background2"/>
                <w:tcMar>
                  <w:top w:w="60" w:type="dxa"/>
                  <w:left w:w="114" w:type="dxa"/>
                  <w:bottom w:w="60" w:type="dxa"/>
                  <w:right w:w="114" w:type="dxa"/>
                </w:tcMar>
                <w:vAlign w:val="center"/>
              </w:tcPr>
              <w:p w14:paraId="1396BE20" w14:textId="4CFAAAF5" w:rsidR="0066567F" w:rsidRPr="00283508" w:rsidRDefault="0066567F" w:rsidP="0066567F">
                <w:pPr>
                  <w:pStyle w:val="TableTextLeft"/>
                  <w:spacing w:before="0" w:after="0"/>
                  <w:jc w:val="center"/>
                  <w:rPr>
                    <w:sz w:val="14"/>
                    <w:szCs w:val="14"/>
                  </w:rPr>
                </w:pPr>
                <w:r w:rsidRPr="0066567F">
                  <w:rPr>
                    <w:sz w:val="14"/>
                    <w:szCs w:val="14"/>
                  </w:rPr>
                  <w:t>22.3%</w:t>
                </w:r>
              </w:p>
            </w:tc>
            <w:tc>
              <w:tcPr>
                <w:tcW w:w="621" w:type="pct"/>
                <w:shd w:val="clear" w:color="auto" w:fill="FFFFFF" w:themeFill="background2"/>
                <w:vAlign w:val="center"/>
              </w:tcPr>
              <w:p w14:paraId="1908881A" w14:textId="2D981D60" w:rsidR="0066567F" w:rsidRPr="00283508" w:rsidRDefault="0066567F" w:rsidP="0066567F">
                <w:pPr>
                  <w:pStyle w:val="TableTextLeft"/>
                  <w:spacing w:before="0" w:after="0"/>
                  <w:jc w:val="center"/>
                  <w:rPr>
                    <w:sz w:val="14"/>
                    <w:szCs w:val="14"/>
                  </w:rPr>
                </w:pPr>
                <w:r w:rsidRPr="0066567F">
                  <w:rPr>
                    <w:sz w:val="14"/>
                    <w:szCs w:val="14"/>
                  </w:rPr>
                  <w:t>6.0%</w:t>
                </w:r>
              </w:p>
            </w:tc>
            <w:tc>
              <w:tcPr>
                <w:tcW w:w="621" w:type="pct"/>
                <w:shd w:val="clear" w:color="auto" w:fill="FFFFFF" w:themeFill="background2"/>
                <w:vAlign w:val="center"/>
              </w:tcPr>
              <w:p w14:paraId="775A02F1" w14:textId="39ECC4C0" w:rsidR="0066567F" w:rsidRPr="00283508" w:rsidRDefault="0066567F" w:rsidP="0066567F">
                <w:pPr>
                  <w:pStyle w:val="TableTextLeft"/>
                  <w:spacing w:before="0" w:after="0"/>
                  <w:jc w:val="center"/>
                  <w:rPr>
                    <w:sz w:val="14"/>
                    <w:szCs w:val="14"/>
                  </w:rPr>
                </w:pPr>
                <w:r w:rsidRPr="0066567F">
                  <w:rPr>
                    <w:sz w:val="14"/>
                    <w:szCs w:val="14"/>
                  </w:rPr>
                  <w:t>16.6%</w:t>
                </w:r>
              </w:p>
            </w:tc>
            <w:tc>
              <w:tcPr>
                <w:tcW w:w="621" w:type="pct"/>
                <w:shd w:val="clear" w:color="auto" w:fill="FFFFFF" w:themeFill="background2"/>
                <w:vAlign w:val="center"/>
              </w:tcPr>
              <w:p w14:paraId="532FCBEA" w14:textId="2A0BBE50" w:rsidR="0066567F" w:rsidRPr="00283508" w:rsidRDefault="0066567F" w:rsidP="0066567F">
                <w:pPr>
                  <w:pStyle w:val="TableTextLeft"/>
                  <w:spacing w:before="0" w:after="0"/>
                  <w:jc w:val="center"/>
                  <w:rPr>
                    <w:sz w:val="14"/>
                    <w:szCs w:val="14"/>
                  </w:rPr>
                </w:pPr>
                <w:r w:rsidRPr="0066567F">
                  <w:rPr>
                    <w:sz w:val="14"/>
                    <w:szCs w:val="14"/>
                  </w:rPr>
                  <w:t>2.1%</w:t>
                </w:r>
              </w:p>
            </w:tc>
            <w:tc>
              <w:tcPr>
                <w:tcW w:w="621" w:type="pct"/>
                <w:shd w:val="clear" w:color="auto" w:fill="FFFFFF" w:themeFill="background2"/>
                <w:vAlign w:val="center"/>
              </w:tcPr>
              <w:p w14:paraId="6BAEAD4B" w14:textId="1340BE0D" w:rsidR="0066567F" w:rsidRPr="00283508" w:rsidRDefault="0066567F" w:rsidP="0066567F">
                <w:pPr>
                  <w:pStyle w:val="TableTextLeft"/>
                  <w:spacing w:before="0" w:after="0"/>
                  <w:jc w:val="center"/>
                  <w:rPr>
                    <w:sz w:val="14"/>
                    <w:szCs w:val="14"/>
                  </w:rPr>
                </w:pPr>
                <w:r w:rsidRPr="0066567F">
                  <w:rPr>
                    <w:sz w:val="14"/>
                    <w:szCs w:val="14"/>
                  </w:rPr>
                  <w:t>11.9%</w:t>
                </w:r>
              </w:p>
            </w:tc>
            <w:tc>
              <w:tcPr>
                <w:tcW w:w="617" w:type="pct"/>
                <w:shd w:val="clear" w:color="auto" w:fill="FFFFFF" w:themeFill="background2"/>
                <w:vAlign w:val="center"/>
              </w:tcPr>
              <w:p w14:paraId="273AF58F" w14:textId="48511042" w:rsidR="0066567F" w:rsidRPr="00283508" w:rsidRDefault="0066567F" w:rsidP="0066567F">
                <w:pPr>
                  <w:pStyle w:val="TableTextLeft"/>
                  <w:spacing w:before="0" w:after="0"/>
                  <w:jc w:val="center"/>
                  <w:rPr>
                    <w:sz w:val="14"/>
                    <w:szCs w:val="14"/>
                  </w:rPr>
                </w:pPr>
                <w:r w:rsidRPr="0066567F">
                  <w:rPr>
                    <w:sz w:val="14"/>
                    <w:szCs w:val="14"/>
                  </w:rPr>
                  <w:t>100.0%</w:t>
                </w:r>
              </w:p>
            </w:tc>
          </w:tr>
          <w:tr w:rsidR="0066567F" w:rsidRPr="00ED33EF" w14:paraId="5089BEC4" w14:textId="77777777" w:rsidTr="0066567F">
            <w:trPr>
              <w:trHeight w:val="283"/>
            </w:trPr>
            <w:tc>
              <w:tcPr>
                <w:tcW w:w="660" w:type="pct"/>
                <w:shd w:val="clear" w:color="auto" w:fill="FFFFFF" w:themeFill="background2"/>
                <w:tcMar>
                  <w:top w:w="60" w:type="dxa"/>
                  <w:left w:w="114" w:type="dxa"/>
                  <w:bottom w:w="60" w:type="dxa"/>
                  <w:right w:w="114" w:type="dxa"/>
                </w:tcMar>
                <w:vAlign w:val="center"/>
              </w:tcPr>
              <w:p w14:paraId="26D97E2B" w14:textId="77777777" w:rsidR="0066567F" w:rsidRPr="00ED33EF" w:rsidRDefault="0066567F" w:rsidP="0066567F">
                <w:pPr>
                  <w:pStyle w:val="TableIndent3"/>
                  <w:spacing w:before="0" w:after="0"/>
                  <w:ind w:left="0"/>
                  <w:rPr>
                    <w:sz w:val="14"/>
                    <w:szCs w:val="14"/>
                  </w:rPr>
                </w:pPr>
                <w:r w:rsidRPr="0032337D">
                  <w:rPr>
                    <w:rFonts w:cs="Segoe UI"/>
                    <w:b/>
                    <w:sz w:val="14"/>
                    <w:lang w:val="en-GB" w:eastAsia="it-IT"/>
                  </w:rPr>
                  <w:t>31 December 20</w:t>
                </w:r>
                <w:r>
                  <w:rPr>
                    <w:rFonts w:cs="Segoe UI"/>
                    <w:b/>
                    <w:sz w:val="14"/>
                    <w:lang w:val="en-GB" w:eastAsia="it-IT"/>
                  </w:rPr>
                  <w:t>22</w:t>
                </w:r>
              </w:p>
            </w:tc>
            <w:tc>
              <w:tcPr>
                <w:tcW w:w="620" w:type="pct"/>
                <w:shd w:val="clear" w:color="auto" w:fill="FFFFFF" w:themeFill="background2"/>
                <w:tcMar>
                  <w:top w:w="60" w:type="dxa"/>
                  <w:left w:w="114" w:type="dxa"/>
                  <w:bottom w:w="60" w:type="dxa"/>
                  <w:right w:w="114" w:type="dxa"/>
                </w:tcMar>
                <w:vAlign w:val="center"/>
              </w:tcPr>
              <w:p w14:paraId="00C9FAD6" w14:textId="651D23A3" w:rsidR="0066567F" w:rsidRPr="00283508" w:rsidRDefault="0066567F" w:rsidP="0066567F">
                <w:pPr>
                  <w:pStyle w:val="TableTextLeft"/>
                  <w:spacing w:before="0" w:after="0"/>
                  <w:jc w:val="center"/>
                  <w:rPr>
                    <w:sz w:val="14"/>
                    <w:szCs w:val="14"/>
                  </w:rPr>
                </w:pPr>
                <w:r w:rsidRPr="0066567F">
                  <w:rPr>
                    <w:sz w:val="14"/>
                    <w:szCs w:val="14"/>
                  </w:rPr>
                  <w:t>43.0%</w:t>
                </w:r>
              </w:p>
            </w:tc>
            <w:tc>
              <w:tcPr>
                <w:tcW w:w="620" w:type="pct"/>
                <w:shd w:val="clear" w:color="auto" w:fill="FFFFFF" w:themeFill="background2"/>
                <w:tcMar>
                  <w:top w:w="60" w:type="dxa"/>
                  <w:left w:w="114" w:type="dxa"/>
                  <w:bottom w:w="60" w:type="dxa"/>
                  <w:right w:w="114" w:type="dxa"/>
                </w:tcMar>
                <w:vAlign w:val="center"/>
              </w:tcPr>
              <w:p w14:paraId="5FA89498" w14:textId="0553BFD2" w:rsidR="0066567F" w:rsidRPr="00283508" w:rsidRDefault="0066567F" w:rsidP="0066567F">
                <w:pPr>
                  <w:pStyle w:val="TableTextLeft"/>
                  <w:spacing w:before="0" w:after="0"/>
                  <w:jc w:val="center"/>
                  <w:rPr>
                    <w:sz w:val="14"/>
                    <w:szCs w:val="14"/>
                  </w:rPr>
                </w:pPr>
                <w:r w:rsidRPr="0066567F">
                  <w:rPr>
                    <w:sz w:val="14"/>
                    <w:szCs w:val="14"/>
                  </w:rPr>
                  <w:t>23.0%</w:t>
                </w:r>
              </w:p>
            </w:tc>
            <w:tc>
              <w:tcPr>
                <w:tcW w:w="621" w:type="pct"/>
                <w:shd w:val="clear" w:color="auto" w:fill="FFFFFF" w:themeFill="background2"/>
                <w:vAlign w:val="center"/>
              </w:tcPr>
              <w:p w14:paraId="6159758B" w14:textId="0BE02C71" w:rsidR="0066567F" w:rsidRPr="00283508" w:rsidRDefault="0066567F" w:rsidP="0066567F">
                <w:pPr>
                  <w:pStyle w:val="TableTextLeft"/>
                  <w:spacing w:before="0" w:after="0"/>
                  <w:jc w:val="center"/>
                  <w:rPr>
                    <w:sz w:val="14"/>
                    <w:szCs w:val="14"/>
                  </w:rPr>
                </w:pPr>
                <w:r w:rsidRPr="0066567F">
                  <w:rPr>
                    <w:sz w:val="14"/>
                    <w:szCs w:val="14"/>
                  </w:rPr>
                  <w:t>6.1%</w:t>
                </w:r>
              </w:p>
            </w:tc>
            <w:tc>
              <w:tcPr>
                <w:tcW w:w="621" w:type="pct"/>
                <w:shd w:val="clear" w:color="auto" w:fill="FFFFFF" w:themeFill="background2"/>
                <w:vAlign w:val="center"/>
              </w:tcPr>
              <w:p w14:paraId="3FFF3122" w14:textId="00308C96" w:rsidR="0066567F" w:rsidRPr="00283508" w:rsidRDefault="0066567F" w:rsidP="0066567F">
                <w:pPr>
                  <w:pStyle w:val="TableTextLeft"/>
                  <w:spacing w:before="0" w:after="0"/>
                  <w:jc w:val="center"/>
                  <w:rPr>
                    <w:sz w:val="14"/>
                    <w:szCs w:val="14"/>
                  </w:rPr>
                </w:pPr>
                <w:r w:rsidRPr="0066567F">
                  <w:rPr>
                    <w:sz w:val="14"/>
                    <w:szCs w:val="14"/>
                  </w:rPr>
                  <w:t>16.1%</w:t>
                </w:r>
              </w:p>
            </w:tc>
            <w:tc>
              <w:tcPr>
                <w:tcW w:w="621" w:type="pct"/>
                <w:shd w:val="clear" w:color="auto" w:fill="FFFFFF" w:themeFill="background2"/>
                <w:vAlign w:val="center"/>
              </w:tcPr>
              <w:p w14:paraId="3C0CC4D0" w14:textId="1E1923B0" w:rsidR="0066567F" w:rsidRPr="00283508" w:rsidRDefault="0066567F" w:rsidP="0066567F">
                <w:pPr>
                  <w:pStyle w:val="TableTextLeft"/>
                  <w:spacing w:before="0" w:after="0"/>
                  <w:jc w:val="center"/>
                  <w:rPr>
                    <w:sz w:val="14"/>
                    <w:szCs w:val="14"/>
                  </w:rPr>
                </w:pPr>
                <w:r w:rsidRPr="0066567F">
                  <w:rPr>
                    <w:sz w:val="14"/>
                    <w:szCs w:val="14"/>
                  </w:rPr>
                  <w:t>2.3%</w:t>
                </w:r>
              </w:p>
            </w:tc>
            <w:tc>
              <w:tcPr>
                <w:tcW w:w="621" w:type="pct"/>
                <w:shd w:val="clear" w:color="auto" w:fill="FFFFFF" w:themeFill="background2"/>
                <w:vAlign w:val="center"/>
              </w:tcPr>
              <w:p w14:paraId="50E722C6" w14:textId="14D07DDF" w:rsidR="0066567F" w:rsidRPr="00283508" w:rsidRDefault="0066567F" w:rsidP="0066567F">
                <w:pPr>
                  <w:pStyle w:val="TableTextLeft"/>
                  <w:spacing w:before="0" w:after="0"/>
                  <w:jc w:val="center"/>
                  <w:rPr>
                    <w:sz w:val="14"/>
                    <w:szCs w:val="14"/>
                  </w:rPr>
                </w:pPr>
                <w:r w:rsidRPr="0066567F">
                  <w:rPr>
                    <w:sz w:val="14"/>
                    <w:szCs w:val="14"/>
                  </w:rPr>
                  <w:t>9.5%</w:t>
                </w:r>
              </w:p>
            </w:tc>
            <w:tc>
              <w:tcPr>
                <w:tcW w:w="617" w:type="pct"/>
                <w:shd w:val="clear" w:color="auto" w:fill="FFFFFF" w:themeFill="background2"/>
                <w:vAlign w:val="center"/>
              </w:tcPr>
              <w:p w14:paraId="4E2DDD25" w14:textId="591EE5CA" w:rsidR="0066567F" w:rsidRPr="00283508" w:rsidRDefault="0066567F" w:rsidP="0066567F">
                <w:pPr>
                  <w:pStyle w:val="TableTextLeft"/>
                  <w:spacing w:before="0" w:after="0"/>
                  <w:jc w:val="center"/>
                  <w:rPr>
                    <w:sz w:val="14"/>
                    <w:szCs w:val="14"/>
                  </w:rPr>
                </w:pPr>
                <w:r w:rsidRPr="0066567F">
                  <w:rPr>
                    <w:sz w:val="14"/>
                    <w:szCs w:val="14"/>
                  </w:rPr>
                  <w:t>100.0%</w:t>
                </w:r>
              </w:p>
            </w:tc>
          </w:tr>
          <w:tr w:rsidR="0066567F" w:rsidRPr="0066567F" w14:paraId="3B155050" w14:textId="77777777" w:rsidTr="0066567F">
            <w:trPr>
              <w:trHeight w:val="283"/>
            </w:trPr>
            <w:tc>
              <w:tcPr>
                <w:tcW w:w="660" w:type="pct"/>
                <w:shd w:val="clear" w:color="auto" w:fill="FFFFFF" w:themeFill="background2"/>
                <w:tcMar>
                  <w:top w:w="60" w:type="dxa"/>
                  <w:left w:w="114" w:type="dxa"/>
                  <w:bottom w:w="60" w:type="dxa"/>
                  <w:right w:w="114" w:type="dxa"/>
                </w:tcMar>
                <w:vAlign w:val="center"/>
              </w:tcPr>
              <w:p w14:paraId="4F683560" w14:textId="77777777" w:rsidR="0066567F" w:rsidRPr="0066567F" w:rsidRDefault="0066567F" w:rsidP="0066567F">
                <w:pPr>
                  <w:pStyle w:val="TableIndent3"/>
                  <w:spacing w:before="0" w:after="0"/>
                  <w:ind w:left="0"/>
                  <w:jc w:val="center"/>
                  <w:rPr>
                    <w:b/>
                    <w:sz w:val="14"/>
                    <w:szCs w:val="14"/>
                  </w:rPr>
                </w:pPr>
                <w:r w:rsidRPr="0066567F">
                  <w:rPr>
                    <w:rFonts w:cs="Segoe UI"/>
                    <w:b/>
                    <w:sz w:val="14"/>
                    <w:lang w:val="en-GB" w:eastAsia="it-IT"/>
                  </w:rPr>
                  <w:t>Total</w:t>
                </w:r>
              </w:p>
            </w:tc>
            <w:tc>
              <w:tcPr>
                <w:tcW w:w="620" w:type="pct"/>
                <w:shd w:val="clear" w:color="auto" w:fill="FFFFFF" w:themeFill="background2"/>
                <w:tcMar>
                  <w:top w:w="60" w:type="dxa"/>
                  <w:left w:w="114" w:type="dxa"/>
                  <w:bottom w:w="60" w:type="dxa"/>
                  <w:right w:w="114" w:type="dxa"/>
                </w:tcMar>
                <w:vAlign w:val="center"/>
              </w:tcPr>
              <w:p w14:paraId="6BD48B59" w14:textId="05D4538D" w:rsidR="0066567F" w:rsidRPr="0066567F" w:rsidRDefault="0066567F" w:rsidP="0066567F">
                <w:pPr>
                  <w:pStyle w:val="TableTextLeft"/>
                  <w:spacing w:before="0" w:after="0"/>
                  <w:jc w:val="center"/>
                  <w:rPr>
                    <w:b/>
                    <w:sz w:val="14"/>
                    <w:szCs w:val="14"/>
                  </w:rPr>
                </w:pPr>
                <w:r w:rsidRPr="0066567F">
                  <w:rPr>
                    <w:b/>
                    <w:sz w:val="14"/>
                    <w:szCs w:val="14"/>
                  </w:rPr>
                  <w:t>36.6%</w:t>
                </w:r>
              </w:p>
            </w:tc>
            <w:tc>
              <w:tcPr>
                <w:tcW w:w="620" w:type="pct"/>
                <w:shd w:val="clear" w:color="auto" w:fill="FFFFFF" w:themeFill="background2"/>
                <w:tcMar>
                  <w:top w:w="60" w:type="dxa"/>
                  <w:left w:w="114" w:type="dxa"/>
                  <w:bottom w:w="60" w:type="dxa"/>
                  <w:right w:w="114" w:type="dxa"/>
                </w:tcMar>
                <w:vAlign w:val="center"/>
              </w:tcPr>
              <w:p w14:paraId="53F2CF9D" w14:textId="3FFC7BA5" w:rsidR="0066567F" w:rsidRPr="0066567F" w:rsidRDefault="0066567F" w:rsidP="0066567F">
                <w:pPr>
                  <w:pStyle w:val="TableTextLeft"/>
                  <w:spacing w:before="0" w:after="0"/>
                  <w:jc w:val="center"/>
                  <w:rPr>
                    <w:b/>
                    <w:sz w:val="14"/>
                    <w:szCs w:val="14"/>
                  </w:rPr>
                </w:pPr>
                <w:r w:rsidRPr="0066567F">
                  <w:rPr>
                    <w:b/>
                    <w:sz w:val="14"/>
                    <w:szCs w:val="14"/>
                  </w:rPr>
                  <w:t>28.0%</w:t>
                </w:r>
              </w:p>
            </w:tc>
            <w:tc>
              <w:tcPr>
                <w:tcW w:w="621" w:type="pct"/>
                <w:shd w:val="clear" w:color="auto" w:fill="FFFFFF" w:themeFill="background2"/>
                <w:vAlign w:val="center"/>
              </w:tcPr>
              <w:p w14:paraId="2513A4A9" w14:textId="74BA43CF" w:rsidR="0066567F" w:rsidRPr="0066567F" w:rsidRDefault="0066567F" w:rsidP="0066567F">
                <w:pPr>
                  <w:pStyle w:val="TableTextLeft"/>
                  <w:spacing w:before="0" w:after="0"/>
                  <w:jc w:val="center"/>
                  <w:rPr>
                    <w:b/>
                    <w:sz w:val="14"/>
                    <w:szCs w:val="14"/>
                  </w:rPr>
                </w:pPr>
                <w:r w:rsidRPr="0066567F">
                  <w:rPr>
                    <w:b/>
                    <w:sz w:val="14"/>
                    <w:szCs w:val="14"/>
                  </w:rPr>
                  <w:t>10.4%</w:t>
                </w:r>
              </w:p>
            </w:tc>
            <w:tc>
              <w:tcPr>
                <w:tcW w:w="621" w:type="pct"/>
                <w:shd w:val="clear" w:color="auto" w:fill="FFFFFF" w:themeFill="background2"/>
                <w:vAlign w:val="center"/>
              </w:tcPr>
              <w:p w14:paraId="7DA0AD13" w14:textId="27040A65" w:rsidR="0066567F" w:rsidRPr="0066567F" w:rsidRDefault="0066567F" w:rsidP="0066567F">
                <w:pPr>
                  <w:pStyle w:val="TableTextLeft"/>
                  <w:spacing w:before="0" w:after="0"/>
                  <w:jc w:val="center"/>
                  <w:rPr>
                    <w:b/>
                    <w:sz w:val="14"/>
                    <w:szCs w:val="14"/>
                  </w:rPr>
                </w:pPr>
                <w:r w:rsidRPr="0066567F">
                  <w:rPr>
                    <w:b/>
                    <w:sz w:val="14"/>
                    <w:szCs w:val="14"/>
                  </w:rPr>
                  <w:t>16.3%</w:t>
                </w:r>
              </w:p>
            </w:tc>
            <w:tc>
              <w:tcPr>
                <w:tcW w:w="621" w:type="pct"/>
                <w:shd w:val="clear" w:color="auto" w:fill="FFFFFF" w:themeFill="background2"/>
                <w:vAlign w:val="center"/>
              </w:tcPr>
              <w:p w14:paraId="181CAF43" w14:textId="2C141DAE" w:rsidR="0066567F" w:rsidRPr="0066567F" w:rsidRDefault="0066567F" w:rsidP="0066567F">
                <w:pPr>
                  <w:pStyle w:val="TableTextLeft"/>
                  <w:spacing w:before="0" w:after="0"/>
                  <w:jc w:val="center"/>
                  <w:rPr>
                    <w:b/>
                    <w:sz w:val="14"/>
                    <w:szCs w:val="14"/>
                  </w:rPr>
                </w:pPr>
                <w:r w:rsidRPr="0066567F">
                  <w:rPr>
                    <w:b/>
                    <w:sz w:val="14"/>
                    <w:szCs w:val="14"/>
                  </w:rPr>
                  <w:t>2.2%</w:t>
                </w:r>
              </w:p>
            </w:tc>
            <w:tc>
              <w:tcPr>
                <w:tcW w:w="621" w:type="pct"/>
                <w:shd w:val="clear" w:color="auto" w:fill="FFFFFF" w:themeFill="background2"/>
                <w:vAlign w:val="center"/>
              </w:tcPr>
              <w:p w14:paraId="1F7C4C79" w14:textId="5410EADF" w:rsidR="0066567F" w:rsidRPr="0066567F" w:rsidRDefault="0066567F" w:rsidP="0066567F">
                <w:pPr>
                  <w:pStyle w:val="TableTextLeft"/>
                  <w:spacing w:before="0" w:after="0"/>
                  <w:jc w:val="center"/>
                  <w:rPr>
                    <w:b/>
                    <w:sz w:val="14"/>
                    <w:szCs w:val="14"/>
                  </w:rPr>
                </w:pPr>
                <w:r w:rsidRPr="0066567F">
                  <w:rPr>
                    <w:b/>
                    <w:sz w:val="14"/>
                    <w:szCs w:val="14"/>
                  </w:rPr>
                  <w:t>6.5%</w:t>
                </w:r>
              </w:p>
            </w:tc>
            <w:tc>
              <w:tcPr>
                <w:tcW w:w="617" w:type="pct"/>
                <w:shd w:val="clear" w:color="auto" w:fill="FFFFFF" w:themeFill="background2"/>
                <w:vAlign w:val="center"/>
              </w:tcPr>
              <w:p w14:paraId="7E8E7B18" w14:textId="70A1A263" w:rsidR="0066567F" w:rsidRPr="0066567F" w:rsidRDefault="0066567F" w:rsidP="0066567F">
                <w:pPr>
                  <w:pStyle w:val="TableTextLeft"/>
                  <w:spacing w:before="0" w:after="0"/>
                  <w:jc w:val="center"/>
                  <w:rPr>
                    <w:b/>
                    <w:sz w:val="14"/>
                    <w:szCs w:val="14"/>
                  </w:rPr>
                </w:pPr>
                <w:r w:rsidRPr="0066567F">
                  <w:rPr>
                    <w:b/>
                    <w:sz w:val="14"/>
                    <w:szCs w:val="14"/>
                  </w:rPr>
                  <w:t>100.0%</w:t>
                </w:r>
              </w:p>
            </w:tc>
          </w:tr>
        </w:tbl>
        <w:p w14:paraId="36854B48" w14:textId="77777777" w:rsidR="00DF6454" w:rsidRDefault="00DF6454" w:rsidP="00A3443E">
          <w:pPr>
            <w:rPr>
              <w:lang w:val="en-GB"/>
            </w:rPr>
          </w:pPr>
        </w:p>
        <w:p w14:paraId="4FDEA9BE" w14:textId="77777777" w:rsidR="00944B76" w:rsidRDefault="00944B76">
          <w:pPr>
            <w:spacing w:before="0" w:after="200" w:line="276" w:lineRule="auto"/>
            <w:jc w:val="left"/>
            <w:rPr>
              <w:rFonts w:ascii="Segoe UI" w:hAnsi="Segoe UI" w:cs="Segoe UI"/>
              <w:b/>
              <w:i/>
              <w:color w:val="002E5A" w:themeColor="text2"/>
              <w:sz w:val="14"/>
              <w:szCs w:val="24"/>
              <w:lang w:val="en-GB"/>
            </w:rPr>
          </w:pPr>
          <w:bookmarkStart w:id="39" w:name="_Toc130806309"/>
          <w:bookmarkStart w:id="40" w:name="_Toc166675649"/>
          <w:r>
            <w:rPr>
              <w:rFonts w:ascii="Segoe UI" w:hAnsi="Segoe UI" w:cs="Segoe UI"/>
              <w:i/>
              <w:color w:val="002E5A" w:themeColor="text2"/>
              <w:sz w:val="14"/>
              <w:szCs w:val="24"/>
              <w:lang w:val="en-GB"/>
            </w:rPr>
            <w:br w:type="page"/>
          </w:r>
        </w:p>
        <w:p w14:paraId="3D6C66BA" w14:textId="739FADE2" w:rsidR="004101BF" w:rsidRPr="0032337D" w:rsidRDefault="004101BF" w:rsidP="004101BF">
          <w:pPr>
            <w:pStyle w:val="Didascalia"/>
            <w:rPr>
              <w:rFonts w:ascii="Segoe UI" w:hAnsi="Segoe UI" w:cs="Segoe UI"/>
              <w:bCs/>
              <w:i/>
              <w:color w:val="002E5A" w:themeColor="text2"/>
              <w:sz w:val="14"/>
              <w:szCs w:val="24"/>
              <w:lang w:val="en-GB"/>
            </w:rPr>
          </w:pPr>
          <w:bookmarkStart w:id="41" w:name="_Toc167131776"/>
          <w:r w:rsidRPr="0032337D">
            <w:rPr>
              <w:rFonts w:ascii="Segoe UI" w:hAnsi="Segoe UI" w:cs="Segoe UI"/>
              <w:i/>
              <w:color w:val="002E5A" w:themeColor="text2"/>
              <w:sz w:val="14"/>
              <w:szCs w:val="24"/>
              <w:lang w:val="en-GB"/>
            </w:rPr>
            <w:lastRenderedPageBreak/>
            <w:t xml:space="preserve">Exhibit </w:t>
          </w:r>
          <w:r>
            <w:rPr>
              <w:rFonts w:ascii="Segoe UI" w:hAnsi="Segoe UI" w:cs="Segoe UI"/>
              <w:bCs/>
              <w:i/>
              <w:color w:val="002E5A" w:themeColor="text2"/>
              <w:sz w:val="14"/>
              <w:szCs w:val="24"/>
              <w:lang w:val="en-GB"/>
            </w:rPr>
            <w:fldChar w:fldCharType="begin"/>
          </w:r>
          <w:r>
            <w:rPr>
              <w:rFonts w:ascii="Segoe UI" w:hAnsi="Segoe UI" w:cs="Segoe UI"/>
              <w:i/>
              <w:color w:val="002E5A" w:themeColor="text2"/>
              <w:sz w:val="14"/>
              <w:szCs w:val="24"/>
              <w:lang w:val="en-GB"/>
            </w:rPr>
            <w:instrText xml:space="preserve"> SEQ Exhibit \* ARABIC </w:instrText>
          </w:r>
          <w:r>
            <w:rPr>
              <w:rFonts w:ascii="Segoe UI" w:hAnsi="Segoe UI" w:cs="Segoe UI"/>
              <w:bCs/>
              <w:i/>
              <w:color w:val="002E5A" w:themeColor="text2"/>
              <w:sz w:val="14"/>
              <w:szCs w:val="24"/>
              <w:lang w:val="en-GB"/>
            </w:rPr>
            <w:fldChar w:fldCharType="separate"/>
          </w:r>
          <w:r w:rsidR="009857B6">
            <w:rPr>
              <w:rFonts w:ascii="Segoe UI" w:hAnsi="Segoe UI" w:cs="Segoe UI"/>
              <w:i/>
              <w:noProof/>
              <w:color w:val="002E5A" w:themeColor="text2"/>
              <w:sz w:val="14"/>
              <w:szCs w:val="24"/>
              <w:lang w:val="en-GB"/>
            </w:rPr>
            <w:t>8</w:t>
          </w:r>
          <w:r>
            <w:rPr>
              <w:rFonts w:ascii="Segoe UI" w:hAnsi="Segoe UI" w:cs="Segoe UI"/>
              <w:bCs/>
              <w:i/>
              <w:color w:val="002E5A" w:themeColor="text2"/>
              <w:sz w:val="14"/>
              <w:szCs w:val="24"/>
              <w:lang w:val="en-GB"/>
            </w:rPr>
            <w:fldChar w:fldCharType="end"/>
          </w:r>
          <w:r w:rsidRPr="0032337D">
            <w:rPr>
              <w:rFonts w:ascii="Segoe UI" w:hAnsi="Segoe UI" w:cs="Segoe UI"/>
              <w:i/>
              <w:color w:val="002E5A" w:themeColor="text2"/>
              <w:sz w:val="14"/>
              <w:szCs w:val="24"/>
              <w:lang w:val="en-GB"/>
            </w:rPr>
            <w:t>: Distribution of rated entities by industry</w:t>
          </w:r>
          <w:bookmarkEnd w:id="39"/>
          <w:bookmarkEnd w:id="40"/>
          <w:bookmarkEnd w:id="41"/>
        </w:p>
        <w:p w14:paraId="02ADCA1C" w14:textId="3F54CBC4" w:rsidR="004101BF" w:rsidRPr="0032337D" w:rsidRDefault="004101BF" w:rsidP="004101BF">
          <w:pPr>
            <w:jc w:val="center"/>
            <w:rPr>
              <w:rFonts w:cs="Segoe UI"/>
              <w:lang w:val="en-GB"/>
            </w:rPr>
          </w:pPr>
        </w:p>
        <w:p w14:paraId="46A9C520" w14:textId="6CB0B004" w:rsidR="00060C30" w:rsidRDefault="00060C30" w:rsidP="004101BF">
          <w:pPr>
            <w:spacing w:before="240"/>
            <w:rPr>
              <w:rFonts w:cs="Segoe UI"/>
              <w:lang w:val="en-GB"/>
            </w:rPr>
          </w:pPr>
          <w:r w:rsidRPr="005004CD">
            <w:rPr>
              <w:rFonts w:cs="Segoe UI"/>
              <w:noProof/>
              <w:color w:val="FFFFFF" w:themeColor="background1"/>
              <w:shd w:val="clear" w:color="auto" w:fill="33A1AB" w:themeFill="accent2"/>
              <w:lang w:val="en-GB"/>
            </w:rPr>
            <w:drawing>
              <wp:inline distT="0" distB="0" distL="0" distR="0" wp14:anchorId="515D7619" wp14:editId="71D8F5FE">
                <wp:extent cx="6545580" cy="3086100"/>
                <wp:effectExtent l="0" t="0" r="7620" b="0"/>
                <wp:docPr id="273761598"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938A221" w14:textId="77777777" w:rsidR="00060C30" w:rsidRDefault="00060C30" w:rsidP="004101BF">
          <w:pPr>
            <w:spacing w:before="240"/>
            <w:rPr>
              <w:rFonts w:cs="Segoe UI"/>
              <w:lang w:val="en-GB"/>
            </w:rPr>
          </w:pPr>
        </w:p>
        <w:p w14:paraId="12BC8762" w14:textId="2888B1FF" w:rsidR="004101BF" w:rsidRDefault="004101BF" w:rsidP="00944B76">
          <w:pPr>
            <w:spacing w:before="240"/>
            <w:rPr>
              <w:rFonts w:ascii="Candara" w:hAnsi="Candara"/>
              <w:b/>
              <w:bCs/>
              <w:caps/>
              <w:sz w:val="28"/>
              <w:szCs w:val="32"/>
              <w:lang w:val="en-GB"/>
            </w:rPr>
          </w:pPr>
          <w:r w:rsidRPr="0032337D">
            <w:rPr>
              <w:rFonts w:cs="Segoe UI"/>
              <w:lang w:val="en-GB"/>
            </w:rPr>
            <w:t>Manufacturing and Wholesale are the most representative industries in terms of number of credit ratings issued by Cerved Rating Agency (</w:t>
          </w:r>
          <w:r>
            <w:rPr>
              <w:rFonts w:cs="Segoe UI"/>
              <w:lang w:val="en-GB"/>
            </w:rPr>
            <w:t>41</w:t>
          </w:r>
          <w:r w:rsidRPr="0032337D">
            <w:rPr>
              <w:rFonts w:cs="Segoe UI"/>
              <w:lang w:val="en-GB"/>
            </w:rPr>
            <w:t>.</w:t>
          </w:r>
          <w:r>
            <w:rPr>
              <w:rFonts w:cs="Segoe UI"/>
              <w:lang w:val="en-GB"/>
            </w:rPr>
            <w:t>2</w:t>
          </w:r>
          <w:r w:rsidRPr="0032337D">
            <w:rPr>
              <w:rFonts w:cs="Segoe UI"/>
              <w:lang w:val="en-GB"/>
            </w:rPr>
            <w:t>% and 2</w:t>
          </w:r>
          <w:r>
            <w:rPr>
              <w:rFonts w:cs="Segoe UI"/>
              <w:lang w:val="en-GB"/>
            </w:rPr>
            <w:t>2</w:t>
          </w:r>
          <w:r w:rsidRPr="0032337D">
            <w:rPr>
              <w:rFonts w:cs="Segoe UI"/>
              <w:lang w:val="en-GB"/>
            </w:rPr>
            <w:t>.</w:t>
          </w:r>
          <w:r>
            <w:rPr>
              <w:rFonts w:cs="Segoe UI"/>
              <w:lang w:val="en-GB"/>
            </w:rPr>
            <w:t>3</w:t>
          </w:r>
          <w:r w:rsidRPr="0032337D">
            <w:rPr>
              <w:rFonts w:cs="Segoe UI"/>
              <w:lang w:val="en-GB"/>
            </w:rPr>
            <w:t>% respectively at the end of 20</w:t>
          </w:r>
          <w:r>
            <w:rPr>
              <w:rFonts w:cs="Segoe UI"/>
              <w:lang w:val="en-GB"/>
            </w:rPr>
            <w:t>21</w:t>
          </w:r>
          <w:r w:rsidRPr="0032337D">
            <w:rPr>
              <w:rFonts w:cs="Segoe UI"/>
              <w:lang w:val="en-GB"/>
            </w:rPr>
            <w:t>, on average 36.</w:t>
          </w:r>
          <w:r>
            <w:rPr>
              <w:rFonts w:cs="Segoe UI"/>
              <w:lang w:val="en-GB"/>
            </w:rPr>
            <w:t>4</w:t>
          </w:r>
          <w:r w:rsidRPr="0032337D">
            <w:rPr>
              <w:rFonts w:cs="Segoe UI"/>
              <w:lang w:val="en-GB"/>
            </w:rPr>
            <w:t>% and 28.</w:t>
          </w:r>
          <w:r>
            <w:rPr>
              <w:rFonts w:cs="Segoe UI"/>
              <w:lang w:val="en-GB"/>
            </w:rPr>
            <w:t>2</w:t>
          </w:r>
          <w:r w:rsidRPr="0032337D">
            <w:rPr>
              <w:rFonts w:cs="Segoe UI"/>
              <w:lang w:val="en-GB"/>
            </w:rPr>
            <w:t>% respectively in the observed 1</w:t>
          </w:r>
          <w:r>
            <w:rPr>
              <w:rFonts w:cs="Segoe UI"/>
              <w:lang w:val="en-GB"/>
            </w:rPr>
            <w:t>4</w:t>
          </w:r>
          <w:r w:rsidRPr="0032337D">
            <w:rPr>
              <w:rFonts w:cs="Segoe UI"/>
              <w:lang w:val="en-GB"/>
            </w:rPr>
            <w:t>-year period).</w:t>
          </w:r>
        </w:p>
        <w:p w14:paraId="65A286F4" w14:textId="77777777" w:rsidR="004101BF" w:rsidRPr="00FA752D" w:rsidRDefault="004101BF" w:rsidP="004101BF">
          <w:pPr>
            <w:pStyle w:val="Titolo2"/>
            <w:rPr>
              <w:lang w:val="en-GB"/>
            </w:rPr>
          </w:pPr>
          <w:bookmarkStart w:id="42" w:name="_Toc130806399"/>
          <w:bookmarkStart w:id="43" w:name="_Toc167131720"/>
          <w:r w:rsidRPr="00FA752D">
            <w:rPr>
              <w:lang w:val="en-GB"/>
            </w:rPr>
            <w:t>Rating distribution of rated entities</w:t>
          </w:r>
          <w:bookmarkEnd w:id="42"/>
          <w:bookmarkEnd w:id="43"/>
        </w:p>
        <w:p w14:paraId="51797490" w14:textId="4CD4536A" w:rsidR="009A7525" w:rsidRDefault="004101BF" w:rsidP="004101BF">
          <w:pPr>
            <w:rPr>
              <w:rFonts w:cs="Segoe UI"/>
              <w:lang w:val="en-GB"/>
            </w:rPr>
          </w:pPr>
          <w:r w:rsidRPr="0032337D">
            <w:rPr>
              <w:rFonts w:cs="Segoe UI"/>
              <w:lang w:val="en-GB"/>
            </w:rPr>
            <w:t xml:space="preserve">Exhibit 9 shows the average rating distribution in the time </w:t>
          </w:r>
          <w:r w:rsidR="00802B67">
            <w:rPr>
              <w:rFonts w:cs="Segoe UI"/>
              <w:lang w:val="en-GB"/>
            </w:rPr>
            <w:t>span which goes from</w:t>
          </w:r>
          <w:r w:rsidRPr="0032337D">
            <w:rPr>
              <w:rFonts w:cs="Segoe UI"/>
              <w:lang w:val="en-GB"/>
            </w:rPr>
            <w:t xml:space="preserve"> 2008 to 20</w:t>
          </w:r>
          <w:r>
            <w:rPr>
              <w:rFonts w:cs="Segoe UI"/>
              <w:lang w:val="en-GB"/>
            </w:rPr>
            <w:t>2</w:t>
          </w:r>
          <w:r w:rsidR="00802B67">
            <w:rPr>
              <w:rFonts w:cs="Segoe UI"/>
              <w:lang w:val="en-GB"/>
            </w:rPr>
            <w:t>2</w:t>
          </w:r>
          <w:r w:rsidRPr="0032337D">
            <w:rPr>
              <w:rFonts w:cs="Segoe UI"/>
              <w:lang w:val="en-GB"/>
            </w:rPr>
            <w:t>.</w:t>
          </w:r>
        </w:p>
        <w:p w14:paraId="79C646E5" w14:textId="466C4F6E" w:rsidR="0074354A" w:rsidRPr="0074354A" w:rsidRDefault="0074354A" w:rsidP="0074354A">
          <w:pPr>
            <w:pStyle w:val="Didascalia"/>
            <w:rPr>
              <w:rFonts w:ascii="Segoe UI" w:hAnsi="Segoe UI" w:cs="Segoe UI"/>
              <w:bCs/>
              <w:i/>
              <w:color w:val="002E5A" w:themeColor="text2"/>
              <w:sz w:val="14"/>
              <w:szCs w:val="24"/>
              <w:lang w:val="en-GB"/>
            </w:rPr>
          </w:pPr>
          <w:bookmarkStart w:id="44" w:name="_Toc166675650"/>
          <w:bookmarkStart w:id="45" w:name="_Toc167131777"/>
          <w:r w:rsidRPr="0032337D">
            <w:rPr>
              <w:rFonts w:ascii="Segoe UI" w:hAnsi="Segoe UI" w:cs="Segoe UI"/>
              <w:i/>
              <w:color w:val="002E5A" w:themeColor="text2"/>
              <w:sz w:val="14"/>
              <w:szCs w:val="24"/>
              <w:lang w:val="en-GB"/>
            </w:rPr>
            <w:t xml:space="preserve">Exhibit </w:t>
          </w:r>
          <w:r>
            <w:rPr>
              <w:rFonts w:ascii="Segoe UI" w:hAnsi="Segoe UI" w:cs="Segoe UI"/>
              <w:bCs/>
              <w:i/>
              <w:color w:val="002E5A" w:themeColor="text2"/>
              <w:sz w:val="14"/>
              <w:szCs w:val="24"/>
              <w:lang w:val="en-GB"/>
            </w:rPr>
            <w:fldChar w:fldCharType="begin"/>
          </w:r>
          <w:r>
            <w:rPr>
              <w:rFonts w:ascii="Segoe UI" w:hAnsi="Segoe UI" w:cs="Segoe UI"/>
              <w:i/>
              <w:color w:val="002E5A" w:themeColor="text2"/>
              <w:sz w:val="14"/>
              <w:szCs w:val="24"/>
              <w:lang w:val="en-GB"/>
            </w:rPr>
            <w:instrText xml:space="preserve"> SEQ Exhibit \* ARABIC </w:instrText>
          </w:r>
          <w:r>
            <w:rPr>
              <w:rFonts w:ascii="Segoe UI" w:hAnsi="Segoe UI" w:cs="Segoe UI"/>
              <w:bCs/>
              <w:i/>
              <w:color w:val="002E5A" w:themeColor="text2"/>
              <w:sz w:val="14"/>
              <w:szCs w:val="24"/>
              <w:lang w:val="en-GB"/>
            </w:rPr>
            <w:fldChar w:fldCharType="separate"/>
          </w:r>
          <w:r w:rsidR="009857B6">
            <w:rPr>
              <w:rFonts w:ascii="Segoe UI" w:hAnsi="Segoe UI" w:cs="Segoe UI"/>
              <w:i/>
              <w:noProof/>
              <w:color w:val="002E5A" w:themeColor="text2"/>
              <w:sz w:val="14"/>
              <w:szCs w:val="24"/>
              <w:lang w:val="en-GB"/>
            </w:rPr>
            <w:t>9</w:t>
          </w:r>
          <w:r>
            <w:rPr>
              <w:rFonts w:ascii="Segoe UI" w:hAnsi="Segoe UI" w:cs="Segoe UI"/>
              <w:bCs/>
              <w:i/>
              <w:color w:val="002E5A" w:themeColor="text2"/>
              <w:sz w:val="14"/>
              <w:szCs w:val="24"/>
              <w:lang w:val="en-GB"/>
            </w:rPr>
            <w:fldChar w:fldCharType="end"/>
          </w:r>
          <w:r w:rsidRPr="0032337D">
            <w:rPr>
              <w:rFonts w:ascii="Segoe UI" w:hAnsi="Segoe UI" w:cs="Segoe UI"/>
              <w:i/>
              <w:color w:val="002E5A" w:themeColor="text2"/>
              <w:sz w:val="14"/>
              <w:szCs w:val="24"/>
              <w:lang w:val="en-GB"/>
            </w:rPr>
            <w:t xml:space="preserve">: </w:t>
          </w:r>
          <w:r w:rsidR="009E04BF">
            <w:rPr>
              <w:rFonts w:ascii="Segoe UI" w:hAnsi="Segoe UI" w:cs="Segoe UI"/>
              <w:i/>
              <w:color w:val="002E5A" w:themeColor="text2"/>
              <w:sz w:val="14"/>
              <w:szCs w:val="24"/>
              <w:lang w:val="en-GB"/>
            </w:rPr>
            <w:t>Distribution of a</w:t>
          </w:r>
          <w:r w:rsidRPr="0032337D">
            <w:rPr>
              <w:rFonts w:ascii="Segoe UI" w:hAnsi="Segoe UI" w:cs="Segoe UI"/>
              <w:i/>
              <w:color w:val="002E5A" w:themeColor="text2"/>
              <w:sz w:val="14"/>
              <w:szCs w:val="24"/>
              <w:lang w:val="en-GB"/>
            </w:rPr>
            <w:t>verage rating frequenc</w:t>
          </w:r>
          <w:r w:rsidR="007F023A">
            <w:rPr>
              <w:rFonts w:ascii="Segoe UI" w:hAnsi="Segoe UI" w:cs="Segoe UI"/>
              <w:i/>
              <w:color w:val="002E5A" w:themeColor="text2"/>
              <w:sz w:val="14"/>
              <w:szCs w:val="24"/>
              <w:lang w:val="en-GB"/>
            </w:rPr>
            <w:t>y</w:t>
          </w:r>
          <w:bookmarkEnd w:id="44"/>
          <w:bookmarkEnd w:id="45"/>
        </w:p>
        <w:p w14:paraId="436CC262" w14:textId="6608C87D" w:rsidR="009A7525" w:rsidRDefault="009A7525" w:rsidP="004101BF">
          <w:pPr>
            <w:rPr>
              <w:rFonts w:cs="Segoe UI"/>
              <w:lang w:val="en-GB"/>
            </w:rPr>
          </w:pPr>
          <w:r>
            <w:rPr>
              <w:noProof/>
            </w:rPr>
            <w:drawing>
              <wp:inline distT="0" distB="0" distL="0" distR="0" wp14:anchorId="7A004710" wp14:editId="1C46AB28">
                <wp:extent cx="6718300" cy="2202180"/>
                <wp:effectExtent l="0" t="0" r="6350" b="7620"/>
                <wp:docPr id="1888695952" name="Grafico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9518789" w14:textId="0F90C842" w:rsidR="004101BF" w:rsidRPr="0032337D" w:rsidRDefault="004101BF" w:rsidP="004101BF">
          <w:pPr>
            <w:rPr>
              <w:rFonts w:cs="Segoe UI"/>
              <w:lang w:val="en-GB"/>
            </w:rPr>
          </w:pPr>
          <w:r w:rsidRPr="0032337D">
            <w:rPr>
              <w:rFonts w:cs="Segoe UI"/>
              <w:lang w:val="en-GB"/>
            </w:rPr>
            <w:lastRenderedPageBreak/>
            <w:t xml:space="preserve">Exhibit 10 shows the frequency distribution of rated entities by rating class </w:t>
          </w:r>
          <w:r w:rsidR="00D3018F">
            <w:rPr>
              <w:rFonts w:cs="Segoe UI"/>
              <w:lang w:val="en-GB"/>
            </w:rPr>
            <w:t>and year</w:t>
          </w:r>
          <w:r w:rsidRPr="0032337D">
            <w:rPr>
              <w:rFonts w:cs="Segoe UI"/>
              <w:lang w:val="en-GB"/>
            </w:rPr>
            <w:t xml:space="preserve">. </w:t>
          </w:r>
          <w:r w:rsidR="002A5EEE">
            <w:rPr>
              <w:rFonts w:cs="Segoe UI"/>
              <w:lang w:val="en-GB"/>
            </w:rPr>
            <w:t>Yearly</w:t>
          </w:r>
          <w:r w:rsidRPr="0032337D">
            <w:rPr>
              <w:rFonts w:cs="Segoe UI"/>
              <w:lang w:val="en-GB"/>
            </w:rPr>
            <w:t xml:space="preserve"> distribution</w:t>
          </w:r>
          <w:r w:rsidR="002A5EEE">
            <w:rPr>
              <w:rFonts w:cs="Segoe UI"/>
              <w:lang w:val="en-GB"/>
            </w:rPr>
            <w:t>s</w:t>
          </w:r>
          <w:r w:rsidRPr="0032337D">
            <w:rPr>
              <w:rFonts w:cs="Segoe UI"/>
              <w:lang w:val="en-GB"/>
            </w:rPr>
            <w:t xml:space="preserve"> </w:t>
          </w:r>
          <w:r w:rsidR="002A5EEE">
            <w:rPr>
              <w:rFonts w:cs="Segoe UI"/>
              <w:lang w:val="en-GB"/>
            </w:rPr>
            <w:t xml:space="preserve">are </w:t>
          </w:r>
          <w:r w:rsidRPr="0032337D">
            <w:rPr>
              <w:rFonts w:cs="Segoe UI"/>
              <w:lang w:val="en-GB"/>
            </w:rPr>
            <w:t xml:space="preserve">not only </w:t>
          </w:r>
          <w:r w:rsidR="00E05ED4">
            <w:rPr>
              <w:rFonts w:cs="Segoe UI"/>
              <w:lang w:val="en-GB"/>
            </w:rPr>
            <w:t xml:space="preserve">affected </w:t>
          </w:r>
          <w:r w:rsidRPr="0032337D">
            <w:rPr>
              <w:rFonts w:cs="Segoe UI"/>
              <w:lang w:val="en-GB"/>
            </w:rPr>
            <w:t>by</w:t>
          </w:r>
          <w:r w:rsidR="002A5EEE">
            <w:rPr>
              <w:rFonts w:cs="Segoe UI"/>
              <w:lang w:val="en-GB"/>
            </w:rPr>
            <w:t xml:space="preserve"> changes in </w:t>
          </w:r>
          <w:r w:rsidR="00533314">
            <w:rPr>
              <w:rFonts w:cs="Segoe UI"/>
              <w:lang w:val="en-GB"/>
            </w:rPr>
            <w:t xml:space="preserve">the </w:t>
          </w:r>
          <w:r w:rsidR="002A5EEE">
            <w:rPr>
              <w:rFonts w:cs="Segoe UI"/>
              <w:lang w:val="en-GB"/>
            </w:rPr>
            <w:t>rating</w:t>
          </w:r>
          <w:r w:rsidR="00533314">
            <w:rPr>
              <w:rFonts w:cs="Segoe UI"/>
              <w:lang w:val="en-GB"/>
            </w:rPr>
            <w:t xml:space="preserve"> itself</w:t>
          </w:r>
          <w:r w:rsidR="002A5EEE">
            <w:rPr>
              <w:rFonts w:cs="Segoe UI"/>
              <w:lang w:val="en-GB"/>
            </w:rPr>
            <w:t>,</w:t>
          </w:r>
          <w:r w:rsidRPr="0032337D">
            <w:rPr>
              <w:rFonts w:cs="Segoe UI"/>
              <w:lang w:val="en-GB"/>
            </w:rPr>
            <w:t xml:space="preserve"> </w:t>
          </w:r>
          <w:r w:rsidR="002A5EEE">
            <w:rPr>
              <w:rFonts w:cs="Segoe UI"/>
              <w:lang w:val="en-GB"/>
            </w:rPr>
            <w:t>but a</w:t>
          </w:r>
          <w:r w:rsidRPr="0032337D">
            <w:rPr>
              <w:rFonts w:cs="Segoe UI"/>
              <w:lang w:val="en-GB"/>
            </w:rPr>
            <w:t xml:space="preserve">lso by </w:t>
          </w:r>
          <w:r w:rsidR="002A5EEE">
            <w:rPr>
              <w:rFonts w:cs="Segoe UI"/>
              <w:lang w:val="en-GB"/>
            </w:rPr>
            <w:t>tweaks</w:t>
          </w:r>
          <w:r w:rsidRPr="0032337D">
            <w:rPr>
              <w:rFonts w:cs="Segoe UI"/>
              <w:lang w:val="en-GB"/>
            </w:rPr>
            <w:t xml:space="preserve"> in the composition of </w:t>
          </w:r>
          <w:r w:rsidR="002A5EEE">
            <w:rPr>
              <w:rFonts w:cs="Segoe UI"/>
              <w:lang w:val="en-GB"/>
            </w:rPr>
            <w:t>the</w:t>
          </w:r>
          <w:r w:rsidRPr="0032337D">
            <w:rPr>
              <w:rFonts w:cs="Segoe UI"/>
              <w:lang w:val="en-GB"/>
            </w:rPr>
            <w:t xml:space="preserve"> portfolio</w:t>
          </w:r>
          <w:r w:rsidR="002A5EEE">
            <w:rPr>
              <w:rFonts w:cs="Segoe UI"/>
              <w:lang w:val="en-GB"/>
            </w:rPr>
            <w:t xml:space="preserve">, which </w:t>
          </w:r>
          <w:r w:rsidR="00363ECD">
            <w:rPr>
              <w:rFonts w:cs="Segoe UI"/>
              <w:lang w:val="en-GB"/>
            </w:rPr>
            <w:t>is</w:t>
          </w:r>
          <w:r w:rsidR="002A5EEE">
            <w:rPr>
              <w:rFonts w:cs="Segoe UI"/>
              <w:lang w:val="en-GB"/>
            </w:rPr>
            <w:t xml:space="preserve"> subject to var</w:t>
          </w:r>
          <w:r w:rsidR="00363ECD">
            <w:rPr>
              <w:rFonts w:cs="Segoe UI"/>
              <w:lang w:val="en-GB"/>
            </w:rPr>
            <w:t>iations due to possible</w:t>
          </w:r>
          <w:r w:rsidR="00E05ED4">
            <w:rPr>
              <w:rFonts w:cs="Segoe UI"/>
              <w:lang w:val="en-GB"/>
            </w:rPr>
            <w:t xml:space="preserve"> new</w:t>
          </w:r>
          <w:r w:rsidR="002A5EEE">
            <w:rPr>
              <w:rFonts w:cs="Segoe UI"/>
              <w:lang w:val="en-GB"/>
            </w:rPr>
            <w:t xml:space="preserve"> </w:t>
          </w:r>
          <w:r w:rsidRPr="0032337D">
            <w:rPr>
              <w:rFonts w:cs="Segoe UI"/>
              <w:lang w:val="en-GB"/>
            </w:rPr>
            <w:t>credit rating issu</w:t>
          </w:r>
          <w:r w:rsidR="000354A7">
            <w:rPr>
              <w:rFonts w:cs="Segoe UI"/>
              <w:lang w:val="en-GB"/>
            </w:rPr>
            <w:t>e</w:t>
          </w:r>
          <w:r w:rsidRPr="0032337D">
            <w:rPr>
              <w:rFonts w:cs="Segoe UI"/>
              <w:lang w:val="en-GB"/>
            </w:rPr>
            <w:t>s and withdrawals.</w:t>
          </w:r>
        </w:p>
        <w:p w14:paraId="469CE1D2" w14:textId="3CF5B9C8" w:rsidR="004101BF" w:rsidRPr="002A5EEE" w:rsidRDefault="004101BF" w:rsidP="002A5EEE">
          <w:pPr>
            <w:pStyle w:val="Didascalia"/>
            <w:rPr>
              <w:rFonts w:ascii="Segoe UI" w:hAnsi="Segoe UI" w:cs="Segoe UI"/>
              <w:i/>
              <w:sz w:val="14"/>
              <w:lang w:val="en-GB"/>
            </w:rPr>
          </w:pPr>
          <w:bookmarkStart w:id="46" w:name="_Toc130806311"/>
          <w:bookmarkStart w:id="47" w:name="_Toc166675651"/>
          <w:bookmarkStart w:id="48" w:name="_Toc167131778"/>
          <w:r w:rsidRPr="0032337D">
            <w:rPr>
              <w:rFonts w:ascii="Segoe UI" w:hAnsi="Segoe UI" w:cs="Segoe UI"/>
              <w:i/>
              <w:sz w:val="14"/>
              <w:lang w:val="en-GB"/>
            </w:rPr>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10</w:t>
          </w:r>
          <w:r>
            <w:rPr>
              <w:rFonts w:ascii="Segoe UI" w:hAnsi="Segoe UI" w:cs="Segoe UI"/>
              <w:i/>
              <w:sz w:val="14"/>
              <w:lang w:val="en-GB"/>
            </w:rPr>
            <w:fldChar w:fldCharType="end"/>
          </w:r>
          <w:r w:rsidRPr="0032337D">
            <w:rPr>
              <w:rFonts w:ascii="Segoe UI" w:hAnsi="Segoe UI" w:cs="Segoe UI"/>
              <w:i/>
              <w:sz w:val="14"/>
              <w:lang w:val="en-GB"/>
            </w:rPr>
            <w:t>: Breakdown of rated entities by number of entities</w:t>
          </w:r>
          <w:bookmarkEnd w:id="46"/>
          <w:bookmarkEnd w:id="47"/>
          <w:bookmarkEnd w:id="48"/>
        </w:p>
        <w:tbl>
          <w:tblPr>
            <w:tblW w:w="5000" w:type="pct"/>
            <w:tblBorders>
              <w:top w:val="single" w:sz="4" w:space="0" w:color="AFAFB4" w:themeColor="accent4"/>
              <w:bottom w:val="single" w:sz="4" w:space="0" w:color="AFAFB4" w:themeColor="accent4"/>
              <w:insideH w:val="single" w:sz="4" w:space="0" w:color="AFAFB4" w:themeColor="accent4"/>
            </w:tblBorders>
            <w:shd w:val="clear" w:color="auto" w:fill="FFFFFF" w:themeFill="background2"/>
            <w:tblCellMar>
              <w:left w:w="0" w:type="dxa"/>
              <w:right w:w="0" w:type="dxa"/>
            </w:tblCellMar>
            <w:tblLook w:val="0620" w:firstRow="1" w:lastRow="0" w:firstColumn="0" w:lastColumn="0" w:noHBand="1" w:noVBand="1"/>
            <w:tblDescription w:val="{&quot;Ott&quot;:{&quot;FirstRow&quot;:{&quot;BackgroundColor&quot;:{&quot;Key&quot;:&quot;Light2&quot;},&quot;Font&quot;:{&quot;Name&quot;:&quot;Source Sans Pro&quot;,&quot;Size&quot;:14.0,&quot;Bold&quot;:false,&quot;Italic&quot;:false,&quot;Color&quot;:{&quot;Key&quot;:&quot;Dark2&quot;}},&quot;ExcelCellFormatting&quot;:&quot;General&quot;,&quot;Alignment&quot;:{&quot;Horizontal&quot;:&quot;Left&quot;,&quot;Vertical&quot;:&quot;Bottom&quot;},&quot;Borders&quot;:{&quot;Vertical&quot;:{&quot;Visible&quot;:false},&quot;Left&quot;:{&quot;Visible&quot;:false},&quot;Top&quot;:{&quot;Visible&quot;:false},&quot;Right&quot;:{&quot;Visible&quot;:false},&quot;Bottom&quot;:{&quot;Color&quot;:{&quot;Key&quot;:&quot;Accent4&quot;},&quot;BorderWeight&quot;:&quot;Pt1_5&quot;,&quot;Type&quot;:&quot;Solid&quot;,&quot;Visible&quot;:true}}},&quot;FitRowHeightPp&quot;:true,&quot;ZeroMarginsWord&quot;:true,&quot;BackgroundColor&quot;:{&quot;Key&quot;:&quot;Light2&quot;},&quot;Font&quot;:{&quot;Name&quot;:&quot;Source Sans Pro&quot;,&quot;Size&quot;:11.0,&quot;Bold&quot;:false,&quot;Italic&quot;:false,&quot;Color&quot;:{&quot;Key&quot;:&quot;Dark2&quot;}},&quot;LineSpacing&quot;:{&quot;Rule&quot;:&quot;Single&quot;},&quot;Alignment&quot;:{&quot;Horizontal&quot;:&quot;Left&quot;,&quot;Vertical&quot;:&quot;Top&quot;},&quot;Margin&quot;:{&quot;Left&quot;:5.7,&quot;Top&quot;:3.0,&quot;Right&quot;:5.7,&quot;Bottom&quot;:3.0},&quot;Borders&quot;:{&quot;Vertical&quot;:{&quot;Visible&quot;:false},&quot;Horizontal&quot;:{&quot;Color&quot;:{&quot;Key&quot;:&quot;Accent4&quot;},&quot;BorderWeight&quot;:&quot;Pt0_5&quot;,&quot;Type&quot;:&quot;Solid&quot;,&quot;Visible&quot;:true}},&quot;ParagraphSpacing&quot;:{&quot;SpaceBefore&quot;:2.0,&quot;SpaceAfter&quot;:2.0},&quot;ExcelWrapText&quot;:true},&quot;Ccs&quot;:{&quot;DarkBlue&quot;:&quot;0, 20, 55&quot;,&quot;Turquoise&quot;:&quot;0, 164, 230&quot;,&quot;Red&quot;:&quot;214, 70, 65&quot;,&quot;LightGrey&quot;:&quot;174, 174, 180&quot;,&quot;BlueGrey&quot;:&quot;77, 91, 115&quot;,&quot;IceBlue&quot;:&quot;178, 184, 195&quot;,&quot;Grey&quot;:&quot;145, 147, 153&quot;,&quot;Background&quot;:&quot;0, 0, 0, 0&quot;,&quot;White&quot;:&quot;White&quot;,&quot;Accent1&quot;:&quot;1, 1, 1, 1&quot;,&quot;Accent2&quot;:&quot;1, 1, 1, 2&quot;,&quot;Accent3&quot;:&quot;1, 1, 1, 3&quot;,&quot;Accent4&quot;:&quot;1, 1, 1, 4&quot;,&quot;Accent5&quot;:&quot;1, 1, 1, 5&quot;,&quot;Accent6&quot;:&quot;1, 1, 1, 6&quot;,&quot;Dark1&quot;:&quot;1, 1, 1, 7&quot;,&quot;Dark2&quot;:&quot;1, 1, 1, 9&quot;,&quot;Light1&quot;:&quot;1, 1, 1, 8&quot;,&quot;Light2&quot;:&quot;1, 1, 1, 10&quot;},&quot;Cop&quot;:{&quot;FirstRow&quot;:true,&quot;LastRow&quot;:false,&quot;FirstColumn&quot;:false,&quot;LastColumn&quot;:false,&quot;BandedRows&quot;:false,&quot;BandedColumns&quot;:false},&quot;Aaf&quot;:false}"/>
          </w:tblPr>
          <w:tblGrid>
            <w:gridCol w:w="706"/>
            <w:gridCol w:w="664"/>
            <w:gridCol w:w="664"/>
            <w:gridCol w:w="594"/>
            <w:gridCol w:w="594"/>
            <w:gridCol w:w="594"/>
            <w:gridCol w:w="594"/>
            <w:gridCol w:w="594"/>
            <w:gridCol w:w="594"/>
            <w:gridCol w:w="594"/>
            <w:gridCol w:w="594"/>
            <w:gridCol w:w="594"/>
            <w:gridCol w:w="594"/>
            <w:gridCol w:w="594"/>
            <w:gridCol w:w="594"/>
            <w:gridCol w:w="594"/>
            <w:gridCol w:w="592"/>
          </w:tblGrid>
          <w:tr w:rsidR="00A42890" w:rsidRPr="00ED33EF" w14:paraId="6EFDB62B" w14:textId="0C54FE76" w:rsidTr="00A875C2">
            <w:trPr>
              <w:trHeight w:val="283"/>
              <w:tblHeader/>
            </w:trPr>
            <w:tc>
              <w:tcPr>
                <w:tcW w:w="341"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6D0A7BA8" w14:textId="6B71C867" w:rsidR="00037678" w:rsidRPr="00ED33EF" w:rsidRDefault="00037678" w:rsidP="00A42890">
                <w:pPr>
                  <w:spacing w:before="0" w:line="240" w:lineRule="auto"/>
                  <w:jc w:val="center"/>
                  <w:rPr>
                    <w:b/>
                    <w:color w:val="33A1AB" w:themeColor="accent2"/>
                    <w:sz w:val="14"/>
                    <w:szCs w:val="14"/>
                  </w:rPr>
                </w:pPr>
                <w:r w:rsidRPr="004B25D8">
                  <w:rPr>
                    <w:b/>
                    <w:color w:val="33A1AB" w:themeColor="accent2"/>
                    <w:sz w:val="14"/>
                    <w:szCs w:val="14"/>
                  </w:rPr>
                  <w:t>RATING</w:t>
                </w:r>
              </w:p>
            </w:tc>
            <w:tc>
              <w:tcPr>
                <w:tcW w:w="321"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4636CCF3" w14:textId="3EA10696" w:rsidR="00037678" w:rsidRPr="00ED33EF" w:rsidRDefault="00037678" w:rsidP="007D5998">
                <w:pPr>
                  <w:spacing w:before="0" w:line="240" w:lineRule="auto"/>
                  <w:jc w:val="center"/>
                  <w:rPr>
                    <w:b/>
                    <w:color w:val="33A1AB" w:themeColor="accent2"/>
                    <w:sz w:val="14"/>
                    <w:szCs w:val="14"/>
                  </w:rPr>
                </w:pPr>
                <w:r w:rsidRPr="004B25D8">
                  <w:rPr>
                    <w:b/>
                    <w:color w:val="33A1AB" w:themeColor="accent2"/>
                    <w:sz w:val="14"/>
                    <w:szCs w:val="14"/>
                  </w:rPr>
                  <w:t>31 Dec 2008</w:t>
                </w:r>
              </w:p>
            </w:tc>
            <w:tc>
              <w:tcPr>
                <w:tcW w:w="321"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3F6155ED" w14:textId="3B687DE4" w:rsidR="00037678" w:rsidRPr="00ED33EF" w:rsidRDefault="00037678" w:rsidP="007D5998">
                <w:pPr>
                  <w:spacing w:before="0" w:line="240" w:lineRule="auto"/>
                  <w:jc w:val="center"/>
                  <w:rPr>
                    <w:b/>
                    <w:color w:val="33A1AB" w:themeColor="accent2"/>
                    <w:sz w:val="14"/>
                    <w:szCs w:val="14"/>
                  </w:rPr>
                </w:pPr>
                <w:r w:rsidRPr="004B25D8">
                  <w:rPr>
                    <w:b/>
                    <w:color w:val="33A1AB" w:themeColor="accent2"/>
                    <w:sz w:val="14"/>
                    <w:szCs w:val="14"/>
                  </w:rPr>
                  <w:t>31 Dec 2009</w:t>
                </w:r>
              </w:p>
            </w:tc>
            <w:tc>
              <w:tcPr>
                <w:tcW w:w="287" w:type="pct"/>
                <w:tcBorders>
                  <w:top w:val="single" w:sz="12" w:space="0" w:color="AFAFB4" w:themeColor="accent4"/>
                </w:tcBorders>
                <w:shd w:val="clear" w:color="auto" w:fill="FFFFFF" w:themeFill="background2"/>
                <w:vAlign w:val="center"/>
              </w:tcPr>
              <w:p w14:paraId="142A4229" w14:textId="007F7DCF" w:rsidR="00037678" w:rsidRPr="00ED33EF" w:rsidRDefault="00037678" w:rsidP="007D5998">
                <w:pPr>
                  <w:spacing w:before="0" w:line="240" w:lineRule="auto"/>
                  <w:jc w:val="center"/>
                  <w:rPr>
                    <w:b/>
                    <w:color w:val="33A1AB" w:themeColor="accent2"/>
                    <w:sz w:val="14"/>
                    <w:szCs w:val="14"/>
                  </w:rPr>
                </w:pPr>
                <w:r w:rsidRPr="004B25D8">
                  <w:rPr>
                    <w:b/>
                    <w:color w:val="33A1AB" w:themeColor="accent2"/>
                    <w:sz w:val="14"/>
                    <w:szCs w:val="14"/>
                  </w:rPr>
                  <w:t>31 Dec 2010</w:t>
                </w:r>
              </w:p>
            </w:tc>
            <w:tc>
              <w:tcPr>
                <w:tcW w:w="287" w:type="pct"/>
                <w:tcBorders>
                  <w:top w:val="single" w:sz="12" w:space="0" w:color="AFAFB4" w:themeColor="accent4"/>
                </w:tcBorders>
                <w:shd w:val="clear" w:color="auto" w:fill="FFFFFF" w:themeFill="background2"/>
                <w:vAlign w:val="center"/>
              </w:tcPr>
              <w:p w14:paraId="3438E94D" w14:textId="360A1936" w:rsidR="00037678" w:rsidRPr="00ED33EF" w:rsidRDefault="00037678" w:rsidP="007D5998">
                <w:pPr>
                  <w:spacing w:before="0" w:line="240" w:lineRule="auto"/>
                  <w:jc w:val="center"/>
                  <w:rPr>
                    <w:b/>
                    <w:color w:val="33A1AB" w:themeColor="accent2"/>
                    <w:sz w:val="14"/>
                    <w:szCs w:val="14"/>
                  </w:rPr>
                </w:pPr>
                <w:r w:rsidRPr="004B25D8">
                  <w:rPr>
                    <w:b/>
                    <w:color w:val="33A1AB" w:themeColor="accent2"/>
                    <w:sz w:val="14"/>
                    <w:szCs w:val="14"/>
                  </w:rPr>
                  <w:t>31 Dec 2011</w:t>
                </w:r>
              </w:p>
            </w:tc>
            <w:tc>
              <w:tcPr>
                <w:tcW w:w="287" w:type="pct"/>
                <w:tcBorders>
                  <w:top w:val="single" w:sz="12" w:space="0" w:color="AFAFB4" w:themeColor="accent4"/>
                </w:tcBorders>
                <w:shd w:val="clear" w:color="auto" w:fill="FFFFFF" w:themeFill="background2"/>
                <w:vAlign w:val="center"/>
              </w:tcPr>
              <w:p w14:paraId="065AF09D" w14:textId="12A40487" w:rsidR="00037678" w:rsidRPr="00ED33EF" w:rsidRDefault="00037678" w:rsidP="007D5998">
                <w:pPr>
                  <w:spacing w:before="0" w:line="240" w:lineRule="auto"/>
                  <w:jc w:val="center"/>
                  <w:rPr>
                    <w:b/>
                    <w:color w:val="33A1AB" w:themeColor="accent2"/>
                    <w:sz w:val="14"/>
                    <w:szCs w:val="14"/>
                  </w:rPr>
                </w:pPr>
                <w:r w:rsidRPr="004B25D8">
                  <w:rPr>
                    <w:b/>
                    <w:color w:val="33A1AB" w:themeColor="accent2"/>
                    <w:sz w:val="14"/>
                    <w:szCs w:val="14"/>
                  </w:rPr>
                  <w:t>31 Dec 2012</w:t>
                </w:r>
              </w:p>
            </w:tc>
            <w:tc>
              <w:tcPr>
                <w:tcW w:w="287" w:type="pct"/>
                <w:tcBorders>
                  <w:top w:val="single" w:sz="12" w:space="0" w:color="AFAFB4" w:themeColor="accent4"/>
                </w:tcBorders>
                <w:shd w:val="clear" w:color="auto" w:fill="FFFFFF" w:themeFill="background2"/>
                <w:vAlign w:val="center"/>
              </w:tcPr>
              <w:p w14:paraId="69CD6F01" w14:textId="115CA084" w:rsidR="00037678" w:rsidRPr="00ED33EF" w:rsidRDefault="00037678" w:rsidP="007D5998">
                <w:pPr>
                  <w:spacing w:before="0" w:line="240" w:lineRule="auto"/>
                  <w:jc w:val="center"/>
                  <w:rPr>
                    <w:b/>
                    <w:color w:val="33A1AB" w:themeColor="accent2"/>
                    <w:sz w:val="14"/>
                    <w:szCs w:val="14"/>
                  </w:rPr>
                </w:pPr>
                <w:r w:rsidRPr="004B25D8">
                  <w:rPr>
                    <w:b/>
                    <w:color w:val="33A1AB" w:themeColor="accent2"/>
                    <w:sz w:val="14"/>
                    <w:szCs w:val="14"/>
                  </w:rPr>
                  <w:t>31 Dec 2013</w:t>
                </w:r>
              </w:p>
            </w:tc>
            <w:tc>
              <w:tcPr>
                <w:tcW w:w="287" w:type="pct"/>
                <w:tcBorders>
                  <w:top w:val="single" w:sz="12" w:space="0" w:color="AFAFB4" w:themeColor="accent4"/>
                </w:tcBorders>
                <w:shd w:val="clear" w:color="auto" w:fill="FFFFFF" w:themeFill="background2"/>
                <w:vAlign w:val="center"/>
              </w:tcPr>
              <w:p w14:paraId="09286D81" w14:textId="2B05C825" w:rsidR="00037678" w:rsidRPr="00ED33EF" w:rsidRDefault="00037678" w:rsidP="007D5998">
                <w:pPr>
                  <w:spacing w:before="0" w:line="240" w:lineRule="auto"/>
                  <w:jc w:val="center"/>
                  <w:rPr>
                    <w:b/>
                    <w:color w:val="33A1AB" w:themeColor="accent2"/>
                    <w:sz w:val="14"/>
                    <w:szCs w:val="14"/>
                  </w:rPr>
                </w:pPr>
                <w:r w:rsidRPr="004B25D8">
                  <w:rPr>
                    <w:b/>
                    <w:color w:val="33A1AB" w:themeColor="accent2"/>
                    <w:sz w:val="14"/>
                    <w:szCs w:val="14"/>
                  </w:rPr>
                  <w:t>31 Dec 2014</w:t>
                </w:r>
              </w:p>
            </w:tc>
            <w:tc>
              <w:tcPr>
                <w:tcW w:w="287" w:type="pct"/>
                <w:tcBorders>
                  <w:top w:val="single" w:sz="12" w:space="0" w:color="AFAFB4" w:themeColor="accent4"/>
                </w:tcBorders>
                <w:shd w:val="clear" w:color="auto" w:fill="FFFFFF" w:themeFill="background2"/>
                <w:vAlign w:val="center"/>
              </w:tcPr>
              <w:p w14:paraId="16D1B974" w14:textId="17DBFBFA" w:rsidR="00037678" w:rsidRDefault="00037678" w:rsidP="007D5998">
                <w:pPr>
                  <w:spacing w:before="0" w:line="240" w:lineRule="auto"/>
                  <w:jc w:val="center"/>
                  <w:rPr>
                    <w:b/>
                    <w:color w:val="33A1AB" w:themeColor="accent2"/>
                    <w:sz w:val="14"/>
                    <w:szCs w:val="14"/>
                  </w:rPr>
                </w:pPr>
                <w:r w:rsidRPr="004B25D8">
                  <w:rPr>
                    <w:b/>
                    <w:color w:val="33A1AB" w:themeColor="accent2"/>
                    <w:sz w:val="14"/>
                    <w:szCs w:val="14"/>
                  </w:rPr>
                  <w:t>31 Dec 2015</w:t>
                </w:r>
              </w:p>
            </w:tc>
            <w:tc>
              <w:tcPr>
                <w:tcW w:w="287" w:type="pct"/>
                <w:tcBorders>
                  <w:top w:val="single" w:sz="12" w:space="0" w:color="AFAFB4" w:themeColor="accent4"/>
                </w:tcBorders>
                <w:shd w:val="clear" w:color="auto" w:fill="FFFFFF" w:themeFill="background2"/>
                <w:vAlign w:val="center"/>
              </w:tcPr>
              <w:p w14:paraId="06C466A5" w14:textId="6D5E52B3" w:rsidR="00037678" w:rsidRDefault="00037678" w:rsidP="007D5998">
                <w:pPr>
                  <w:spacing w:before="0" w:line="240" w:lineRule="auto"/>
                  <w:jc w:val="center"/>
                  <w:rPr>
                    <w:b/>
                    <w:color w:val="33A1AB" w:themeColor="accent2"/>
                    <w:sz w:val="14"/>
                    <w:szCs w:val="14"/>
                  </w:rPr>
                </w:pPr>
                <w:r w:rsidRPr="004B25D8">
                  <w:rPr>
                    <w:b/>
                    <w:color w:val="33A1AB" w:themeColor="accent2"/>
                    <w:sz w:val="14"/>
                    <w:szCs w:val="14"/>
                  </w:rPr>
                  <w:t>31 Dec 2016</w:t>
                </w:r>
              </w:p>
            </w:tc>
            <w:tc>
              <w:tcPr>
                <w:tcW w:w="287" w:type="pct"/>
                <w:tcBorders>
                  <w:top w:val="single" w:sz="12" w:space="0" w:color="AFAFB4" w:themeColor="accent4"/>
                </w:tcBorders>
                <w:shd w:val="clear" w:color="auto" w:fill="FFFFFF" w:themeFill="background2"/>
                <w:vAlign w:val="center"/>
              </w:tcPr>
              <w:p w14:paraId="37A270B4" w14:textId="569795A9" w:rsidR="00037678" w:rsidRDefault="00037678" w:rsidP="007D5998">
                <w:pPr>
                  <w:spacing w:before="0" w:line="240" w:lineRule="auto"/>
                  <w:jc w:val="center"/>
                  <w:rPr>
                    <w:b/>
                    <w:color w:val="33A1AB" w:themeColor="accent2"/>
                    <w:sz w:val="14"/>
                    <w:szCs w:val="14"/>
                  </w:rPr>
                </w:pPr>
                <w:r w:rsidRPr="004B25D8">
                  <w:rPr>
                    <w:b/>
                    <w:color w:val="33A1AB" w:themeColor="accent2"/>
                    <w:sz w:val="14"/>
                    <w:szCs w:val="14"/>
                  </w:rPr>
                  <w:t>31 Dec 2017</w:t>
                </w:r>
              </w:p>
            </w:tc>
            <w:tc>
              <w:tcPr>
                <w:tcW w:w="287" w:type="pct"/>
                <w:tcBorders>
                  <w:top w:val="single" w:sz="12" w:space="0" w:color="AFAFB4" w:themeColor="accent4"/>
                </w:tcBorders>
                <w:shd w:val="clear" w:color="auto" w:fill="FFFFFF" w:themeFill="background2"/>
                <w:vAlign w:val="center"/>
              </w:tcPr>
              <w:p w14:paraId="6DCA7C09" w14:textId="10555F52" w:rsidR="00037678" w:rsidRDefault="00037678" w:rsidP="007D5998">
                <w:pPr>
                  <w:spacing w:before="0" w:line="240" w:lineRule="auto"/>
                  <w:jc w:val="center"/>
                  <w:rPr>
                    <w:b/>
                    <w:color w:val="33A1AB" w:themeColor="accent2"/>
                    <w:sz w:val="14"/>
                    <w:szCs w:val="14"/>
                  </w:rPr>
                </w:pPr>
                <w:r w:rsidRPr="004B25D8">
                  <w:rPr>
                    <w:b/>
                    <w:color w:val="33A1AB" w:themeColor="accent2"/>
                    <w:sz w:val="14"/>
                    <w:szCs w:val="14"/>
                  </w:rPr>
                  <w:t>31 Dec 2018</w:t>
                </w:r>
              </w:p>
            </w:tc>
            <w:tc>
              <w:tcPr>
                <w:tcW w:w="287" w:type="pct"/>
                <w:tcBorders>
                  <w:top w:val="single" w:sz="12" w:space="0" w:color="AFAFB4" w:themeColor="accent4"/>
                </w:tcBorders>
                <w:shd w:val="clear" w:color="auto" w:fill="FFFFFF" w:themeFill="background2"/>
                <w:vAlign w:val="center"/>
              </w:tcPr>
              <w:p w14:paraId="736A47D5" w14:textId="363687FC" w:rsidR="00037678" w:rsidRDefault="00037678" w:rsidP="007D5998">
                <w:pPr>
                  <w:spacing w:before="0" w:line="240" w:lineRule="auto"/>
                  <w:jc w:val="center"/>
                  <w:rPr>
                    <w:b/>
                    <w:color w:val="33A1AB" w:themeColor="accent2"/>
                    <w:sz w:val="14"/>
                    <w:szCs w:val="14"/>
                  </w:rPr>
                </w:pPr>
                <w:r w:rsidRPr="004B25D8">
                  <w:rPr>
                    <w:b/>
                    <w:color w:val="33A1AB" w:themeColor="accent2"/>
                    <w:sz w:val="14"/>
                    <w:szCs w:val="14"/>
                  </w:rPr>
                  <w:t>31 Dec 2019</w:t>
                </w:r>
              </w:p>
            </w:tc>
            <w:tc>
              <w:tcPr>
                <w:tcW w:w="287" w:type="pct"/>
                <w:tcBorders>
                  <w:top w:val="single" w:sz="12" w:space="0" w:color="AFAFB4" w:themeColor="accent4"/>
                </w:tcBorders>
                <w:shd w:val="clear" w:color="auto" w:fill="FFFFFF" w:themeFill="background2"/>
                <w:vAlign w:val="center"/>
              </w:tcPr>
              <w:p w14:paraId="4F52BCBA" w14:textId="650B950D" w:rsidR="00037678" w:rsidRDefault="00037678" w:rsidP="007D5998">
                <w:pPr>
                  <w:spacing w:before="0" w:line="240" w:lineRule="auto"/>
                  <w:jc w:val="center"/>
                  <w:rPr>
                    <w:b/>
                    <w:color w:val="33A1AB" w:themeColor="accent2"/>
                    <w:sz w:val="14"/>
                    <w:szCs w:val="14"/>
                  </w:rPr>
                </w:pPr>
                <w:r w:rsidRPr="004B25D8">
                  <w:rPr>
                    <w:b/>
                    <w:color w:val="33A1AB" w:themeColor="accent2"/>
                    <w:sz w:val="14"/>
                    <w:szCs w:val="14"/>
                  </w:rPr>
                  <w:t>31 Dec 2020</w:t>
                </w:r>
              </w:p>
            </w:tc>
            <w:tc>
              <w:tcPr>
                <w:tcW w:w="287" w:type="pct"/>
                <w:tcBorders>
                  <w:top w:val="single" w:sz="12" w:space="0" w:color="AFAFB4" w:themeColor="accent4"/>
                </w:tcBorders>
                <w:shd w:val="clear" w:color="auto" w:fill="FFFFFF" w:themeFill="background2"/>
                <w:vAlign w:val="center"/>
              </w:tcPr>
              <w:p w14:paraId="341EF946" w14:textId="08621102" w:rsidR="00037678" w:rsidRDefault="00037678" w:rsidP="007D5998">
                <w:pPr>
                  <w:spacing w:before="0" w:line="240" w:lineRule="auto"/>
                  <w:jc w:val="center"/>
                  <w:rPr>
                    <w:b/>
                    <w:color w:val="33A1AB" w:themeColor="accent2"/>
                    <w:sz w:val="14"/>
                    <w:szCs w:val="14"/>
                  </w:rPr>
                </w:pPr>
                <w:r w:rsidRPr="004B25D8">
                  <w:rPr>
                    <w:b/>
                    <w:color w:val="33A1AB" w:themeColor="accent2"/>
                    <w:sz w:val="14"/>
                    <w:szCs w:val="14"/>
                  </w:rPr>
                  <w:t>31 Dec 2021</w:t>
                </w:r>
              </w:p>
            </w:tc>
            <w:tc>
              <w:tcPr>
                <w:tcW w:w="287" w:type="pct"/>
                <w:tcBorders>
                  <w:top w:val="single" w:sz="12" w:space="0" w:color="AFAFB4" w:themeColor="accent4"/>
                </w:tcBorders>
                <w:shd w:val="clear" w:color="auto" w:fill="FFFFFF" w:themeFill="background2"/>
                <w:vAlign w:val="center"/>
              </w:tcPr>
              <w:p w14:paraId="234DB3C5" w14:textId="1669120C" w:rsidR="00037678" w:rsidRPr="00037678" w:rsidRDefault="00037678" w:rsidP="007D5998">
                <w:pPr>
                  <w:spacing w:before="0" w:line="240" w:lineRule="auto"/>
                  <w:jc w:val="center"/>
                  <w:rPr>
                    <w:b/>
                    <w:color w:val="33A1AB" w:themeColor="accent2"/>
                    <w:sz w:val="14"/>
                    <w:szCs w:val="14"/>
                  </w:rPr>
                </w:pPr>
                <w:r w:rsidRPr="00037678">
                  <w:rPr>
                    <w:b/>
                    <w:color w:val="33A1AB" w:themeColor="accent2"/>
                    <w:sz w:val="14"/>
                    <w:szCs w:val="14"/>
                  </w:rPr>
                  <w:t>31 Dec 2022</w:t>
                </w:r>
              </w:p>
            </w:tc>
            <w:tc>
              <w:tcPr>
                <w:tcW w:w="287" w:type="pct"/>
                <w:tcBorders>
                  <w:top w:val="single" w:sz="12" w:space="0" w:color="AFAFB4" w:themeColor="accent4"/>
                </w:tcBorders>
                <w:shd w:val="clear" w:color="auto" w:fill="FFFFFF" w:themeFill="background2"/>
                <w:vAlign w:val="center"/>
              </w:tcPr>
              <w:p w14:paraId="33B2996F" w14:textId="1D100302" w:rsidR="00037678" w:rsidRPr="00037678" w:rsidRDefault="00037678" w:rsidP="007D5998">
                <w:pPr>
                  <w:spacing w:before="0" w:line="240" w:lineRule="auto"/>
                  <w:jc w:val="center"/>
                  <w:rPr>
                    <w:b/>
                    <w:color w:val="33A1AB" w:themeColor="accent2"/>
                    <w:sz w:val="14"/>
                    <w:szCs w:val="14"/>
                  </w:rPr>
                </w:pPr>
                <w:r w:rsidRPr="00037678">
                  <w:rPr>
                    <w:b/>
                    <w:color w:val="33A1AB" w:themeColor="accent2"/>
                    <w:sz w:val="14"/>
                    <w:szCs w:val="14"/>
                  </w:rPr>
                  <w:t>Average</w:t>
                </w:r>
              </w:p>
            </w:tc>
          </w:tr>
          <w:tr w:rsidR="00A42890" w:rsidRPr="003A089A" w14:paraId="376ED052" w14:textId="06E3BC31" w:rsidTr="00A875C2">
            <w:trPr>
              <w:trHeight w:val="283"/>
            </w:trPr>
            <w:tc>
              <w:tcPr>
                <w:tcW w:w="341" w:type="pct"/>
                <w:shd w:val="clear" w:color="auto" w:fill="FFFFFF" w:themeFill="background2"/>
                <w:tcMar>
                  <w:top w:w="60" w:type="dxa"/>
                  <w:left w:w="114" w:type="dxa"/>
                  <w:bottom w:w="60" w:type="dxa"/>
                  <w:right w:w="114" w:type="dxa"/>
                </w:tcMar>
                <w:vAlign w:val="center"/>
              </w:tcPr>
              <w:p w14:paraId="16427454" w14:textId="26349D76" w:rsidR="003A089A" w:rsidRPr="000F057A" w:rsidRDefault="003A089A" w:rsidP="00A42890">
                <w:pPr>
                  <w:pStyle w:val="TableTextLeft"/>
                  <w:spacing w:before="0" w:after="0"/>
                  <w:rPr>
                    <w:rFonts w:cs="Segoe UI"/>
                    <w:b/>
                    <w:bCs/>
                    <w:sz w:val="14"/>
                    <w:lang w:eastAsia="it-IT"/>
                  </w:rPr>
                </w:pPr>
                <w:r w:rsidRPr="000F057A">
                  <w:rPr>
                    <w:rFonts w:cs="Segoe UI"/>
                    <w:b/>
                    <w:bCs/>
                    <w:sz w:val="14"/>
                    <w:lang w:eastAsia="it-IT"/>
                  </w:rPr>
                  <w:t>A1.1</w:t>
                </w:r>
              </w:p>
            </w:tc>
            <w:tc>
              <w:tcPr>
                <w:tcW w:w="321" w:type="pct"/>
                <w:shd w:val="clear" w:color="auto" w:fill="FFFFFF" w:themeFill="background2"/>
                <w:tcMar>
                  <w:top w:w="60" w:type="dxa"/>
                  <w:left w:w="114" w:type="dxa"/>
                  <w:bottom w:w="60" w:type="dxa"/>
                  <w:right w:w="114" w:type="dxa"/>
                </w:tcMar>
                <w:vAlign w:val="center"/>
              </w:tcPr>
              <w:p w14:paraId="0E7572CA" w14:textId="6E27EC61"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00%</w:t>
                </w:r>
              </w:p>
            </w:tc>
            <w:tc>
              <w:tcPr>
                <w:tcW w:w="321" w:type="pct"/>
                <w:shd w:val="clear" w:color="auto" w:fill="FFFFFF" w:themeFill="background2"/>
                <w:tcMar>
                  <w:top w:w="60" w:type="dxa"/>
                  <w:left w:w="114" w:type="dxa"/>
                  <w:bottom w:w="60" w:type="dxa"/>
                  <w:right w:w="114" w:type="dxa"/>
                </w:tcMar>
                <w:vAlign w:val="center"/>
              </w:tcPr>
              <w:p w14:paraId="4AC172AB" w14:textId="5D7992B2"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00%</w:t>
                </w:r>
              </w:p>
            </w:tc>
            <w:tc>
              <w:tcPr>
                <w:tcW w:w="287" w:type="pct"/>
                <w:shd w:val="clear" w:color="auto" w:fill="FFFFFF" w:themeFill="background2"/>
                <w:vAlign w:val="center"/>
              </w:tcPr>
              <w:p w14:paraId="7A58E84D" w14:textId="57B4D362"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00%</w:t>
                </w:r>
              </w:p>
            </w:tc>
            <w:tc>
              <w:tcPr>
                <w:tcW w:w="287" w:type="pct"/>
                <w:shd w:val="clear" w:color="auto" w:fill="FFFFFF" w:themeFill="background2"/>
                <w:vAlign w:val="center"/>
              </w:tcPr>
              <w:p w14:paraId="3FD4DE8A" w14:textId="54E1A8F6"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00%</w:t>
                </w:r>
              </w:p>
            </w:tc>
            <w:tc>
              <w:tcPr>
                <w:tcW w:w="287" w:type="pct"/>
                <w:shd w:val="clear" w:color="auto" w:fill="FFFFFF" w:themeFill="background2"/>
                <w:vAlign w:val="center"/>
              </w:tcPr>
              <w:p w14:paraId="646A24AE" w14:textId="76A241F8"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00%</w:t>
                </w:r>
              </w:p>
            </w:tc>
            <w:tc>
              <w:tcPr>
                <w:tcW w:w="287" w:type="pct"/>
                <w:shd w:val="clear" w:color="auto" w:fill="FFFFFF" w:themeFill="background2"/>
                <w:vAlign w:val="center"/>
              </w:tcPr>
              <w:p w14:paraId="570E0B2A" w14:textId="5DA77814"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03%</w:t>
                </w:r>
              </w:p>
            </w:tc>
            <w:tc>
              <w:tcPr>
                <w:tcW w:w="287" w:type="pct"/>
                <w:shd w:val="clear" w:color="auto" w:fill="FFFFFF" w:themeFill="background2"/>
                <w:vAlign w:val="center"/>
              </w:tcPr>
              <w:p w14:paraId="50CF2FEF" w14:textId="7FCFF6F3"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05%</w:t>
                </w:r>
              </w:p>
            </w:tc>
            <w:tc>
              <w:tcPr>
                <w:tcW w:w="287" w:type="pct"/>
                <w:shd w:val="clear" w:color="auto" w:fill="FFFFFF" w:themeFill="background2"/>
                <w:vAlign w:val="center"/>
              </w:tcPr>
              <w:p w14:paraId="2A923F3A" w14:textId="3D61B7B1"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05%</w:t>
                </w:r>
              </w:p>
            </w:tc>
            <w:tc>
              <w:tcPr>
                <w:tcW w:w="287" w:type="pct"/>
                <w:shd w:val="clear" w:color="auto" w:fill="FFFFFF" w:themeFill="background2"/>
                <w:vAlign w:val="center"/>
              </w:tcPr>
              <w:p w14:paraId="47905003" w14:textId="2E90AFF8"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03%</w:t>
                </w:r>
              </w:p>
            </w:tc>
            <w:tc>
              <w:tcPr>
                <w:tcW w:w="287" w:type="pct"/>
                <w:shd w:val="clear" w:color="auto" w:fill="FFFFFF" w:themeFill="background2"/>
                <w:vAlign w:val="center"/>
              </w:tcPr>
              <w:p w14:paraId="065A68EC" w14:textId="5794E349"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02%</w:t>
                </w:r>
              </w:p>
            </w:tc>
            <w:tc>
              <w:tcPr>
                <w:tcW w:w="287" w:type="pct"/>
                <w:shd w:val="clear" w:color="auto" w:fill="FFFFFF" w:themeFill="background2"/>
                <w:vAlign w:val="center"/>
              </w:tcPr>
              <w:p w14:paraId="5577D371" w14:textId="06917F99"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03%</w:t>
                </w:r>
              </w:p>
            </w:tc>
            <w:tc>
              <w:tcPr>
                <w:tcW w:w="287" w:type="pct"/>
                <w:shd w:val="clear" w:color="auto" w:fill="FFFFFF" w:themeFill="background2"/>
                <w:vAlign w:val="center"/>
              </w:tcPr>
              <w:p w14:paraId="6BBA7C1B" w14:textId="162836A4"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02%</w:t>
                </w:r>
              </w:p>
            </w:tc>
            <w:tc>
              <w:tcPr>
                <w:tcW w:w="287" w:type="pct"/>
                <w:shd w:val="clear" w:color="auto" w:fill="FFFFFF" w:themeFill="background2"/>
                <w:vAlign w:val="center"/>
              </w:tcPr>
              <w:p w14:paraId="6C381A42" w14:textId="5F54DE9A"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02%</w:t>
                </w:r>
              </w:p>
            </w:tc>
            <w:tc>
              <w:tcPr>
                <w:tcW w:w="287" w:type="pct"/>
                <w:shd w:val="clear" w:color="auto" w:fill="FFFFFF" w:themeFill="background2"/>
                <w:vAlign w:val="center"/>
              </w:tcPr>
              <w:p w14:paraId="3F5438F5" w14:textId="71F3C069"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04%</w:t>
                </w:r>
              </w:p>
            </w:tc>
            <w:tc>
              <w:tcPr>
                <w:tcW w:w="287" w:type="pct"/>
                <w:shd w:val="clear" w:color="auto" w:fill="FFFFFF" w:themeFill="background2"/>
                <w:vAlign w:val="center"/>
              </w:tcPr>
              <w:p w14:paraId="1D19E6E6" w14:textId="63948B19" w:rsidR="003A089A" w:rsidRPr="00037678" w:rsidRDefault="003A089A" w:rsidP="007D5998">
                <w:pPr>
                  <w:pStyle w:val="TableTextLeft"/>
                  <w:spacing w:before="0" w:after="0"/>
                  <w:jc w:val="center"/>
                  <w:rPr>
                    <w:rFonts w:cs="Segoe UI"/>
                    <w:sz w:val="14"/>
                    <w:lang w:eastAsia="it-IT"/>
                  </w:rPr>
                </w:pPr>
                <w:r w:rsidRPr="00037678">
                  <w:rPr>
                    <w:rFonts w:cs="Segoe UI"/>
                    <w:sz w:val="14"/>
                    <w:lang w:eastAsia="it-IT"/>
                  </w:rPr>
                  <w:t>0</w:t>
                </w:r>
                <w:r w:rsidR="00854FE3">
                  <w:rPr>
                    <w:rFonts w:cs="Segoe UI"/>
                    <w:sz w:val="14"/>
                    <w:lang w:eastAsia="it-IT"/>
                  </w:rPr>
                  <w:t>.</w:t>
                </w:r>
                <w:r w:rsidRPr="00037678">
                  <w:rPr>
                    <w:rFonts w:cs="Segoe UI"/>
                    <w:sz w:val="14"/>
                    <w:lang w:eastAsia="it-IT"/>
                  </w:rPr>
                  <w:t>05%</w:t>
                </w:r>
              </w:p>
            </w:tc>
            <w:tc>
              <w:tcPr>
                <w:tcW w:w="287" w:type="pct"/>
                <w:shd w:val="clear" w:color="auto" w:fill="FFFFFF" w:themeFill="background2"/>
                <w:vAlign w:val="center"/>
              </w:tcPr>
              <w:p w14:paraId="69B74BF6" w14:textId="77B3D722" w:rsidR="003A089A" w:rsidRPr="003A089A" w:rsidRDefault="003A089A" w:rsidP="007D5998">
                <w:pPr>
                  <w:pStyle w:val="TableTextLeft"/>
                  <w:spacing w:before="0" w:after="0"/>
                  <w:jc w:val="center"/>
                  <w:rPr>
                    <w:rFonts w:cs="Segoe UI"/>
                    <w:b/>
                    <w:bCs/>
                    <w:sz w:val="14"/>
                    <w:lang w:eastAsia="it-IT"/>
                  </w:rPr>
                </w:pPr>
                <w:r w:rsidRPr="003A089A">
                  <w:rPr>
                    <w:rFonts w:cs="Segoe UI"/>
                    <w:b/>
                    <w:bCs/>
                    <w:sz w:val="14"/>
                    <w:lang w:eastAsia="it-IT"/>
                  </w:rPr>
                  <w:t>0</w:t>
                </w:r>
                <w:r w:rsidR="00854FE3">
                  <w:rPr>
                    <w:rFonts w:cs="Segoe UI"/>
                    <w:b/>
                    <w:bCs/>
                    <w:sz w:val="14"/>
                    <w:lang w:eastAsia="it-IT"/>
                  </w:rPr>
                  <w:t>.</w:t>
                </w:r>
                <w:r w:rsidRPr="003A089A">
                  <w:rPr>
                    <w:rFonts w:cs="Segoe UI"/>
                    <w:b/>
                    <w:bCs/>
                    <w:sz w:val="14"/>
                    <w:lang w:eastAsia="it-IT"/>
                  </w:rPr>
                  <w:t>02%</w:t>
                </w:r>
              </w:p>
            </w:tc>
          </w:tr>
          <w:tr w:rsidR="00A42890" w:rsidRPr="003A089A" w14:paraId="221D8F47" w14:textId="7EA117F1" w:rsidTr="00A875C2">
            <w:trPr>
              <w:trHeight w:val="283"/>
            </w:trPr>
            <w:tc>
              <w:tcPr>
                <w:tcW w:w="341" w:type="pct"/>
                <w:shd w:val="clear" w:color="auto" w:fill="FFFFFF" w:themeFill="background2"/>
                <w:tcMar>
                  <w:top w:w="60" w:type="dxa"/>
                  <w:left w:w="114" w:type="dxa"/>
                  <w:bottom w:w="60" w:type="dxa"/>
                  <w:right w:w="114" w:type="dxa"/>
                </w:tcMar>
                <w:vAlign w:val="center"/>
              </w:tcPr>
              <w:p w14:paraId="313AB43B" w14:textId="147582FE" w:rsidR="003A089A" w:rsidRPr="000F057A" w:rsidRDefault="003A089A" w:rsidP="00A42890">
                <w:pPr>
                  <w:pStyle w:val="TableTextLeft"/>
                  <w:spacing w:before="0" w:after="0"/>
                  <w:rPr>
                    <w:rFonts w:cs="Segoe UI"/>
                    <w:b/>
                    <w:bCs/>
                    <w:sz w:val="14"/>
                    <w:lang w:eastAsia="it-IT"/>
                  </w:rPr>
                </w:pPr>
                <w:r w:rsidRPr="000F057A">
                  <w:rPr>
                    <w:rFonts w:cs="Segoe UI"/>
                    <w:b/>
                    <w:bCs/>
                    <w:sz w:val="14"/>
                    <w:lang w:eastAsia="it-IT"/>
                  </w:rPr>
                  <w:t>A1.2</w:t>
                </w:r>
              </w:p>
            </w:tc>
            <w:tc>
              <w:tcPr>
                <w:tcW w:w="321" w:type="pct"/>
                <w:shd w:val="clear" w:color="auto" w:fill="FFFFFF" w:themeFill="background2"/>
                <w:tcMar>
                  <w:top w:w="60" w:type="dxa"/>
                  <w:left w:w="114" w:type="dxa"/>
                  <w:bottom w:w="60" w:type="dxa"/>
                  <w:right w:w="114" w:type="dxa"/>
                </w:tcMar>
                <w:vAlign w:val="center"/>
              </w:tcPr>
              <w:p w14:paraId="3420F820" w14:textId="14735887"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10%</w:t>
                </w:r>
              </w:p>
            </w:tc>
            <w:tc>
              <w:tcPr>
                <w:tcW w:w="321" w:type="pct"/>
                <w:shd w:val="clear" w:color="auto" w:fill="FFFFFF" w:themeFill="background2"/>
                <w:tcMar>
                  <w:top w:w="60" w:type="dxa"/>
                  <w:left w:w="114" w:type="dxa"/>
                  <w:bottom w:w="60" w:type="dxa"/>
                  <w:right w:w="114" w:type="dxa"/>
                </w:tcMar>
                <w:vAlign w:val="center"/>
              </w:tcPr>
              <w:p w14:paraId="6FDBC268" w14:textId="6ACB48F4"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05%</w:t>
                </w:r>
              </w:p>
            </w:tc>
            <w:tc>
              <w:tcPr>
                <w:tcW w:w="287" w:type="pct"/>
                <w:shd w:val="clear" w:color="auto" w:fill="FFFFFF" w:themeFill="background2"/>
                <w:vAlign w:val="center"/>
              </w:tcPr>
              <w:p w14:paraId="5CBE075E" w14:textId="4B19C192"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03%</w:t>
                </w:r>
              </w:p>
            </w:tc>
            <w:tc>
              <w:tcPr>
                <w:tcW w:w="287" w:type="pct"/>
                <w:shd w:val="clear" w:color="auto" w:fill="FFFFFF" w:themeFill="background2"/>
                <w:vAlign w:val="center"/>
              </w:tcPr>
              <w:p w14:paraId="012D7718" w14:textId="19F22F55"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15%</w:t>
                </w:r>
              </w:p>
            </w:tc>
            <w:tc>
              <w:tcPr>
                <w:tcW w:w="287" w:type="pct"/>
                <w:shd w:val="clear" w:color="auto" w:fill="FFFFFF" w:themeFill="background2"/>
                <w:vAlign w:val="center"/>
              </w:tcPr>
              <w:p w14:paraId="483E944F" w14:textId="79924C0B"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16%</w:t>
                </w:r>
              </w:p>
            </w:tc>
            <w:tc>
              <w:tcPr>
                <w:tcW w:w="287" w:type="pct"/>
                <w:shd w:val="clear" w:color="auto" w:fill="FFFFFF" w:themeFill="background2"/>
                <w:vAlign w:val="center"/>
              </w:tcPr>
              <w:p w14:paraId="23CC6435" w14:textId="44218600"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16%</w:t>
                </w:r>
              </w:p>
            </w:tc>
            <w:tc>
              <w:tcPr>
                <w:tcW w:w="287" w:type="pct"/>
                <w:shd w:val="clear" w:color="auto" w:fill="FFFFFF" w:themeFill="background2"/>
                <w:vAlign w:val="center"/>
              </w:tcPr>
              <w:p w14:paraId="732D0B75" w14:textId="1090064C"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14%</w:t>
                </w:r>
              </w:p>
            </w:tc>
            <w:tc>
              <w:tcPr>
                <w:tcW w:w="287" w:type="pct"/>
                <w:shd w:val="clear" w:color="auto" w:fill="FFFFFF" w:themeFill="background2"/>
                <w:vAlign w:val="center"/>
              </w:tcPr>
              <w:p w14:paraId="72F0965E" w14:textId="557DF182"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16%</w:t>
                </w:r>
              </w:p>
            </w:tc>
            <w:tc>
              <w:tcPr>
                <w:tcW w:w="287" w:type="pct"/>
                <w:shd w:val="clear" w:color="auto" w:fill="FFFFFF" w:themeFill="background2"/>
                <w:vAlign w:val="center"/>
              </w:tcPr>
              <w:p w14:paraId="12C59434" w14:textId="2E40EEF5"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14%</w:t>
                </w:r>
              </w:p>
            </w:tc>
            <w:tc>
              <w:tcPr>
                <w:tcW w:w="287" w:type="pct"/>
                <w:shd w:val="clear" w:color="auto" w:fill="FFFFFF" w:themeFill="background2"/>
                <w:vAlign w:val="center"/>
              </w:tcPr>
              <w:p w14:paraId="40D352B3" w14:textId="2787BD70"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09%</w:t>
                </w:r>
              </w:p>
            </w:tc>
            <w:tc>
              <w:tcPr>
                <w:tcW w:w="287" w:type="pct"/>
                <w:shd w:val="clear" w:color="auto" w:fill="FFFFFF" w:themeFill="background2"/>
                <w:vAlign w:val="center"/>
              </w:tcPr>
              <w:p w14:paraId="061885A2" w14:textId="1DF64CC0"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11%</w:t>
                </w:r>
              </w:p>
            </w:tc>
            <w:tc>
              <w:tcPr>
                <w:tcW w:w="287" w:type="pct"/>
                <w:shd w:val="clear" w:color="auto" w:fill="FFFFFF" w:themeFill="background2"/>
                <w:vAlign w:val="center"/>
              </w:tcPr>
              <w:p w14:paraId="69D46F72" w14:textId="3679AB9E"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05%</w:t>
                </w:r>
              </w:p>
            </w:tc>
            <w:tc>
              <w:tcPr>
                <w:tcW w:w="287" w:type="pct"/>
                <w:shd w:val="clear" w:color="auto" w:fill="FFFFFF" w:themeFill="background2"/>
                <w:vAlign w:val="center"/>
              </w:tcPr>
              <w:p w14:paraId="15C45969" w14:textId="0D87EDBD"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06%</w:t>
                </w:r>
              </w:p>
            </w:tc>
            <w:tc>
              <w:tcPr>
                <w:tcW w:w="287" w:type="pct"/>
                <w:shd w:val="clear" w:color="auto" w:fill="FFFFFF" w:themeFill="background2"/>
                <w:vAlign w:val="center"/>
              </w:tcPr>
              <w:p w14:paraId="28A6C153" w14:textId="5B6460D6"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09%</w:t>
                </w:r>
              </w:p>
            </w:tc>
            <w:tc>
              <w:tcPr>
                <w:tcW w:w="287" w:type="pct"/>
                <w:shd w:val="clear" w:color="auto" w:fill="FFFFFF" w:themeFill="background2"/>
                <w:vAlign w:val="center"/>
              </w:tcPr>
              <w:p w14:paraId="20535F20" w14:textId="22F19A33" w:rsidR="003A089A" w:rsidRPr="00037678" w:rsidRDefault="003A089A" w:rsidP="007D5998">
                <w:pPr>
                  <w:pStyle w:val="TableTextLeft"/>
                  <w:spacing w:before="0" w:after="0"/>
                  <w:jc w:val="center"/>
                  <w:rPr>
                    <w:rFonts w:cs="Segoe UI"/>
                    <w:sz w:val="14"/>
                    <w:lang w:eastAsia="it-IT"/>
                  </w:rPr>
                </w:pPr>
                <w:r w:rsidRPr="00037678">
                  <w:rPr>
                    <w:rFonts w:cs="Segoe UI"/>
                    <w:sz w:val="14"/>
                    <w:lang w:eastAsia="it-IT"/>
                  </w:rPr>
                  <w:t>0</w:t>
                </w:r>
                <w:r w:rsidR="00854FE3">
                  <w:rPr>
                    <w:rFonts w:cs="Segoe UI"/>
                    <w:sz w:val="14"/>
                    <w:lang w:eastAsia="it-IT"/>
                  </w:rPr>
                  <w:t>.</w:t>
                </w:r>
                <w:r w:rsidRPr="00037678">
                  <w:rPr>
                    <w:rFonts w:cs="Segoe UI"/>
                    <w:sz w:val="14"/>
                    <w:lang w:eastAsia="it-IT"/>
                  </w:rPr>
                  <w:t>08%</w:t>
                </w:r>
              </w:p>
            </w:tc>
            <w:tc>
              <w:tcPr>
                <w:tcW w:w="287" w:type="pct"/>
                <w:shd w:val="clear" w:color="auto" w:fill="FFFFFF" w:themeFill="background2"/>
                <w:vAlign w:val="center"/>
              </w:tcPr>
              <w:p w14:paraId="05206EDE" w14:textId="2BED4E24" w:rsidR="003A089A" w:rsidRPr="003A089A" w:rsidRDefault="003A089A" w:rsidP="007D5998">
                <w:pPr>
                  <w:pStyle w:val="TableTextLeft"/>
                  <w:spacing w:before="0" w:after="0"/>
                  <w:jc w:val="center"/>
                  <w:rPr>
                    <w:rFonts w:cs="Segoe UI"/>
                    <w:b/>
                    <w:bCs/>
                    <w:sz w:val="14"/>
                    <w:lang w:eastAsia="it-IT"/>
                  </w:rPr>
                </w:pPr>
                <w:r w:rsidRPr="003A089A">
                  <w:rPr>
                    <w:rFonts w:cs="Segoe UI"/>
                    <w:b/>
                    <w:bCs/>
                    <w:sz w:val="14"/>
                    <w:lang w:eastAsia="it-IT"/>
                  </w:rPr>
                  <w:t>0</w:t>
                </w:r>
                <w:r w:rsidR="00854FE3">
                  <w:rPr>
                    <w:rFonts w:cs="Segoe UI"/>
                    <w:b/>
                    <w:bCs/>
                    <w:sz w:val="14"/>
                    <w:lang w:eastAsia="it-IT"/>
                  </w:rPr>
                  <w:t>.</w:t>
                </w:r>
                <w:r w:rsidRPr="003A089A">
                  <w:rPr>
                    <w:rFonts w:cs="Segoe UI"/>
                    <w:b/>
                    <w:bCs/>
                    <w:sz w:val="14"/>
                    <w:lang w:eastAsia="it-IT"/>
                  </w:rPr>
                  <w:t>09%</w:t>
                </w:r>
              </w:p>
            </w:tc>
          </w:tr>
          <w:tr w:rsidR="00A42890" w:rsidRPr="003A089A" w14:paraId="6E5BBC12" w14:textId="0969CEC3" w:rsidTr="00A875C2">
            <w:trPr>
              <w:trHeight w:val="283"/>
            </w:trPr>
            <w:tc>
              <w:tcPr>
                <w:tcW w:w="341" w:type="pct"/>
                <w:shd w:val="clear" w:color="auto" w:fill="FFFFFF" w:themeFill="background2"/>
                <w:tcMar>
                  <w:top w:w="60" w:type="dxa"/>
                  <w:left w:w="114" w:type="dxa"/>
                  <w:bottom w:w="60" w:type="dxa"/>
                  <w:right w:w="114" w:type="dxa"/>
                </w:tcMar>
                <w:vAlign w:val="center"/>
              </w:tcPr>
              <w:p w14:paraId="630E4F5D" w14:textId="5B013C9E" w:rsidR="003A089A" w:rsidRPr="000F057A" w:rsidRDefault="003A089A" w:rsidP="00A42890">
                <w:pPr>
                  <w:pStyle w:val="TableTextLeft"/>
                  <w:spacing w:before="0" w:after="0"/>
                  <w:rPr>
                    <w:rFonts w:cs="Segoe UI"/>
                    <w:b/>
                    <w:bCs/>
                    <w:sz w:val="14"/>
                    <w:lang w:eastAsia="it-IT"/>
                  </w:rPr>
                </w:pPr>
                <w:r w:rsidRPr="000F057A">
                  <w:rPr>
                    <w:rFonts w:cs="Segoe UI"/>
                    <w:b/>
                    <w:bCs/>
                    <w:sz w:val="14"/>
                    <w:lang w:eastAsia="it-IT"/>
                  </w:rPr>
                  <w:t>A1.3</w:t>
                </w:r>
              </w:p>
            </w:tc>
            <w:tc>
              <w:tcPr>
                <w:tcW w:w="321" w:type="pct"/>
                <w:shd w:val="clear" w:color="auto" w:fill="FFFFFF" w:themeFill="background2"/>
                <w:tcMar>
                  <w:top w:w="60" w:type="dxa"/>
                  <w:left w:w="114" w:type="dxa"/>
                  <w:bottom w:w="60" w:type="dxa"/>
                  <w:right w:w="114" w:type="dxa"/>
                </w:tcMar>
                <w:vAlign w:val="center"/>
              </w:tcPr>
              <w:p w14:paraId="370781F2" w14:textId="368BFE28"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11%</w:t>
                </w:r>
              </w:p>
            </w:tc>
            <w:tc>
              <w:tcPr>
                <w:tcW w:w="321" w:type="pct"/>
                <w:shd w:val="clear" w:color="auto" w:fill="FFFFFF" w:themeFill="background2"/>
                <w:tcMar>
                  <w:top w:w="60" w:type="dxa"/>
                  <w:left w:w="114" w:type="dxa"/>
                  <w:bottom w:w="60" w:type="dxa"/>
                  <w:right w:w="114" w:type="dxa"/>
                </w:tcMar>
                <w:vAlign w:val="center"/>
              </w:tcPr>
              <w:p w14:paraId="3610EE9E" w14:textId="7BA5BB8F"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08%</w:t>
                </w:r>
              </w:p>
            </w:tc>
            <w:tc>
              <w:tcPr>
                <w:tcW w:w="287" w:type="pct"/>
                <w:shd w:val="clear" w:color="auto" w:fill="FFFFFF" w:themeFill="background2"/>
                <w:vAlign w:val="center"/>
              </w:tcPr>
              <w:p w14:paraId="429EE4BC" w14:textId="02C84847"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04%</w:t>
                </w:r>
              </w:p>
            </w:tc>
            <w:tc>
              <w:tcPr>
                <w:tcW w:w="287" w:type="pct"/>
                <w:shd w:val="clear" w:color="auto" w:fill="FFFFFF" w:themeFill="background2"/>
                <w:vAlign w:val="center"/>
              </w:tcPr>
              <w:p w14:paraId="64B9E91F" w14:textId="2EF83F54"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46%</w:t>
                </w:r>
              </w:p>
            </w:tc>
            <w:tc>
              <w:tcPr>
                <w:tcW w:w="287" w:type="pct"/>
                <w:shd w:val="clear" w:color="auto" w:fill="FFFFFF" w:themeFill="background2"/>
                <w:vAlign w:val="center"/>
              </w:tcPr>
              <w:p w14:paraId="4B312885" w14:textId="5E3A2BB5"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46%</w:t>
                </w:r>
              </w:p>
            </w:tc>
            <w:tc>
              <w:tcPr>
                <w:tcW w:w="287" w:type="pct"/>
                <w:shd w:val="clear" w:color="auto" w:fill="FFFFFF" w:themeFill="background2"/>
                <w:vAlign w:val="center"/>
              </w:tcPr>
              <w:p w14:paraId="37EC637D" w14:textId="6EE0B926"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30%</w:t>
                </w:r>
              </w:p>
            </w:tc>
            <w:tc>
              <w:tcPr>
                <w:tcW w:w="287" w:type="pct"/>
                <w:shd w:val="clear" w:color="auto" w:fill="FFFFFF" w:themeFill="background2"/>
                <w:vAlign w:val="center"/>
              </w:tcPr>
              <w:p w14:paraId="02B17ED7" w14:textId="3383DDE8"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34%</w:t>
                </w:r>
              </w:p>
            </w:tc>
            <w:tc>
              <w:tcPr>
                <w:tcW w:w="287" w:type="pct"/>
                <w:shd w:val="clear" w:color="auto" w:fill="FFFFFF" w:themeFill="background2"/>
                <w:vAlign w:val="center"/>
              </w:tcPr>
              <w:p w14:paraId="26AC2760" w14:textId="3D55387E"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50%</w:t>
                </w:r>
              </w:p>
            </w:tc>
            <w:tc>
              <w:tcPr>
                <w:tcW w:w="287" w:type="pct"/>
                <w:shd w:val="clear" w:color="auto" w:fill="FFFFFF" w:themeFill="background2"/>
                <w:vAlign w:val="center"/>
              </w:tcPr>
              <w:p w14:paraId="356F5907" w14:textId="0685D603"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34%</w:t>
                </w:r>
              </w:p>
            </w:tc>
            <w:tc>
              <w:tcPr>
                <w:tcW w:w="287" w:type="pct"/>
                <w:shd w:val="clear" w:color="auto" w:fill="FFFFFF" w:themeFill="background2"/>
                <w:vAlign w:val="center"/>
              </w:tcPr>
              <w:p w14:paraId="0BB74281" w14:textId="7A3BC4DF"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33%</w:t>
                </w:r>
              </w:p>
            </w:tc>
            <w:tc>
              <w:tcPr>
                <w:tcW w:w="287" w:type="pct"/>
                <w:shd w:val="clear" w:color="auto" w:fill="FFFFFF" w:themeFill="background2"/>
                <w:vAlign w:val="center"/>
              </w:tcPr>
              <w:p w14:paraId="107F03FE" w14:textId="3202037D"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30%</w:t>
                </w:r>
              </w:p>
            </w:tc>
            <w:tc>
              <w:tcPr>
                <w:tcW w:w="287" w:type="pct"/>
                <w:shd w:val="clear" w:color="auto" w:fill="FFFFFF" w:themeFill="background2"/>
                <w:vAlign w:val="center"/>
              </w:tcPr>
              <w:p w14:paraId="09A34053" w14:textId="1DECB94D"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35%</w:t>
                </w:r>
              </w:p>
            </w:tc>
            <w:tc>
              <w:tcPr>
                <w:tcW w:w="287" w:type="pct"/>
                <w:shd w:val="clear" w:color="auto" w:fill="FFFFFF" w:themeFill="background2"/>
                <w:vAlign w:val="center"/>
              </w:tcPr>
              <w:p w14:paraId="56E764FA" w14:textId="5943B6BB"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34%</w:t>
                </w:r>
              </w:p>
            </w:tc>
            <w:tc>
              <w:tcPr>
                <w:tcW w:w="287" w:type="pct"/>
                <w:shd w:val="clear" w:color="auto" w:fill="FFFFFF" w:themeFill="background2"/>
                <w:vAlign w:val="center"/>
              </w:tcPr>
              <w:p w14:paraId="0619A6D6" w14:textId="668E9325"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42%</w:t>
                </w:r>
              </w:p>
            </w:tc>
            <w:tc>
              <w:tcPr>
                <w:tcW w:w="287" w:type="pct"/>
                <w:shd w:val="clear" w:color="auto" w:fill="FFFFFF" w:themeFill="background2"/>
                <w:vAlign w:val="center"/>
              </w:tcPr>
              <w:p w14:paraId="21221551" w14:textId="23957CCD" w:rsidR="003A089A" w:rsidRPr="00037678" w:rsidRDefault="003A089A" w:rsidP="007D5998">
                <w:pPr>
                  <w:pStyle w:val="TableTextLeft"/>
                  <w:spacing w:before="0" w:after="0"/>
                  <w:jc w:val="center"/>
                  <w:rPr>
                    <w:rFonts w:cs="Segoe UI"/>
                    <w:sz w:val="14"/>
                    <w:lang w:eastAsia="it-IT"/>
                  </w:rPr>
                </w:pPr>
                <w:r w:rsidRPr="00037678">
                  <w:rPr>
                    <w:rFonts w:cs="Segoe UI"/>
                    <w:sz w:val="14"/>
                    <w:lang w:eastAsia="it-IT"/>
                  </w:rPr>
                  <w:t>0</w:t>
                </w:r>
                <w:r w:rsidR="00854FE3">
                  <w:rPr>
                    <w:rFonts w:cs="Segoe UI"/>
                    <w:sz w:val="14"/>
                    <w:lang w:eastAsia="it-IT"/>
                  </w:rPr>
                  <w:t>.</w:t>
                </w:r>
                <w:r w:rsidRPr="00037678">
                  <w:rPr>
                    <w:rFonts w:cs="Segoe UI"/>
                    <w:sz w:val="14"/>
                    <w:lang w:eastAsia="it-IT"/>
                  </w:rPr>
                  <w:t>51%</w:t>
                </w:r>
              </w:p>
            </w:tc>
            <w:tc>
              <w:tcPr>
                <w:tcW w:w="287" w:type="pct"/>
                <w:shd w:val="clear" w:color="auto" w:fill="FFFFFF" w:themeFill="background2"/>
                <w:vAlign w:val="center"/>
              </w:tcPr>
              <w:p w14:paraId="3B2DD366" w14:textId="3FD9F363" w:rsidR="003A089A" w:rsidRPr="003A089A" w:rsidRDefault="003A089A" w:rsidP="007D5998">
                <w:pPr>
                  <w:pStyle w:val="TableTextLeft"/>
                  <w:spacing w:before="0" w:after="0"/>
                  <w:jc w:val="center"/>
                  <w:rPr>
                    <w:rFonts w:cs="Segoe UI"/>
                    <w:b/>
                    <w:bCs/>
                    <w:sz w:val="14"/>
                    <w:lang w:eastAsia="it-IT"/>
                  </w:rPr>
                </w:pPr>
                <w:r w:rsidRPr="003A089A">
                  <w:rPr>
                    <w:rFonts w:cs="Segoe UI"/>
                    <w:b/>
                    <w:bCs/>
                    <w:sz w:val="14"/>
                    <w:lang w:eastAsia="it-IT"/>
                  </w:rPr>
                  <w:t>0</w:t>
                </w:r>
                <w:r w:rsidR="00854FE3">
                  <w:rPr>
                    <w:rFonts w:cs="Segoe UI"/>
                    <w:b/>
                    <w:bCs/>
                    <w:sz w:val="14"/>
                    <w:lang w:eastAsia="it-IT"/>
                  </w:rPr>
                  <w:t>.</w:t>
                </w:r>
                <w:r w:rsidRPr="003A089A">
                  <w:rPr>
                    <w:rFonts w:cs="Segoe UI"/>
                    <w:b/>
                    <w:bCs/>
                    <w:sz w:val="14"/>
                    <w:lang w:eastAsia="it-IT"/>
                  </w:rPr>
                  <w:t>25%</w:t>
                </w:r>
              </w:p>
            </w:tc>
          </w:tr>
          <w:tr w:rsidR="00A42890" w:rsidRPr="003A089A" w14:paraId="59D1CB32" w14:textId="30B26172" w:rsidTr="00A875C2">
            <w:trPr>
              <w:trHeight w:val="283"/>
            </w:trPr>
            <w:tc>
              <w:tcPr>
                <w:tcW w:w="341" w:type="pct"/>
                <w:shd w:val="clear" w:color="auto" w:fill="FFFFFF" w:themeFill="background2"/>
                <w:tcMar>
                  <w:top w:w="60" w:type="dxa"/>
                  <w:left w:w="114" w:type="dxa"/>
                  <w:bottom w:w="60" w:type="dxa"/>
                  <w:right w:w="114" w:type="dxa"/>
                </w:tcMar>
                <w:vAlign w:val="center"/>
              </w:tcPr>
              <w:p w14:paraId="504AE0B2" w14:textId="4C198C60" w:rsidR="003A089A" w:rsidRPr="000F057A" w:rsidRDefault="003A089A" w:rsidP="00A42890">
                <w:pPr>
                  <w:pStyle w:val="TableTextLeft"/>
                  <w:spacing w:before="0" w:after="0"/>
                  <w:rPr>
                    <w:rFonts w:cs="Segoe UI"/>
                    <w:b/>
                    <w:bCs/>
                    <w:sz w:val="14"/>
                    <w:lang w:eastAsia="it-IT"/>
                  </w:rPr>
                </w:pPr>
                <w:r w:rsidRPr="000F057A">
                  <w:rPr>
                    <w:rFonts w:cs="Segoe UI"/>
                    <w:b/>
                    <w:bCs/>
                    <w:sz w:val="14"/>
                    <w:lang w:eastAsia="it-IT"/>
                  </w:rPr>
                  <w:t>A2.1</w:t>
                </w:r>
              </w:p>
            </w:tc>
            <w:tc>
              <w:tcPr>
                <w:tcW w:w="321" w:type="pct"/>
                <w:shd w:val="clear" w:color="auto" w:fill="FFFFFF" w:themeFill="background2"/>
                <w:tcMar>
                  <w:top w:w="60" w:type="dxa"/>
                  <w:left w:w="114" w:type="dxa"/>
                  <w:bottom w:w="60" w:type="dxa"/>
                  <w:right w:w="114" w:type="dxa"/>
                </w:tcMar>
                <w:vAlign w:val="center"/>
              </w:tcPr>
              <w:p w14:paraId="639AFBA2" w14:textId="6A187ADA" w:rsidR="003A089A" w:rsidRPr="0032337D"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71%</w:t>
                </w:r>
              </w:p>
            </w:tc>
            <w:tc>
              <w:tcPr>
                <w:tcW w:w="321" w:type="pct"/>
                <w:shd w:val="clear" w:color="auto" w:fill="FFFFFF" w:themeFill="background2"/>
                <w:tcMar>
                  <w:top w:w="60" w:type="dxa"/>
                  <w:left w:w="114" w:type="dxa"/>
                  <w:bottom w:w="60" w:type="dxa"/>
                  <w:right w:w="114" w:type="dxa"/>
                </w:tcMar>
                <w:vAlign w:val="center"/>
              </w:tcPr>
              <w:p w14:paraId="4BB45011" w14:textId="0465BD8B" w:rsidR="003A089A" w:rsidRPr="0032337D"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54%</w:t>
                </w:r>
              </w:p>
            </w:tc>
            <w:tc>
              <w:tcPr>
                <w:tcW w:w="287" w:type="pct"/>
                <w:shd w:val="clear" w:color="auto" w:fill="FFFFFF" w:themeFill="background2"/>
                <w:vAlign w:val="center"/>
              </w:tcPr>
              <w:p w14:paraId="5F706A53" w14:textId="648D931B" w:rsidR="003A089A" w:rsidRPr="0032337D"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34%</w:t>
                </w:r>
              </w:p>
            </w:tc>
            <w:tc>
              <w:tcPr>
                <w:tcW w:w="287" w:type="pct"/>
                <w:shd w:val="clear" w:color="auto" w:fill="FFFFFF" w:themeFill="background2"/>
                <w:vAlign w:val="center"/>
              </w:tcPr>
              <w:p w14:paraId="76ABDD4C" w14:textId="1A32543E"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1</w:t>
                </w:r>
                <w:r w:rsidR="00854FE3">
                  <w:rPr>
                    <w:rFonts w:cs="Segoe UI"/>
                    <w:sz w:val="14"/>
                    <w:lang w:eastAsia="it-IT"/>
                  </w:rPr>
                  <w:t>.</w:t>
                </w:r>
                <w:r w:rsidRPr="000F057A">
                  <w:rPr>
                    <w:rFonts w:cs="Segoe UI"/>
                    <w:sz w:val="14"/>
                    <w:lang w:eastAsia="it-IT"/>
                  </w:rPr>
                  <w:t>15%</w:t>
                </w:r>
              </w:p>
            </w:tc>
            <w:tc>
              <w:tcPr>
                <w:tcW w:w="287" w:type="pct"/>
                <w:shd w:val="clear" w:color="auto" w:fill="FFFFFF" w:themeFill="background2"/>
                <w:vAlign w:val="center"/>
              </w:tcPr>
              <w:p w14:paraId="3A55A312" w14:textId="1EC9C332"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1</w:t>
                </w:r>
                <w:r w:rsidR="00854FE3">
                  <w:rPr>
                    <w:rFonts w:cs="Segoe UI"/>
                    <w:sz w:val="14"/>
                    <w:lang w:eastAsia="it-IT"/>
                  </w:rPr>
                  <w:t>.</w:t>
                </w:r>
                <w:r w:rsidRPr="000F057A">
                  <w:rPr>
                    <w:rFonts w:cs="Segoe UI"/>
                    <w:sz w:val="14"/>
                    <w:lang w:eastAsia="it-IT"/>
                  </w:rPr>
                  <w:t>10%</w:t>
                </w:r>
              </w:p>
            </w:tc>
            <w:tc>
              <w:tcPr>
                <w:tcW w:w="287" w:type="pct"/>
                <w:shd w:val="clear" w:color="auto" w:fill="FFFFFF" w:themeFill="background2"/>
                <w:vAlign w:val="center"/>
              </w:tcPr>
              <w:p w14:paraId="025DCA20" w14:textId="113BD512"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70%</w:t>
                </w:r>
              </w:p>
            </w:tc>
            <w:tc>
              <w:tcPr>
                <w:tcW w:w="287" w:type="pct"/>
                <w:shd w:val="clear" w:color="auto" w:fill="FFFFFF" w:themeFill="background2"/>
                <w:vAlign w:val="center"/>
              </w:tcPr>
              <w:p w14:paraId="631FE645" w14:textId="57721CB8"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80%</w:t>
                </w:r>
              </w:p>
            </w:tc>
            <w:tc>
              <w:tcPr>
                <w:tcW w:w="287" w:type="pct"/>
                <w:shd w:val="clear" w:color="auto" w:fill="FFFFFF" w:themeFill="background2"/>
                <w:vAlign w:val="center"/>
              </w:tcPr>
              <w:p w14:paraId="622B9AC9" w14:textId="46D14456"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93%</w:t>
                </w:r>
              </w:p>
            </w:tc>
            <w:tc>
              <w:tcPr>
                <w:tcW w:w="287" w:type="pct"/>
                <w:shd w:val="clear" w:color="auto" w:fill="FFFFFF" w:themeFill="background2"/>
                <w:vAlign w:val="center"/>
              </w:tcPr>
              <w:p w14:paraId="3DDE0D40" w14:textId="1CC8CF7B"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85%</w:t>
                </w:r>
              </w:p>
            </w:tc>
            <w:tc>
              <w:tcPr>
                <w:tcW w:w="287" w:type="pct"/>
                <w:shd w:val="clear" w:color="auto" w:fill="FFFFFF" w:themeFill="background2"/>
                <w:vAlign w:val="center"/>
              </w:tcPr>
              <w:p w14:paraId="0AAF303D" w14:textId="63E849A7"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72%</w:t>
                </w:r>
              </w:p>
            </w:tc>
            <w:tc>
              <w:tcPr>
                <w:tcW w:w="287" w:type="pct"/>
                <w:shd w:val="clear" w:color="auto" w:fill="FFFFFF" w:themeFill="background2"/>
                <w:vAlign w:val="center"/>
              </w:tcPr>
              <w:p w14:paraId="7DDA3B6B" w14:textId="02512563"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75%</w:t>
                </w:r>
              </w:p>
            </w:tc>
            <w:tc>
              <w:tcPr>
                <w:tcW w:w="287" w:type="pct"/>
                <w:shd w:val="clear" w:color="auto" w:fill="FFFFFF" w:themeFill="background2"/>
                <w:vAlign w:val="center"/>
              </w:tcPr>
              <w:p w14:paraId="5F7915C0" w14:textId="5FBDAFC0"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87%</w:t>
                </w:r>
              </w:p>
            </w:tc>
            <w:tc>
              <w:tcPr>
                <w:tcW w:w="287" w:type="pct"/>
                <w:shd w:val="clear" w:color="auto" w:fill="FFFFFF" w:themeFill="background2"/>
                <w:vAlign w:val="center"/>
              </w:tcPr>
              <w:p w14:paraId="43443FB1" w14:textId="6EAA14C4"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75%</w:t>
                </w:r>
              </w:p>
            </w:tc>
            <w:tc>
              <w:tcPr>
                <w:tcW w:w="287" w:type="pct"/>
                <w:shd w:val="clear" w:color="auto" w:fill="FFFFFF" w:themeFill="background2"/>
                <w:vAlign w:val="center"/>
              </w:tcPr>
              <w:p w14:paraId="2C4C3415" w14:textId="2147FCCB"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1</w:t>
                </w:r>
                <w:r w:rsidR="00854FE3">
                  <w:rPr>
                    <w:rFonts w:cs="Segoe UI"/>
                    <w:sz w:val="14"/>
                    <w:lang w:eastAsia="it-IT"/>
                  </w:rPr>
                  <w:t>.</w:t>
                </w:r>
                <w:r w:rsidRPr="000F057A">
                  <w:rPr>
                    <w:rFonts w:cs="Segoe UI"/>
                    <w:sz w:val="14"/>
                    <w:lang w:eastAsia="it-IT"/>
                  </w:rPr>
                  <w:t>09%</w:t>
                </w:r>
              </w:p>
            </w:tc>
            <w:tc>
              <w:tcPr>
                <w:tcW w:w="287" w:type="pct"/>
                <w:shd w:val="clear" w:color="auto" w:fill="FFFFFF" w:themeFill="background2"/>
                <w:vAlign w:val="center"/>
              </w:tcPr>
              <w:p w14:paraId="0276C7C0" w14:textId="2CADC714" w:rsidR="003A089A" w:rsidRPr="00037678" w:rsidRDefault="003A089A" w:rsidP="007D5998">
                <w:pPr>
                  <w:pStyle w:val="TableTextLeft"/>
                  <w:spacing w:before="0" w:after="0"/>
                  <w:jc w:val="center"/>
                  <w:rPr>
                    <w:rFonts w:cs="Segoe UI"/>
                    <w:sz w:val="14"/>
                    <w:lang w:eastAsia="it-IT"/>
                  </w:rPr>
                </w:pPr>
                <w:r w:rsidRPr="00037678">
                  <w:rPr>
                    <w:rFonts w:cs="Segoe UI"/>
                    <w:sz w:val="14"/>
                    <w:lang w:eastAsia="it-IT"/>
                  </w:rPr>
                  <w:t>0</w:t>
                </w:r>
                <w:r w:rsidR="00854FE3">
                  <w:rPr>
                    <w:rFonts w:cs="Segoe UI"/>
                    <w:sz w:val="14"/>
                    <w:lang w:eastAsia="it-IT"/>
                  </w:rPr>
                  <w:t>.</w:t>
                </w:r>
                <w:r w:rsidRPr="00037678">
                  <w:rPr>
                    <w:rFonts w:cs="Segoe UI"/>
                    <w:sz w:val="14"/>
                    <w:lang w:eastAsia="it-IT"/>
                  </w:rPr>
                  <w:t>96%</w:t>
                </w:r>
              </w:p>
            </w:tc>
            <w:tc>
              <w:tcPr>
                <w:tcW w:w="287" w:type="pct"/>
                <w:shd w:val="clear" w:color="auto" w:fill="FFFFFF" w:themeFill="background2"/>
                <w:vAlign w:val="center"/>
              </w:tcPr>
              <w:p w14:paraId="46511028" w14:textId="1E5A4B8D" w:rsidR="003A089A" w:rsidRPr="003A089A" w:rsidRDefault="003A089A" w:rsidP="007D5998">
                <w:pPr>
                  <w:pStyle w:val="TableTextLeft"/>
                  <w:spacing w:before="0" w:after="0"/>
                  <w:jc w:val="center"/>
                  <w:rPr>
                    <w:rFonts w:cs="Segoe UI"/>
                    <w:b/>
                    <w:bCs/>
                    <w:sz w:val="14"/>
                    <w:lang w:eastAsia="it-IT"/>
                  </w:rPr>
                </w:pPr>
                <w:r w:rsidRPr="003A089A">
                  <w:rPr>
                    <w:rFonts w:cs="Segoe UI"/>
                    <w:b/>
                    <w:bCs/>
                    <w:sz w:val="14"/>
                    <w:lang w:eastAsia="it-IT"/>
                  </w:rPr>
                  <w:t>0</w:t>
                </w:r>
                <w:r w:rsidR="00854FE3">
                  <w:rPr>
                    <w:rFonts w:cs="Segoe UI"/>
                    <w:b/>
                    <w:bCs/>
                    <w:sz w:val="14"/>
                    <w:lang w:eastAsia="it-IT"/>
                  </w:rPr>
                  <w:t>.</w:t>
                </w:r>
                <w:r w:rsidRPr="003A089A">
                  <w:rPr>
                    <w:rFonts w:cs="Segoe UI"/>
                    <w:b/>
                    <w:bCs/>
                    <w:sz w:val="14"/>
                    <w:lang w:eastAsia="it-IT"/>
                  </w:rPr>
                  <w:t>74%</w:t>
                </w:r>
              </w:p>
            </w:tc>
          </w:tr>
          <w:tr w:rsidR="00A42890" w:rsidRPr="003A089A" w14:paraId="4D10DDDB" w14:textId="3C6C1B64" w:rsidTr="00A875C2">
            <w:trPr>
              <w:trHeight w:val="283"/>
            </w:trPr>
            <w:tc>
              <w:tcPr>
                <w:tcW w:w="341" w:type="pct"/>
                <w:shd w:val="clear" w:color="auto" w:fill="FFFFFF" w:themeFill="background2"/>
                <w:tcMar>
                  <w:top w:w="60" w:type="dxa"/>
                  <w:left w:w="114" w:type="dxa"/>
                  <w:bottom w:w="60" w:type="dxa"/>
                  <w:right w:w="114" w:type="dxa"/>
                </w:tcMar>
                <w:vAlign w:val="center"/>
              </w:tcPr>
              <w:p w14:paraId="606D1DBF" w14:textId="08246455" w:rsidR="003A089A" w:rsidRPr="000F057A" w:rsidRDefault="003A089A" w:rsidP="00A42890">
                <w:pPr>
                  <w:pStyle w:val="TableTextLeft"/>
                  <w:spacing w:before="0" w:after="0"/>
                  <w:rPr>
                    <w:rFonts w:cs="Segoe UI"/>
                    <w:b/>
                    <w:bCs/>
                    <w:sz w:val="14"/>
                    <w:lang w:eastAsia="it-IT"/>
                  </w:rPr>
                </w:pPr>
                <w:r w:rsidRPr="000F057A">
                  <w:rPr>
                    <w:rFonts w:cs="Segoe UI"/>
                    <w:b/>
                    <w:bCs/>
                    <w:sz w:val="14"/>
                    <w:lang w:eastAsia="it-IT"/>
                  </w:rPr>
                  <w:t>A2.2</w:t>
                </w:r>
              </w:p>
            </w:tc>
            <w:tc>
              <w:tcPr>
                <w:tcW w:w="321" w:type="pct"/>
                <w:shd w:val="clear" w:color="auto" w:fill="FFFFFF" w:themeFill="background2"/>
                <w:tcMar>
                  <w:top w:w="60" w:type="dxa"/>
                  <w:left w:w="114" w:type="dxa"/>
                  <w:bottom w:w="60" w:type="dxa"/>
                  <w:right w:w="114" w:type="dxa"/>
                </w:tcMar>
                <w:vAlign w:val="center"/>
              </w:tcPr>
              <w:p w14:paraId="551B0765" w14:textId="223D5ED5" w:rsidR="003A089A" w:rsidRPr="0032337D" w:rsidRDefault="003A089A" w:rsidP="007D5998">
                <w:pPr>
                  <w:pStyle w:val="TableTextLeft"/>
                  <w:spacing w:before="0" w:after="0"/>
                  <w:jc w:val="center"/>
                  <w:rPr>
                    <w:rFonts w:cs="Segoe UI"/>
                    <w:sz w:val="14"/>
                    <w:lang w:eastAsia="it-IT"/>
                  </w:rPr>
                </w:pPr>
                <w:r w:rsidRPr="000F057A">
                  <w:rPr>
                    <w:rFonts w:cs="Segoe UI"/>
                    <w:sz w:val="14"/>
                    <w:lang w:eastAsia="it-IT"/>
                  </w:rPr>
                  <w:t>3</w:t>
                </w:r>
                <w:r w:rsidR="00854FE3">
                  <w:rPr>
                    <w:rFonts w:cs="Segoe UI"/>
                    <w:sz w:val="14"/>
                    <w:lang w:eastAsia="it-IT"/>
                  </w:rPr>
                  <w:t>.</w:t>
                </w:r>
                <w:r w:rsidRPr="000F057A">
                  <w:rPr>
                    <w:rFonts w:cs="Segoe UI"/>
                    <w:sz w:val="14"/>
                    <w:lang w:eastAsia="it-IT"/>
                  </w:rPr>
                  <w:t>80%</w:t>
                </w:r>
              </w:p>
            </w:tc>
            <w:tc>
              <w:tcPr>
                <w:tcW w:w="321" w:type="pct"/>
                <w:shd w:val="clear" w:color="auto" w:fill="FFFFFF" w:themeFill="background2"/>
                <w:tcMar>
                  <w:top w:w="60" w:type="dxa"/>
                  <w:left w:w="114" w:type="dxa"/>
                  <w:bottom w:w="60" w:type="dxa"/>
                  <w:right w:w="114" w:type="dxa"/>
                </w:tcMar>
                <w:vAlign w:val="center"/>
              </w:tcPr>
              <w:p w14:paraId="08F793D3" w14:textId="02114670" w:rsidR="003A089A" w:rsidRPr="0032337D" w:rsidRDefault="003A089A" w:rsidP="007D5998">
                <w:pPr>
                  <w:pStyle w:val="TableTextLeft"/>
                  <w:spacing w:before="0" w:after="0"/>
                  <w:jc w:val="center"/>
                  <w:rPr>
                    <w:rFonts w:cs="Segoe UI"/>
                    <w:sz w:val="14"/>
                    <w:lang w:eastAsia="it-IT"/>
                  </w:rPr>
                </w:pPr>
                <w:r w:rsidRPr="000F057A">
                  <w:rPr>
                    <w:rFonts w:cs="Segoe UI"/>
                    <w:sz w:val="14"/>
                    <w:lang w:eastAsia="it-IT"/>
                  </w:rPr>
                  <w:t>3</w:t>
                </w:r>
                <w:r w:rsidR="00854FE3">
                  <w:rPr>
                    <w:rFonts w:cs="Segoe UI"/>
                    <w:sz w:val="14"/>
                    <w:lang w:eastAsia="it-IT"/>
                  </w:rPr>
                  <w:t>.</w:t>
                </w:r>
                <w:r w:rsidRPr="000F057A">
                  <w:rPr>
                    <w:rFonts w:cs="Segoe UI"/>
                    <w:sz w:val="14"/>
                    <w:lang w:eastAsia="it-IT"/>
                  </w:rPr>
                  <w:t>54%</w:t>
                </w:r>
              </w:p>
            </w:tc>
            <w:tc>
              <w:tcPr>
                <w:tcW w:w="287" w:type="pct"/>
                <w:shd w:val="clear" w:color="auto" w:fill="FFFFFF" w:themeFill="background2"/>
                <w:vAlign w:val="center"/>
              </w:tcPr>
              <w:p w14:paraId="1CEEA8DF" w14:textId="6BC7E48B" w:rsidR="003A089A" w:rsidRPr="0032337D" w:rsidRDefault="003A089A" w:rsidP="007D5998">
                <w:pPr>
                  <w:pStyle w:val="TableTextLeft"/>
                  <w:spacing w:before="0" w:after="0"/>
                  <w:jc w:val="center"/>
                  <w:rPr>
                    <w:rFonts w:cs="Segoe UI"/>
                    <w:sz w:val="14"/>
                    <w:lang w:eastAsia="it-IT"/>
                  </w:rPr>
                </w:pPr>
                <w:r w:rsidRPr="000F057A">
                  <w:rPr>
                    <w:rFonts w:cs="Segoe UI"/>
                    <w:sz w:val="14"/>
                    <w:lang w:eastAsia="it-IT"/>
                  </w:rPr>
                  <w:t>221%</w:t>
                </w:r>
              </w:p>
            </w:tc>
            <w:tc>
              <w:tcPr>
                <w:tcW w:w="287" w:type="pct"/>
                <w:shd w:val="clear" w:color="auto" w:fill="FFFFFF" w:themeFill="background2"/>
                <w:vAlign w:val="center"/>
              </w:tcPr>
              <w:p w14:paraId="0AD134BA" w14:textId="70725D15"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5</w:t>
                </w:r>
                <w:r w:rsidR="00854FE3">
                  <w:rPr>
                    <w:rFonts w:cs="Segoe UI"/>
                    <w:sz w:val="14"/>
                    <w:lang w:eastAsia="it-IT"/>
                  </w:rPr>
                  <w:t>.</w:t>
                </w:r>
                <w:r w:rsidRPr="000F057A">
                  <w:rPr>
                    <w:rFonts w:cs="Segoe UI"/>
                    <w:sz w:val="14"/>
                    <w:lang w:eastAsia="it-IT"/>
                  </w:rPr>
                  <w:t>69%</w:t>
                </w:r>
              </w:p>
            </w:tc>
            <w:tc>
              <w:tcPr>
                <w:tcW w:w="287" w:type="pct"/>
                <w:shd w:val="clear" w:color="auto" w:fill="FFFFFF" w:themeFill="background2"/>
                <w:vAlign w:val="center"/>
              </w:tcPr>
              <w:p w14:paraId="16E08283" w14:textId="701EDD28"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5</w:t>
                </w:r>
                <w:r w:rsidR="00854FE3">
                  <w:rPr>
                    <w:rFonts w:cs="Segoe UI"/>
                    <w:sz w:val="14"/>
                    <w:lang w:eastAsia="it-IT"/>
                  </w:rPr>
                  <w:t>.</w:t>
                </w:r>
                <w:r w:rsidRPr="000F057A">
                  <w:rPr>
                    <w:rFonts w:cs="Segoe UI"/>
                    <w:sz w:val="14"/>
                    <w:lang w:eastAsia="it-IT"/>
                  </w:rPr>
                  <w:t>50%</w:t>
                </w:r>
              </w:p>
            </w:tc>
            <w:tc>
              <w:tcPr>
                <w:tcW w:w="287" w:type="pct"/>
                <w:shd w:val="clear" w:color="auto" w:fill="FFFFFF" w:themeFill="background2"/>
                <w:vAlign w:val="center"/>
              </w:tcPr>
              <w:p w14:paraId="3DFBA53F" w14:textId="74FFE1DF"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4</w:t>
                </w:r>
                <w:r w:rsidR="00854FE3">
                  <w:rPr>
                    <w:rFonts w:cs="Segoe UI"/>
                    <w:sz w:val="14"/>
                    <w:lang w:eastAsia="it-IT"/>
                  </w:rPr>
                  <w:t>.</w:t>
                </w:r>
                <w:r w:rsidRPr="000F057A">
                  <w:rPr>
                    <w:rFonts w:cs="Segoe UI"/>
                    <w:sz w:val="14"/>
                    <w:lang w:eastAsia="it-IT"/>
                  </w:rPr>
                  <w:t>10%</w:t>
                </w:r>
              </w:p>
            </w:tc>
            <w:tc>
              <w:tcPr>
                <w:tcW w:w="287" w:type="pct"/>
                <w:shd w:val="clear" w:color="auto" w:fill="FFFFFF" w:themeFill="background2"/>
                <w:vAlign w:val="center"/>
              </w:tcPr>
              <w:p w14:paraId="79FF2A90" w14:textId="02ADA52E"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3</w:t>
                </w:r>
                <w:r w:rsidR="00854FE3">
                  <w:rPr>
                    <w:rFonts w:cs="Segoe UI"/>
                    <w:sz w:val="14"/>
                    <w:lang w:eastAsia="it-IT"/>
                  </w:rPr>
                  <w:t>.</w:t>
                </w:r>
                <w:r w:rsidRPr="000F057A">
                  <w:rPr>
                    <w:rFonts w:cs="Segoe UI"/>
                    <w:sz w:val="14"/>
                    <w:lang w:eastAsia="it-IT"/>
                  </w:rPr>
                  <w:t>13%</w:t>
                </w:r>
              </w:p>
            </w:tc>
            <w:tc>
              <w:tcPr>
                <w:tcW w:w="287" w:type="pct"/>
                <w:shd w:val="clear" w:color="auto" w:fill="FFFFFF" w:themeFill="background2"/>
                <w:vAlign w:val="center"/>
              </w:tcPr>
              <w:p w14:paraId="7618A883" w14:textId="43E0D17B"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3</w:t>
                </w:r>
                <w:r w:rsidR="00854FE3">
                  <w:rPr>
                    <w:rFonts w:cs="Segoe UI"/>
                    <w:sz w:val="14"/>
                    <w:lang w:eastAsia="it-IT"/>
                  </w:rPr>
                  <w:t>.</w:t>
                </w:r>
                <w:r w:rsidRPr="000F057A">
                  <w:rPr>
                    <w:rFonts w:cs="Segoe UI"/>
                    <w:sz w:val="14"/>
                    <w:lang w:eastAsia="it-IT"/>
                  </w:rPr>
                  <w:t>40%</w:t>
                </w:r>
              </w:p>
            </w:tc>
            <w:tc>
              <w:tcPr>
                <w:tcW w:w="287" w:type="pct"/>
                <w:shd w:val="clear" w:color="auto" w:fill="FFFFFF" w:themeFill="background2"/>
                <w:vAlign w:val="center"/>
              </w:tcPr>
              <w:p w14:paraId="2B05B15D" w14:textId="4DC8B551"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2</w:t>
                </w:r>
                <w:r w:rsidR="00854FE3">
                  <w:rPr>
                    <w:rFonts w:cs="Segoe UI"/>
                    <w:sz w:val="14"/>
                    <w:lang w:eastAsia="it-IT"/>
                  </w:rPr>
                  <w:t>.</w:t>
                </w:r>
                <w:r w:rsidRPr="000F057A">
                  <w:rPr>
                    <w:rFonts w:cs="Segoe UI"/>
                    <w:sz w:val="14"/>
                    <w:lang w:eastAsia="it-IT"/>
                  </w:rPr>
                  <w:t>89%</w:t>
                </w:r>
              </w:p>
            </w:tc>
            <w:tc>
              <w:tcPr>
                <w:tcW w:w="287" w:type="pct"/>
                <w:shd w:val="clear" w:color="auto" w:fill="FFFFFF" w:themeFill="background2"/>
                <w:vAlign w:val="center"/>
              </w:tcPr>
              <w:p w14:paraId="1471F55C" w14:textId="77542151"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2</w:t>
                </w:r>
                <w:r w:rsidR="00854FE3">
                  <w:rPr>
                    <w:rFonts w:cs="Segoe UI"/>
                    <w:sz w:val="14"/>
                    <w:lang w:eastAsia="it-IT"/>
                  </w:rPr>
                  <w:t>.</w:t>
                </w:r>
                <w:r w:rsidRPr="000F057A">
                  <w:rPr>
                    <w:rFonts w:cs="Segoe UI"/>
                    <w:sz w:val="14"/>
                    <w:lang w:eastAsia="it-IT"/>
                  </w:rPr>
                  <w:t>50%</w:t>
                </w:r>
              </w:p>
            </w:tc>
            <w:tc>
              <w:tcPr>
                <w:tcW w:w="287" w:type="pct"/>
                <w:shd w:val="clear" w:color="auto" w:fill="FFFFFF" w:themeFill="background2"/>
                <w:vAlign w:val="center"/>
              </w:tcPr>
              <w:p w14:paraId="72DE8337" w14:textId="1848B03E"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2</w:t>
                </w:r>
                <w:r w:rsidR="00854FE3">
                  <w:rPr>
                    <w:rFonts w:cs="Segoe UI"/>
                    <w:sz w:val="14"/>
                    <w:lang w:eastAsia="it-IT"/>
                  </w:rPr>
                  <w:t>.</w:t>
                </w:r>
                <w:r w:rsidRPr="000F057A">
                  <w:rPr>
                    <w:rFonts w:cs="Segoe UI"/>
                    <w:sz w:val="14"/>
                    <w:lang w:eastAsia="it-IT"/>
                  </w:rPr>
                  <w:t>59%</w:t>
                </w:r>
              </w:p>
            </w:tc>
            <w:tc>
              <w:tcPr>
                <w:tcW w:w="287" w:type="pct"/>
                <w:shd w:val="clear" w:color="auto" w:fill="FFFFFF" w:themeFill="background2"/>
                <w:vAlign w:val="center"/>
              </w:tcPr>
              <w:p w14:paraId="52E47D6F" w14:textId="414A4177"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2</w:t>
                </w:r>
                <w:r w:rsidR="00854FE3">
                  <w:rPr>
                    <w:rFonts w:cs="Segoe UI"/>
                    <w:sz w:val="14"/>
                    <w:lang w:eastAsia="it-IT"/>
                  </w:rPr>
                  <w:t>.</w:t>
                </w:r>
                <w:r w:rsidRPr="000F057A">
                  <w:rPr>
                    <w:rFonts w:cs="Segoe UI"/>
                    <w:sz w:val="14"/>
                    <w:lang w:eastAsia="it-IT"/>
                  </w:rPr>
                  <w:t>72%</w:t>
                </w:r>
              </w:p>
            </w:tc>
            <w:tc>
              <w:tcPr>
                <w:tcW w:w="287" w:type="pct"/>
                <w:shd w:val="clear" w:color="auto" w:fill="FFFFFF" w:themeFill="background2"/>
                <w:vAlign w:val="center"/>
              </w:tcPr>
              <w:p w14:paraId="22ACF427" w14:textId="1681EB56"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1</w:t>
                </w:r>
                <w:r w:rsidR="00854FE3">
                  <w:rPr>
                    <w:rFonts w:cs="Segoe UI"/>
                    <w:sz w:val="14"/>
                    <w:lang w:eastAsia="it-IT"/>
                  </w:rPr>
                  <w:t>.</w:t>
                </w:r>
                <w:r w:rsidRPr="000F057A">
                  <w:rPr>
                    <w:rFonts w:cs="Segoe UI"/>
                    <w:sz w:val="14"/>
                    <w:lang w:eastAsia="it-IT"/>
                  </w:rPr>
                  <w:t>80%</w:t>
                </w:r>
              </w:p>
            </w:tc>
            <w:tc>
              <w:tcPr>
                <w:tcW w:w="287" w:type="pct"/>
                <w:shd w:val="clear" w:color="auto" w:fill="FFFFFF" w:themeFill="background2"/>
                <w:vAlign w:val="center"/>
              </w:tcPr>
              <w:p w14:paraId="601F3410" w14:textId="2C85D684"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2</w:t>
                </w:r>
                <w:r w:rsidR="00854FE3">
                  <w:rPr>
                    <w:rFonts w:cs="Segoe UI"/>
                    <w:sz w:val="14"/>
                    <w:lang w:eastAsia="it-IT"/>
                  </w:rPr>
                  <w:t>.</w:t>
                </w:r>
                <w:r w:rsidRPr="000F057A">
                  <w:rPr>
                    <w:rFonts w:cs="Segoe UI"/>
                    <w:sz w:val="14"/>
                    <w:lang w:eastAsia="it-IT"/>
                  </w:rPr>
                  <w:t>38%</w:t>
                </w:r>
              </w:p>
            </w:tc>
            <w:tc>
              <w:tcPr>
                <w:tcW w:w="287" w:type="pct"/>
                <w:shd w:val="clear" w:color="auto" w:fill="FFFFFF" w:themeFill="background2"/>
                <w:vAlign w:val="center"/>
              </w:tcPr>
              <w:p w14:paraId="281D36FC" w14:textId="39471FB7" w:rsidR="003A089A" w:rsidRPr="00037678" w:rsidRDefault="003A089A" w:rsidP="007D5998">
                <w:pPr>
                  <w:pStyle w:val="TableTextLeft"/>
                  <w:spacing w:before="0" w:after="0"/>
                  <w:jc w:val="center"/>
                  <w:rPr>
                    <w:rFonts w:cs="Segoe UI"/>
                    <w:sz w:val="14"/>
                    <w:lang w:eastAsia="it-IT"/>
                  </w:rPr>
                </w:pPr>
                <w:r w:rsidRPr="00037678">
                  <w:rPr>
                    <w:rFonts w:cs="Segoe UI"/>
                    <w:sz w:val="14"/>
                    <w:lang w:eastAsia="it-IT"/>
                  </w:rPr>
                  <w:t>2</w:t>
                </w:r>
                <w:r w:rsidR="00854FE3">
                  <w:rPr>
                    <w:rFonts w:cs="Segoe UI"/>
                    <w:sz w:val="14"/>
                    <w:lang w:eastAsia="it-IT"/>
                  </w:rPr>
                  <w:t>.</w:t>
                </w:r>
                <w:r w:rsidRPr="00037678">
                  <w:rPr>
                    <w:rFonts w:cs="Segoe UI"/>
                    <w:sz w:val="14"/>
                    <w:lang w:eastAsia="it-IT"/>
                  </w:rPr>
                  <w:t>35%</w:t>
                </w:r>
              </w:p>
            </w:tc>
            <w:tc>
              <w:tcPr>
                <w:tcW w:w="287" w:type="pct"/>
                <w:shd w:val="clear" w:color="auto" w:fill="FFFFFF" w:themeFill="background2"/>
                <w:vAlign w:val="center"/>
              </w:tcPr>
              <w:p w14:paraId="1A63A745" w14:textId="0EC1E180" w:rsidR="003A089A" w:rsidRPr="003A089A" w:rsidRDefault="003A089A" w:rsidP="007D5998">
                <w:pPr>
                  <w:pStyle w:val="TableTextLeft"/>
                  <w:spacing w:before="0" w:after="0"/>
                  <w:jc w:val="center"/>
                  <w:rPr>
                    <w:rFonts w:cs="Segoe UI"/>
                    <w:b/>
                    <w:bCs/>
                    <w:sz w:val="14"/>
                    <w:lang w:eastAsia="it-IT"/>
                  </w:rPr>
                </w:pPr>
                <w:r w:rsidRPr="003A089A">
                  <w:rPr>
                    <w:rFonts w:cs="Segoe UI"/>
                    <w:b/>
                    <w:bCs/>
                    <w:sz w:val="14"/>
                    <w:lang w:eastAsia="it-IT"/>
                  </w:rPr>
                  <w:t>3</w:t>
                </w:r>
                <w:r w:rsidR="00854FE3">
                  <w:rPr>
                    <w:rFonts w:cs="Segoe UI"/>
                    <w:b/>
                    <w:bCs/>
                    <w:sz w:val="14"/>
                    <w:lang w:eastAsia="it-IT"/>
                  </w:rPr>
                  <w:t>.</w:t>
                </w:r>
                <w:r w:rsidRPr="003A089A">
                  <w:rPr>
                    <w:rFonts w:cs="Segoe UI"/>
                    <w:b/>
                    <w:bCs/>
                    <w:sz w:val="14"/>
                    <w:lang w:eastAsia="it-IT"/>
                  </w:rPr>
                  <w:t>32%</w:t>
                </w:r>
              </w:p>
            </w:tc>
          </w:tr>
          <w:tr w:rsidR="00A42890" w:rsidRPr="003A089A" w14:paraId="1FE29FAB" w14:textId="3F9CE202" w:rsidTr="00A875C2">
            <w:trPr>
              <w:trHeight w:val="283"/>
            </w:trPr>
            <w:tc>
              <w:tcPr>
                <w:tcW w:w="341" w:type="pct"/>
                <w:shd w:val="clear" w:color="auto" w:fill="FFFFFF" w:themeFill="background2"/>
                <w:tcMar>
                  <w:top w:w="60" w:type="dxa"/>
                  <w:left w:w="114" w:type="dxa"/>
                  <w:bottom w:w="60" w:type="dxa"/>
                  <w:right w:w="114" w:type="dxa"/>
                </w:tcMar>
                <w:vAlign w:val="center"/>
              </w:tcPr>
              <w:p w14:paraId="1B1C0B07" w14:textId="23C32707" w:rsidR="003A089A" w:rsidRPr="000F057A" w:rsidRDefault="003A089A" w:rsidP="00A42890">
                <w:pPr>
                  <w:pStyle w:val="TableTextLeft"/>
                  <w:spacing w:before="0" w:after="0"/>
                  <w:rPr>
                    <w:rFonts w:cs="Segoe UI"/>
                    <w:b/>
                    <w:bCs/>
                    <w:sz w:val="14"/>
                    <w:lang w:eastAsia="it-IT"/>
                  </w:rPr>
                </w:pPr>
                <w:r w:rsidRPr="000F057A">
                  <w:rPr>
                    <w:rFonts w:cs="Segoe UI"/>
                    <w:b/>
                    <w:bCs/>
                    <w:sz w:val="14"/>
                    <w:lang w:eastAsia="it-IT"/>
                  </w:rPr>
                  <w:t>A3.1</w:t>
                </w:r>
              </w:p>
            </w:tc>
            <w:tc>
              <w:tcPr>
                <w:tcW w:w="321" w:type="pct"/>
                <w:shd w:val="clear" w:color="auto" w:fill="FFFFFF" w:themeFill="background2"/>
                <w:tcMar>
                  <w:top w:w="60" w:type="dxa"/>
                  <w:left w:w="114" w:type="dxa"/>
                  <w:bottom w:w="60" w:type="dxa"/>
                  <w:right w:w="114" w:type="dxa"/>
                </w:tcMar>
                <w:vAlign w:val="center"/>
              </w:tcPr>
              <w:p w14:paraId="1DDFD7AC" w14:textId="6CE1B1ED" w:rsidR="003A089A" w:rsidRPr="002E1E6B" w:rsidRDefault="003A089A" w:rsidP="007D5998">
                <w:pPr>
                  <w:pStyle w:val="TableTextLeft"/>
                  <w:spacing w:before="0" w:after="0"/>
                  <w:jc w:val="center"/>
                  <w:rPr>
                    <w:rFonts w:cs="Segoe UI"/>
                    <w:sz w:val="14"/>
                    <w:lang w:eastAsia="it-IT"/>
                  </w:rPr>
                </w:pPr>
                <w:r w:rsidRPr="000F057A">
                  <w:rPr>
                    <w:rFonts w:cs="Segoe UI"/>
                    <w:sz w:val="14"/>
                    <w:lang w:eastAsia="it-IT"/>
                  </w:rPr>
                  <w:t>8</w:t>
                </w:r>
                <w:r w:rsidR="00854FE3">
                  <w:rPr>
                    <w:rFonts w:cs="Segoe UI"/>
                    <w:sz w:val="14"/>
                    <w:lang w:eastAsia="it-IT"/>
                  </w:rPr>
                  <w:t>.</w:t>
                </w:r>
                <w:r w:rsidRPr="000F057A">
                  <w:rPr>
                    <w:rFonts w:cs="Segoe UI"/>
                    <w:sz w:val="14"/>
                    <w:lang w:eastAsia="it-IT"/>
                  </w:rPr>
                  <w:t>68%</w:t>
                </w:r>
              </w:p>
            </w:tc>
            <w:tc>
              <w:tcPr>
                <w:tcW w:w="321" w:type="pct"/>
                <w:shd w:val="clear" w:color="auto" w:fill="FFFFFF" w:themeFill="background2"/>
                <w:tcMar>
                  <w:top w:w="60" w:type="dxa"/>
                  <w:left w:w="114" w:type="dxa"/>
                  <w:bottom w:w="60" w:type="dxa"/>
                  <w:right w:w="114" w:type="dxa"/>
                </w:tcMar>
                <w:vAlign w:val="center"/>
              </w:tcPr>
              <w:p w14:paraId="2F61A9F1" w14:textId="58CD0457" w:rsidR="003A089A" w:rsidRPr="002E1E6B" w:rsidRDefault="003A089A" w:rsidP="007D5998">
                <w:pPr>
                  <w:pStyle w:val="TableTextLeft"/>
                  <w:spacing w:before="0" w:after="0"/>
                  <w:jc w:val="center"/>
                  <w:rPr>
                    <w:rFonts w:cs="Segoe UI"/>
                    <w:sz w:val="14"/>
                    <w:lang w:eastAsia="it-IT"/>
                  </w:rPr>
                </w:pPr>
                <w:r w:rsidRPr="000F057A">
                  <w:rPr>
                    <w:rFonts w:cs="Segoe UI"/>
                    <w:sz w:val="14"/>
                    <w:lang w:eastAsia="it-IT"/>
                  </w:rPr>
                  <w:t>9</w:t>
                </w:r>
                <w:r w:rsidR="00854FE3">
                  <w:rPr>
                    <w:rFonts w:cs="Segoe UI"/>
                    <w:sz w:val="14"/>
                    <w:lang w:eastAsia="it-IT"/>
                  </w:rPr>
                  <w:t>.</w:t>
                </w:r>
                <w:r w:rsidRPr="000F057A">
                  <w:rPr>
                    <w:rFonts w:cs="Segoe UI"/>
                    <w:sz w:val="14"/>
                    <w:lang w:eastAsia="it-IT"/>
                  </w:rPr>
                  <w:t>21%</w:t>
                </w:r>
              </w:p>
            </w:tc>
            <w:tc>
              <w:tcPr>
                <w:tcW w:w="287" w:type="pct"/>
                <w:shd w:val="clear" w:color="auto" w:fill="FFFFFF" w:themeFill="background2"/>
                <w:vAlign w:val="center"/>
              </w:tcPr>
              <w:p w14:paraId="50C14ED4" w14:textId="48A93852" w:rsidR="003A089A" w:rsidRPr="002E1E6B" w:rsidRDefault="003A089A" w:rsidP="007D5998">
                <w:pPr>
                  <w:pStyle w:val="TableTextLeft"/>
                  <w:spacing w:before="0" w:after="0"/>
                  <w:jc w:val="center"/>
                  <w:rPr>
                    <w:rFonts w:cs="Segoe UI"/>
                    <w:sz w:val="14"/>
                    <w:lang w:eastAsia="it-IT"/>
                  </w:rPr>
                </w:pPr>
                <w:r w:rsidRPr="000F057A">
                  <w:rPr>
                    <w:rFonts w:cs="Segoe UI"/>
                    <w:sz w:val="14"/>
                    <w:lang w:eastAsia="it-IT"/>
                  </w:rPr>
                  <w:t>8</w:t>
                </w:r>
                <w:r w:rsidR="00854FE3">
                  <w:rPr>
                    <w:rFonts w:cs="Segoe UI"/>
                    <w:sz w:val="14"/>
                    <w:lang w:eastAsia="it-IT"/>
                  </w:rPr>
                  <w:t>.</w:t>
                </w:r>
                <w:r w:rsidRPr="000F057A">
                  <w:rPr>
                    <w:rFonts w:cs="Segoe UI"/>
                    <w:sz w:val="14"/>
                    <w:lang w:eastAsia="it-IT"/>
                  </w:rPr>
                  <w:t>22%</w:t>
                </w:r>
              </w:p>
            </w:tc>
            <w:tc>
              <w:tcPr>
                <w:tcW w:w="287" w:type="pct"/>
                <w:shd w:val="clear" w:color="auto" w:fill="FFFFFF" w:themeFill="background2"/>
                <w:vAlign w:val="center"/>
              </w:tcPr>
              <w:p w14:paraId="22F9F169" w14:textId="728DD712"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9</w:t>
                </w:r>
                <w:r w:rsidR="00854FE3">
                  <w:rPr>
                    <w:rFonts w:cs="Segoe UI"/>
                    <w:sz w:val="14"/>
                    <w:lang w:eastAsia="it-IT"/>
                  </w:rPr>
                  <w:t>.</w:t>
                </w:r>
                <w:r w:rsidRPr="000F057A">
                  <w:rPr>
                    <w:rFonts w:cs="Segoe UI"/>
                    <w:sz w:val="14"/>
                    <w:lang w:eastAsia="it-IT"/>
                  </w:rPr>
                  <w:t>53%</w:t>
                </w:r>
              </w:p>
            </w:tc>
            <w:tc>
              <w:tcPr>
                <w:tcW w:w="287" w:type="pct"/>
                <w:shd w:val="clear" w:color="auto" w:fill="FFFFFF" w:themeFill="background2"/>
                <w:vAlign w:val="center"/>
              </w:tcPr>
              <w:p w14:paraId="69AF0D2D" w14:textId="5422DDA2"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8</w:t>
                </w:r>
                <w:r w:rsidR="00854FE3">
                  <w:rPr>
                    <w:rFonts w:cs="Segoe UI"/>
                    <w:sz w:val="14"/>
                    <w:lang w:eastAsia="it-IT"/>
                  </w:rPr>
                  <w:t>.</w:t>
                </w:r>
                <w:r w:rsidRPr="000F057A">
                  <w:rPr>
                    <w:rFonts w:cs="Segoe UI"/>
                    <w:sz w:val="14"/>
                    <w:lang w:eastAsia="it-IT"/>
                  </w:rPr>
                  <w:t>82%</w:t>
                </w:r>
              </w:p>
            </w:tc>
            <w:tc>
              <w:tcPr>
                <w:tcW w:w="287" w:type="pct"/>
                <w:shd w:val="clear" w:color="auto" w:fill="FFFFFF" w:themeFill="background2"/>
                <w:vAlign w:val="center"/>
              </w:tcPr>
              <w:p w14:paraId="7B9974D9" w14:textId="2DAF71A6"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12</w:t>
                </w:r>
                <w:r w:rsidR="00854FE3">
                  <w:rPr>
                    <w:rFonts w:cs="Segoe UI"/>
                    <w:sz w:val="14"/>
                    <w:lang w:eastAsia="it-IT"/>
                  </w:rPr>
                  <w:t>.</w:t>
                </w:r>
                <w:r w:rsidRPr="000F057A">
                  <w:rPr>
                    <w:rFonts w:cs="Segoe UI"/>
                    <w:sz w:val="14"/>
                    <w:lang w:eastAsia="it-IT"/>
                  </w:rPr>
                  <w:t>88%</w:t>
                </w:r>
              </w:p>
            </w:tc>
            <w:tc>
              <w:tcPr>
                <w:tcW w:w="287" w:type="pct"/>
                <w:shd w:val="clear" w:color="auto" w:fill="FFFFFF" w:themeFill="background2"/>
                <w:vAlign w:val="center"/>
              </w:tcPr>
              <w:p w14:paraId="4924B28D" w14:textId="459287FC"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10</w:t>
                </w:r>
                <w:r w:rsidR="00854FE3">
                  <w:rPr>
                    <w:rFonts w:cs="Segoe UI"/>
                    <w:sz w:val="14"/>
                    <w:lang w:eastAsia="it-IT"/>
                  </w:rPr>
                  <w:t>.</w:t>
                </w:r>
                <w:r w:rsidRPr="000F057A">
                  <w:rPr>
                    <w:rFonts w:cs="Segoe UI"/>
                    <w:sz w:val="14"/>
                    <w:lang w:eastAsia="it-IT"/>
                  </w:rPr>
                  <w:t>87%</w:t>
                </w:r>
              </w:p>
            </w:tc>
            <w:tc>
              <w:tcPr>
                <w:tcW w:w="287" w:type="pct"/>
                <w:shd w:val="clear" w:color="auto" w:fill="FFFFFF" w:themeFill="background2"/>
                <w:vAlign w:val="center"/>
              </w:tcPr>
              <w:p w14:paraId="7142C68F" w14:textId="05D45788"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10</w:t>
                </w:r>
                <w:r w:rsidR="00854FE3">
                  <w:rPr>
                    <w:rFonts w:cs="Segoe UI"/>
                    <w:sz w:val="14"/>
                    <w:lang w:eastAsia="it-IT"/>
                  </w:rPr>
                  <w:t>.</w:t>
                </w:r>
                <w:r w:rsidRPr="000F057A">
                  <w:rPr>
                    <w:rFonts w:cs="Segoe UI"/>
                    <w:sz w:val="14"/>
                    <w:lang w:eastAsia="it-IT"/>
                  </w:rPr>
                  <w:t>75%</w:t>
                </w:r>
              </w:p>
            </w:tc>
            <w:tc>
              <w:tcPr>
                <w:tcW w:w="287" w:type="pct"/>
                <w:shd w:val="clear" w:color="auto" w:fill="FFFFFF" w:themeFill="background2"/>
                <w:vAlign w:val="center"/>
              </w:tcPr>
              <w:p w14:paraId="29C8497F" w14:textId="1D7AC12B"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9</w:t>
                </w:r>
                <w:r w:rsidR="00854FE3">
                  <w:rPr>
                    <w:rFonts w:cs="Segoe UI"/>
                    <w:sz w:val="14"/>
                    <w:lang w:eastAsia="it-IT"/>
                  </w:rPr>
                  <w:t>.</w:t>
                </w:r>
                <w:r w:rsidRPr="000F057A">
                  <w:rPr>
                    <w:rFonts w:cs="Segoe UI"/>
                    <w:sz w:val="14"/>
                    <w:lang w:eastAsia="it-IT"/>
                  </w:rPr>
                  <w:t>10%</w:t>
                </w:r>
              </w:p>
            </w:tc>
            <w:tc>
              <w:tcPr>
                <w:tcW w:w="287" w:type="pct"/>
                <w:shd w:val="clear" w:color="auto" w:fill="FFFFFF" w:themeFill="background2"/>
                <w:vAlign w:val="center"/>
              </w:tcPr>
              <w:p w14:paraId="03B85632" w14:textId="0EB79B5E"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9</w:t>
                </w:r>
                <w:r w:rsidR="00854FE3">
                  <w:rPr>
                    <w:rFonts w:cs="Segoe UI"/>
                    <w:sz w:val="14"/>
                    <w:lang w:eastAsia="it-IT"/>
                  </w:rPr>
                  <w:t>.</w:t>
                </w:r>
                <w:r w:rsidRPr="000F057A">
                  <w:rPr>
                    <w:rFonts w:cs="Segoe UI"/>
                    <w:sz w:val="14"/>
                    <w:lang w:eastAsia="it-IT"/>
                  </w:rPr>
                  <w:t>11%</w:t>
                </w:r>
              </w:p>
            </w:tc>
            <w:tc>
              <w:tcPr>
                <w:tcW w:w="287" w:type="pct"/>
                <w:shd w:val="clear" w:color="auto" w:fill="FFFFFF" w:themeFill="background2"/>
                <w:vAlign w:val="center"/>
              </w:tcPr>
              <w:p w14:paraId="51CF7376" w14:textId="2F7B5638"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9</w:t>
                </w:r>
                <w:r w:rsidR="00854FE3">
                  <w:rPr>
                    <w:rFonts w:cs="Segoe UI"/>
                    <w:sz w:val="14"/>
                    <w:lang w:eastAsia="it-IT"/>
                  </w:rPr>
                  <w:t>.</w:t>
                </w:r>
                <w:r w:rsidRPr="000F057A">
                  <w:rPr>
                    <w:rFonts w:cs="Segoe UI"/>
                    <w:sz w:val="14"/>
                    <w:lang w:eastAsia="it-IT"/>
                  </w:rPr>
                  <w:t>42%</w:t>
                </w:r>
              </w:p>
            </w:tc>
            <w:tc>
              <w:tcPr>
                <w:tcW w:w="287" w:type="pct"/>
                <w:shd w:val="clear" w:color="auto" w:fill="FFFFFF" w:themeFill="background2"/>
                <w:vAlign w:val="center"/>
              </w:tcPr>
              <w:p w14:paraId="37EFA83D" w14:textId="17A79C05"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12</w:t>
                </w:r>
                <w:r w:rsidR="00854FE3">
                  <w:rPr>
                    <w:rFonts w:cs="Segoe UI"/>
                    <w:sz w:val="14"/>
                    <w:lang w:eastAsia="it-IT"/>
                  </w:rPr>
                  <w:t>.</w:t>
                </w:r>
                <w:r w:rsidRPr="000F057A">
                  <w:rPr>
                    <w:rFonts w:cs="Segoe UI"/>
                    <w:sz w:val="14"/>
                    <w:lang w:eastAsia="it-IT"/>
                  </w:rPr>
                  <w:t>56%</w:t>
                </w:r>
              </w:p>
            </w:tc>
            <w:tc>
              <w:tcPr>
                <w:tcW w:w="287" w:type="pct"/>
                <w:shd w:val="clear" w:color="auto" w:fill="FFFFFF" w:themeFill="background2"/>
                <w:vAlign w:val="center"/>
              </w:tcPr>
              <w:p w14:paraId="0016088D" w14:textId="22C9B24F"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9</w:t>
                </w:r>
                <w:r w:rsidR="00854FE3">
                  <w:rPr>
                    <w:rFonts w:cs="Segoe UI"/>
                    <w:sz w:val="14"/>
                    <w:lang w:eastAsia="it-IT"/>
                  </w:rPr>
                  <w:t>.</w:t>
                </w:r>
                <w:r w:rsidRPr="000F057A">
                  <w:rPr>
                    <w:rFonts w:cs="Segoe UI"/>
                    <w:sz w:val="14"/>
                    <w:lang w:eastAsia="it-IT"/>
                  </w:rPr>
                  <w:t>50%</w:t>
                </w:r>
              </w:p>
            </w:tc>
            <w:tc>
              <w:tcPr>
                <w:tcW w:w="287" w:type="pct"/>
                <w:shd w:val="clear" w:color="auto" w:fill="FFFFFF" w:themeFill="background2"/>
                <w:vAlign w:val="center"/>
              </w:tcPr>
              <w:p w14:paraId="6852BB46" w14:textId="20097F75" w:rsidR="003A089A" w:rsidRPr="000F057A" w:rsidRDefault="003A089A" w:rsidP="007D5998">
                <w:pPr>
                  <w:pStyle w:val="TableTextLeft"/>
                  <w:spacing w:before="0" w:after="0"/>
                  <w:jc w:val="center"/>
                  <w:rPr>
                    <w:rFonts w:cs="Segoe UI"/>
                    <w:sz w:val="14"/>
                    <w:lang w:eastAsia="it-IT"/>
                  </w:rPr>
                </w:pPr>
                <w:r w:rsidRPr="000F057A">
                  <w:rPr>
                    <w:rFonts w:cs="Segoe UI"/>
                    <w:sz w:val="14"/>
                    <w:lang w:eastAsia="it-IT"/>
                  </w:rPr>
                  <w:t>10</w:t>
                </w:r>
                <w:r w:rsidR="00854FE3">
                  <w:rPr>
                    <w:rFonts w:cs="Segoe UI"/>
                    <w:sz w:val="14"/>
                    <w:lang w:eastAsia="it-IT"/>
                  </w:rPr>
                  <w:t>.</w:t>
                </w:r>
                <w:r w:rsidRPr="000F057A">
                  <w:rPr>
                    <w:rFonts w:cs="Segoe UI"/>
                    <w:sz w:val="14"/>
                    <w:lang w:eastAsia="it-IT"/>
                  </w:rPr>
                  <w:t>62%</w:t>
                </w:r>
              </w:p>
            </w:tc>
            <w:tc>
              <w:tcPr>
                <w:tcW w:w="287" w:type="pct"/>
                <w:shd w:val="clear" w:color="auto" w:fill="FFFFFF" w:themeFill="background2"/>
                <w:vAlign w:val="center"/>
              </w:tcPr>
              <w:p w14:paraId="48E75328" w14:textId="626038B8" w:rsidR="003A089A" w:rsidRPr="00037678" w:rsidRDefault="003A089A" w:rsidP="007D5998">
                <w:pPr>
                  <w:pStyle w:val="TableTextLeft"/>
                  <w:spacing w:before="0" w:after="0"/>
                  <w:jc w:val="center"/>
                  <w:rPr>
                    <w:rFonts w:cs="Segoe UI"/>
                    <w:sz w:val="14"/>
                    <w:lang w:eastAsia="it-IT"/>
                  </w:rPr>
                </w:pPr>
                <w:r w:rsidRPr="00037678">
                  <w:rPr>
                    <w:rFonts w:cs="Segoe UI"/>
                    <w:sz w:val="14"/>
                    <w:lang w:eastAsia="it-IT"/>
                  </w:rPr>
                  <w:t>11</w:t>
                </w:r>
                <w:r w:rsidR="00854FE3">
                  <w:rPr>
                    <w:rFonts w:cs="Segoe UI"/>
                    <w:sz w:val="14"/>
                    <w:lang w:eastAsia="it-IT"/>
                  </w:rPr>
                  <w:t>.</w:t>
                </w:r>
                <w:r w:rsidRPr="00037678">
                  <w:rPr>
                    <w:rFonts w:cs="Segoe UI"/>
                    <w:sz w:val="14"/>
                    <w:lang w:eastAsia="it-IT"/>
                  </w:rPr>
                  <w:t>36%</w:t>
                </w:r>
              </w:p>
            </w:tc>
            <w:tc>
              <w:tcPr>
                <w:tcW w:w="287" w:type="pct"/>
                <w:shd w:val="clear" w:color="auto" w:fill="FFFFFF" w:themeFill="background2"/>
                <w:vAlign w:val="center"/>
              </w:tcPr>
              <w:p w14:paraId="00972D17" w14:textId="07F8DCCB" w:rsidR="003A089A" w:rsidRPr="003A089A" w:rsidRDefault="003A089A" w:rsidP="007D5998">
                <w:pPr>
                  <w:pStyle w:val="TableTextLeft"/>
                  <w:spacing w:before="0" w:after="0"/>
                  <w:jc w:val="center"/>
                  <w:rPr>
                    <w:rFonts w:cs="Segoe UI"/>
                    <w:b/>
                    <w:bCs/>
                    <w:sz w:val="14"/>
                    <w:lang w:eastAsia="it-IT"/>
                  </w:rPr>
                </w:pPr>
                <w:r w:rsidRPr="003A089A">
                  <w:rPr>
                    <w:rFonts w:cs="Segoe UI"/>
                    <w:b/>
                    <w:bCs/>
                    <w:sz w:val="14"/>
                    <w:lang w:eastAsia="it-IT"/>
                  </w:rPr>
                  <w:t>9</w:t>
                </w:r>
                <w:r w:rsidR="00854FE3">
                  <w:rPr>
                    <w:rFonts w:cs="Segoe UI"/>
                    <w:b/>
                    <w:bCs/>
                    <w:sz w:val="14"/>
                    <w:lang w:eastAsia="it-IT"/>
                  </w:rPr>
                  <w:t>.</w:t>
                </w:r>
                <w:r w:rsidRPr="003A089A">
                  <w:rPr>
                    <w:rFonts w:cs="Segoe UI"/>
                    <w:b/>
                    <w:bCs/>
                    <w:sz w:val="14"/>
                    <w:lang w:eastAsia="it-IT"/>
                  </w:rPr>
                  <w:t>66%</w:t>
                </w:r>
              </w:p>
            </w:tc>
          </w:tr>
          <w:tr w:rsidR="00A42890" w:rsidRPr="003A089A" w14:paraId="2FA8EB43" w14:textId="2FC76C6D" w:rsidTr="00A875C2">
            <w:trPr>
              <w:trHeight w:val="283"/>
            </w:trPr>
            <w:tc>
              <w:tcPr>
                <w:tcW w:w="341" w:type="pct"/>
                <w:shd w:val="clear" w:color="auto" w:fill="FFFFFF" w:themeFill="background2"/>
                <w:tcMar>
                  <w:top w:w="60" w:type="dxa"/>
                  <w:left w:w="114" w:type="dxa"/>
                  <w:bottom w:w="60" w:type="dxa"/>
                  <w:right w:w="114" w:type="dxa"/>
                </w:tcMar>
                <w:vAlign w:val="center"/>
              </w:tcPr>
              <w:p w14:paraId="541431CB" w14:textId="3D3411DC" w:rsidR="00E51AEC" w:rsidRPr="000F057A" w:rsidRDefault="00E51AEC" w:rsidP="00A42890">
                <w:pPr>
                  <w:pStyle w:val="TableTextLeft"/>
                  <w:spacing w:before="0" w:after="0"/>
                  <w:rPr>
                    <w:rFonts w:cs="Segoe UI"/>
                    <w:b/>
                    <w:bCs/>
                    <w:sz w:val="14"/>
                    <w:lang w:eastAsia="it-IT"/>
                  </w:rPr>
                </w:pPr>
                <w:r w:rsidRPr="000F057A">
                  <w:rPr>
                    <w:rFonts w:cs="Segoe UI"/>
                    <w:b/>
                    <w:bCs/>
                    <w:sz w:val="14"/>
                    <w:lang w:eastAsia="it-IT"/>
                  </w:rPr>
                  <w:t>B1.1</w:t>
                </w:r>
              </w:p>
            </w:tc>
            <w:tc>
              <w:tcPr>
                <w:tcW w:w="321" w:type="pct"/>
                <w:shd w:val="clear" w:color="auto" w:fill="FFFFFF" w:themeFill="background2"/>
                <w:tcMar>
                  <w:top w:w="60" w:type="dxa"/>
                  <w:left w:w="114" w:type="dxa"/>
                  <w:bottom w:w="60" w:type="dxa"/>
                  <w:right w:w="114" w:type="dxa"/>
                </w:tcMar>
                <w:vAlign w:val="center"/>
              </w:tcPr>
              <w:p w14:paraId="25C72E4F" w14:textId="00DCBEE0" w:rsidR="00E51AEC" w:rsidRPr="002E1E6B" w:rsidRDefault="00E51AEC" w:rsidP="007D5998">
                <w:pPr>
                  <w:pStyle w:val="TableTextLeft"/>
                  <w:spacing w:before="0" w:after="0"/>
                  <w:jc w:val="center"/>
                  <w:rPr>
                    <w:rFonts w:cs="Segoe UI"/>
                    <w:sz w:val="14"/>
                    <w:lang w:eastAsia="it-IT"/>
                  </w:rPr>
                </w:pPr>
                <w:r w:rsidRPr="000F057A">
                  <w:rPr>
                    <w:rFonts w:cs="Segoe UI"/>
                    <w:sz w:val="14"/>
                    <w:lang w:eastAsia="it-IT"/>
                  </w:rPr>
                  <w:t>12</w:t>
                </w:r>
                <w:r w:rsidR="00854FE3">
                  <w:rPr>
                    <w:rFonts w:cs="Segoe UI"/>
                    <w:sz w:val="14"/>
                    <w:lang w:eastAsia="it-IT"/>
                  </w:rPr>
                  <w:t>.</w:t>
                </w:r>
                <w:r w:rsidRPr="000F057A">
                  <w:rPr>
                    <w:rFonts w:cs="Segoe UI"/>
                    <w:sz w:val="14"/>
                    <w:lang w:eastAsia="it-IT"/>
                  </w:rPr>
                  <w:t>03%</w:t>
                </w:r>
              </w:p>
            </w:tc>
            <w:tc>
              <w:tcPr>
                <w:tcW w:w="321" w:type="pct"/>
                <w:shd w:val="clear" w:color="auto" w:fill="FFFFFF" w:themeFill="background2"/>
                <w:tcMar>
                  <w:top w:w="60" w:type="dxa"/>
                  <w:left w:w="114" w:type="dxa"/>
                  <w:bottom w:w="60" w:type="dxa"/>
                  <w:right w:w="114" w:type="dxa"/>
                </w:tcMar>
                <w:vAlign w:val="center"/>
              </w:tcPr>
              <w:p w14:paraId="65486650" w14:textId="400A661C" w:rsidR="00E51AEC" w:rsidRPr="002E1E6B" w:rsidRDefault="00E51AEC" w:rsidP="007D5998">
                <w:pPr>
                  <w:pStyle w:val="TableTextLeft"/>
                  <w:spacing w:before="0" w:after="0"/>
                  <w:jc w:val="center"/>
                  <w:rPr>
                    <w:rFonts w:cs="Segoe UI"/>
                    <w:sz w:val="14"/>
                    <w:lang w:eastAsia="it-IT"/>
                  </w:rPr>
                </w:pPr>
                <w:r w:rsidRPr="000F057A">
                  <w:rPr>
                    <w:rFonts w:cs="Segoe UI"/>
                    <w:sz w:val="14"/>
                    <w:lang w:eastAsia="it-IT"/>
                  </w:rPr>
                  <w:t>13</w:t>
                </w:r>
                <w:r w:rsidR="00854FE3">
                  <w:rPr>
                    <w:rFonts w:cs="Segoe UI"/>
                    <w:sz w:val="14"/>
                    <w:lang w:eastAsia="it-IT"/>
                  </w:rPr>
                  <w:t>.</w:t>
                </w:r>
                <w:r w:rsidRPr="000F057A">
                  <w:rPr>
                    <w:rFonts w:cs="Segoe UI"/>
                    <w:sz w:val="14"/>
                    <w:lang w:eastAsia="it-IT"/>
                  </w:rPr>
                  <w:t>00%</w:t>
                </w:r>
              </w:p>
            </w:tc>
            <w:tc>
              <w:tcPr>
                <w:tcW w:w="287" w:type="pct"/>
                <w:shd w:val="clear" w:color="auto" w:fill="FFFFFF" w:themeFill="background2"/>
                <w:vAlign w:val="center"/>
              </w:tcPr>
              <w:p w14:paraId="2589EE32" w14:textId="093DB2B1" w:rsidR="00E51AEC" w:rsidRPr="002E1E6B" w:rsidRDefault="00E51AEC" w:rsidP="007D5998">
                <w:pPr>
                  <w:pStyle w:val="TableTextLeft"/>
                  <w:spacing w:before="0" w:after="0"/>
                  <w:jc w:val="center"/>
                  <w:rPr>
                    <w:rFonts w:cs="Segoe UI"/>
                    <w:sz w:val="14"/>
                    <w:lang w:eastAsia="it-IT"/>
                  </w:rPr>
                </w:pPr>
                <w:r w:rsidRPr="000F057A">
                  <w:rPr>
                    <w:rFonts w:cs="Segoe UI"/>
                    <w:sz w:val="14"/>
                    <w:lang w:eastAsia="it-IT"/>
                  </w:rPr>
                  <w:t>13</w:t>
                </w:r>
                <w:r w:rsidR="00854FE3">
                  <w:rPr>
                    <w:rFonts w:cs="Segoe UI"/>
                    <w:sz w:val="14"/>
                    <w:lang w:eastAsia="it-IT"/>
                  </w:rPr>
                  <w:t>.</w:t>
                </w:r>
                <w:r w:rsidRPr="000F057A">
                  <w:rPr>
                    <w:rFonts w:cs="Segoe UI"/>
                    <w:sz w:val="14"/>
                    <w:lang w:eastAsia="it-IT"/>
                  </w:rPr>
                  <w:t>37%</w:t>
                </w:r>
              </w:p>
            </w:tc>
            <w:tc>
              <w:tcPr>
                <w:tcW w:w="287" w:type="pct"/>
                <w:shd w:val="clear" w:color="auto" w:fill="FFFFFF" w:themeFill="background2"/>
                <w:vAlign w:val="center"/>
              </w:tcPr>
              <w:p w14:paraId="3783B38E" w14:textId="68E30222"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23</w:t>
                </w:r>
                <w:r w:rsidR="00854FE3">
                  <w:rPr>
                    <w:rFonts w:cs="Segoe UI"/>
                    <w:sz w:val="14"/>
                    <w:lang w:eastAsia="it-IT"/>
                  </w:rPr>
                  <w:t>.</w:t>
                </w:r>
                <w:r w:rsidRPr="000F057A">
                  <w:rPr>
                    <w:rFonts w:cs="Segoe UI"/>
                    <w:sz w:val="14"/>
                    <w:lang w:eastAsia="it-IT"/>
                  </w:rPr>
                  <w:t>10%</w:t>
                </w:r>
              </w:p>
            </w:tc>
            <w:tc>
              <w:tcPr>
                <w:tcW w:w="287" w:type="pct"/>
                <w:shd w:val="clear" w:color="auto" w:fill="FFFFFF" w:themeFill="background2"/>
                <w:vAlign w:val="center"/>
              </w:tcPr>
              <w:p w14:paraId="528C1BB0" w14:textId="0D524D6C"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23</w:t>
                </w:r>
                <w:r w:rsidR="00854FE3">
                  <w:rPr>
                    <w:rFonts w:cs="Segoe UI"/>
                    <w:sz w:val="14"/>
                    <w:lang w:eastAsia="it-IT"/>
                  </w:rPr>
                  <w:t>.</w:t>
                </w:r>
                <w:r w:rsidRPr="000F057A">
                  <w:rPr>
                    <w:rFonts w:cs="Segoe UI"/>
                    <w:sz w:val="14"/>
                    <w:lang w:eastAsia="it-IT"/>
                  </w:rPr>
                  <w:t>67%</w:t>
                </w:r>
              </w:p>
            </w:tc>
            <w:tc>
              <w:tcPr>
                <w:tcW w:w="287" w:type="pct"/>
                <w:shd w:val="clear" w:color="auto" w:fill="FFFFFF" w:themeFill="background2"/>
                <w:vAlign w:val="center"/>
              </w:tcPr>
              <w:p w14:paraId="640F0541" w14:textId="69B52645"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19</w:t>
                </w:r>
                <w:r w:rsidR="00854FE3">
                  <w:rPr>
                    <w:rFonts w:cs="Segoe UI"/>
                    <w:sz w:val="14"/>
                    <w:lang w:eastAsia="it-IT"/>
                  </w:rPr>
                  <w:t>.</w:t>
                </w:r>
                <w:r w:rsidRPr="000F057A">
                  <w:rPr>
                    <w:rFonts w:cs="Segoe UI"/>
                    <w:sz w:val="14"/>
                    <w:lang w:eastAsia="it-IT"/>
                  </w:rPr>
                  <w:t>50%</w:t>
                </w:r>
              </w:p>
            </w:tc>
            <w:tc>
              <w:tcPr>
                <w:tcW w:w="287" w:type="pct"/>
                <w:shd w:val="clear" w:color="auto" w:fill="FFFFFF" w:themeFill="background2"/>
                <w:vAlign w:val="center"/>
              </w:tcPr>
              <w:p w14:paraId="2F49720B" w14:textId="7D3AF6F6"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16</w:t>
                </w:r>
                <w:r w:rsidR="00854FE3">
                  <w:rPr>
                    <w:rFonts w:cs="Segoe UI"/>
                    <w:sz w:val="14"/>
                    <w:lang w:eastAsia="it-IT"/>
                  </w:rPr>
                  <w:t>.</w:t>
                </w:r>
                <w:r w:rsidRPr="000F057A">
                  <w:rPr>
                    <w:rFonts w:cs="Segoe UI"/>
                    <w:sz w:val="14"/>
                    <w:lang w:eastAsia="it-IT"/>
                  </w:rPr>
                  <w:t>91%</w:t>
                </w:r>
              </w:p>
            </w:tc>
            <w:tc>
              <w:tcPr>
                <w:tcW w:w="287" w:type="pct"/>
                <w:shd w:val="clear" w:color="auto" w:fill="FFFFFF" w:themeFill="background2"/>
                <w:vAlign w:val="center"/>
              </w:tcPr>
              <w:p w14:paraId="59245768" w14:textId="497E1032"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17</w:t>
                </w:r>
                <w:r w:rsidR="00854FE3">
                  <w:rPr>
                    <w:rFonts w:cs="Segoe UI"/>
                    <w:sz w:val="14"/>
                    <w:lang w:eastAsia="it-IT"/>
                  </w:rPr>
                  <w:t>.</w:t>
                </w:r>
                <w:r w:rsidRPr="000F057A">
                  <w:rPr>
                    <w:rFonts w:cs="Segoe UI"/>
                    <w:sz w:val="14"/>
                    <w:lang w:eastAsia="it-IT"/>
                  </w:rPr>
                  <w:t>53%</w:t>
                </w:r>
              </w:p>
            </w:tc>
            <w:tc>
              <w:tcPr>
                <w:tcW w:w="287" w:type="pct"/>
                <w:shd w:val="clear" w:color="auto" w:fill="FFFFFF" w:themeFill="background2"/>
                <w:vAlign w:val="center"/>
              </w:tcPr>
              <w:p w14:paraId="623A140F" w14:textId="2F847AEC"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15</w:t>
                </w:r>
                <w:r w:rsidR="00854FE3">
                  <w:rPr>
                    <w:rFonts w:cs="Segoe UI"/>
                    <w:sz w:val="14"/>
                    <w:lang w:eastAsia="it-IT"/>
                  </w:rPr>
                  <w:t>.</w:t>
                </w:r>
                <w:r w:rsidRPr="000F057A">
                  <w:rPr>
                    <w:rFonts w:cs="Segoe UI"/>
                    <w:sz w:val="14"/>
                    <w:lang w:eastAsia="it-IT"/>
                  </w:rPr>
                  <w:t>27%</w:t>
                </w:r>
              </w:p>
            </w:tc>
            <w:tc>
              <w:tcPr>
                <w:tcW w:w="287" w:type="pct"/>
                <w:shd w:val="clear" w:color="auto" w:fill="FFFFFF" w:themeFill="background2"/>
                <w:vAlign w:val="center"/>
              </w:tcPr>
              <w:p w14:paraId="69207723" w14:textId="420FB5D0"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15</w:t>
                </w:r>
                <w:r w:rsidR="00854FE3">
                  <w:rPr>
                    <w:rFonts w:cs="Segoe UI"/>
                    <w:sz w:val="14"/>
                    <w:lang w:eastAsia="it-IT"/>
                  </w:rPr>
                  <w:t>.</w:t>
                </w:r>
                <w:r w:rsidRPr="000F057A">
                  <w:rPr>
                    <w:rFonts w:cs="Segoe UI"/>
                    <w:sz w:val="14"/>
                    <w:lang w:eastAsia="it-IT"/>
                  </w:rPr>
                  <w:t>34%</w:t>
                </w:r>
              </w:p>
            </w:tc>
            <w:tc>
              <w:tcPr>
                <w:tcW w:w="287" w:type="pct"/>
                <w:shd w:val="clear" w:color="auto" w:fill="FFFFFF" w:themeFill="background2"/>
                <w:vAlign w:val="center"/>
              </w:tcPr>
              <w:p w14:paraId="1D8764F1" w14:textId="0674BC15"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18</w:t>
                </w:r>
                <w:r w:rsidR="00854FE3">
                  <w:rPr>
                    <w:rFonts w:cs="Segoe UI"/>
                    <w:sz w:val="14"/>
                    <w:lang w:eastAsia="it-IT"/>
                  </w:rPr>
                  <w:t>.</w:t>
                </w:r>
                <w:r w:rsidRPr="000F057A">
                  <w:rPr>
                    <w:rFonts w:cs="Segoe UI"/>
                    <w:sz w:val="14"/>
                    <w:lang w:eastAsia="it-IT"/>
                  </w:rPr>
                  <w:t>28%</w:t>
                </w:r>
              </w:p>
            </w:tc>
            <w:tc>
              <w:tcPr>
                <w:tcW w:w="287" w:type="pct"/>
                <w:shd w:val="clear" w:color="auto" w:fill="FFFFFF" w:themeFill="background2"/>
                <w:vAlign w:val="center"/>
              </w:tcPr>
              <w:p w14:paraId="61DF0845" w14:textId="4FA1814A"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19</w:t>
                </w:r>
                <w:r w:rsidR="00854FE3">
                  <w:rPr>
                    <w:rFonts w:cs="Segoe UI"/>
                    <w:sz w:val="14"/>
                    <w:lang w:eastAsia="it-IT"/>
                  </w:rPr>
                  <w:t>.</w:t>
                </w:r>
                <w:r w:rsidRPr="000F057A">
                  <w:rPr>
                    <w:rFonts w:cs="Segoe UI"/>
                    <w:sz w:val="14"/>
                    <w:lang w:eastAsia="it-IT"/>
                  </w:rPr>
                  <w:t>42%</w:t>
                </w:r>
              </w:p>
            </w:tc>
            <w:tc>
              <w:tcPr>
                <w:tcW w:w="287" w:type="pct"/>
                <w:shd w:val="clear" w:color="auto" w:fill="FFFFFF" w:themeFill="background2"/>
                <w:vAlign w:val="center"/>
              </w:tcPr>
              <w:p w14:paraId="444D29D7" w14:textId="01B401D0"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14</w:t>
                </w:r>
                <w:r w:rsidR="00854FE3">
                  <w:rPr>
                    <w:rFonts w:cs="Segoe UI"/>
                    <w:sz w:val="14"/>
                    <w:lang w:eastAsia="it-IT"/>
                  </w:rPr>
                  <w:t>.</w:t>
                </w:r>
                <w:r w:rsidRPr="000F057A">
                  <w:rPr>
                    <w:rFonts w:cs="Segoe UI"/>
                    <w:sz w:val="14"/>
                    <w:lang w:eastAsia="it-IT"/>
                  </w:rPr>
                  <w:t>84%</w:t>
                </w:r>
              </w:p>
            </w:tc>
            <w:tc>
              <w:tcPr>
                <w:tcW w:w="287" w:type="pct"/>
                <w:shd w:val="clear" w:color="auto" w:fill="FFFFFF" w:themeFill="background2"/>
                <w:vAlign w:val="center"/>
              </w:tcPr>
              <w:p w14:paraId="5F4AF0B9" w14:textId="78B6E274"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13</w:t>
                </w:r>
                <w:r w:rsidR="00854FE3">
                  <w:rPr>
                    <w:rFonts w:cs="Segoe UI"/>
                    <w:sz w:val="14"/>
                    <w:lang w:eastAsia="it-IT"/>
                  </w:rPr>
                  <w:t>.</w:t>
                </w:r>
                <w:r w:rsidRPr="000F057A">
                  <w:rPr>
                    <w:rFonts w:cs="Segoe UI"/>
                    <w:sz w:val="14"/>
                    <w:lang w:eastAsia="it-IT"/>
                  </w:rPr>
                  <w:t>58%</w:t>
                </w:r>
              </w:p>
            </w:tc>
            <w:tc>
              <w:tcPr>
                <w:tcW w:w="287" w:type="pct"/>
                <w:shd w:val="clear" w:color="auto" w:fill="FFFFFF" w:themeFill="background2"/>
                <w:vAlign w:val="center"/>
              </w:tcPr>
              <w:p w14:paraId="5901DE52" w14:textId="60945F90" w:rsidR="00E51AEC" w:rsidRPr="00037678" w:rsidRDefault="00E51AEC" w:rsidP="007D5998">
                <w:pPr>
                  <w:pStyle w:val="TableTextLeft"/>
                  <w:spacing w:before="0" w:after="0"/>
                  <w:jc w:val="center"/>
                  <w:rPr>
                    <w:rFonts w:cs="Segoe UI"/>
                    <w:sz w:val="14"/>
                    <w:lang w:eastAsia="it-IT"/>
                  </w:rPr>
                </w:pPr>
                <w:r w:rsidRPr="00037678">
                  <w:rPr>
                    <w:rFonts w:cs="Segoe UI"/>
                    <w:sz w:val="14"/>
                    <w:lang w:eastAsia="it-IT"/>
                  </w:rPr>
                  <w:t>13</w:t>
                </w:r>
                <w:r w:rsidR="00854FE3">
                  <w:rPr>
                    <w:rFonts w:cs="Segoe UI"/>
                    <w:sz w:val="14"/>
                    <w:lang w:eastAsia="it-IT"/>
                  </w:rPr>
                  <w:t>.</w:t>
                </w:r>
                <w:r w:rsidRPr="00037678">
                  <w:rPr>
                    <w:rFonts w:cs="Segoe UI"/>
                    <w:sz w:val="14"/>
                    <w:lang w:eastAsia="it-IT"/>
                  </w:rPr>
                  <w:t>01%</w:t>
                </w:r>
              </w:p>
            </w:tc>
            <w:tc>
              <w:tcPr>
                <w:tcW w:w="287" w:type="pct"/>
                <w:shd w:val="clear" w:color="auto" w:fill="FFFFFF" w:themeFill="background2"/>
                <w:vAlign w:val="center"/>
              </w:tcPr>
              <w:p w14:paraId="10976CB7" w14:textId="5281973A" w:rsidR="00E51AEC" w:rsidRPr="003A089A" w:rsidRDefault="00E51AEC" w:rsidP="007D5998">
                <w:pPr>
                  <w:pStyle w:val="TableTextLeft"/>
                  <w:spacing w:before="0" w:after="0"/>
                  <w:jc w:val="center"/>
                  <w:rPr>
                    <w:rFonts w:cs="Segoe UI"/>
                    <w:b/>
                    <w:bCs/>
                    <w:sz w:val="14"/>
                    <w:lang w:eastAsia="it-IT"/>
                  </w:rPr>
                </w:pPr>
                <w:r w:rsidRPr="003A089A">
                  <w:rPr>
                    <w:rFonts w:cs="Segoe UI"/>
                    <w:b/>
                    <w:bCs/>
                    <w:sz w:val="14"/>
                    <w:lang w:eastAsia="it-IT"/>
                  </w:rPr>
                  <w:t>15</w:t>
                </w:r>
                <w:r w:rsidR="00854FE3">
                  <w:rPr>
                    <w:rFonts w:cs="Segoe UI"/>
                    <w:b/>
                    <w:bCs/>
                    <w:sz w:val="14"/>
                    <w:lang w:eastAsia="it-IT"/>
                  </w:rPr>
                  <w:t>.</w:t>
                </w:r>
                <w:r w:rsidRPr="003A089A">
                  <w:rPr>
                    <w:rFonts w:cs="Segoe UI"/>
                    <w:b/>
                    <w:bCs/>
                    <w:sz w:val="14"/>
                    <w:lang w:eastAsia="it-IT"/>
                  </w:rPr>
                  <w:t>88%</w:t>
                </w:r>
              </w:p>
            </w:tc>
          </w:tr>
          <w:tr w:rsidR="00A42890" w:rsidRPr="003A089A" w14:paraId="7A71BF33" w14:textId="2EDB6269" w:rsidTr="00A875C2">
            <w:trPr>
              <w:trHeight w:val="283"/>
            </w:trPr>
            <w:tc>
              <w:tcPr>
                <w:tcW w:w="341" w:type="pct"/>
                <w:shd w:val="clear" w:color="auto" w:fill="FFFFFF" w:themeFill="background2"/>
                <w:tcMar>
                  <w:top w:w="60" w:type="dxa"/>
                  <w:left w:w="114" w:type="dxa"/>
                  <w:bottom w:w="60" w:type="dxa"/>
                  <w:right w:w="114" w:type="dxa"/>
                </w:tcMar>
                <w:vAlign w:val="center"/>
              </w:tcPr>
              <w:p w14:paraId="7E5625F4" w14:textId="357FEA1D" w:rsidR="00E51AEC" w:rsidRPr="000F057A" w:rsidRDefault="00E51AEC" w:rsidP="00A42890">
                <w:pPr>
                  <w:pStyle w:val="TableTextLeft"/>
                  <w:spacing w:before="0" w:after="0"/>
                  <w:rPr>
                    <w:rFonts w:cs="Segoe UI"/>
                    <w:b/>
                    <w:bCs/>
                    <w:sz w:val="14"/>
                    <w:lang w:eastAsia="it-IT"/>
                  </w:rPr>
                </w:pPr>
                <w:r w:rsidRPr="000F057A">
                  <w:rPr>
                    <w:rFonts w:cs="Segoe UI"/>
                    <w:b/>
                    <w:bCs/>
                    <w:sz w:val="14"/>
                    <w:lang w:eastAsia="it-IT"/>
                  </w:rPr>
                  <w:t>B1.2</w:t>
                </w:r>
              </w:p>
            </w:tc>
            <w:tc>
              <w:tcPr>
                <w:tcW w:w="321" w:type="pct"/>
                <w:shd w:val="clear" w:color="auto" w:fill="FFFFFF" w:themeFill="background2"/>
                <w:tcMar>
                  <w:top w:w="60" w:type="dxa"/>
                  <w:left w:w="114" w:type="dxa"/>
                  <w:bottom w:w="60" w:type="dxa"/>
                  <w:right w:w="114" w:type="dxa"/>
                </w:tcMar>
                <w:vAlign w:val="center"/>
              </w:tcPr>
              <w:p w14:paraId="49FAFFD2" w14:textId="438278C1" w:rsidR="00E51AEC" w:rsidRPr="002E1E6B" w:rsidRDefault="00E51AEC" w:rsidP="007D5998">
                <w:pPr>
                  <w:pStyle w:val="TableTextLeft"/>
                  <w:spacing w:before="0" w:after="0"/>
                  <w:jc w:val="center"/>
                  <w:rPr>
                    <w:rFonts w:cs="Segoe UI"/>
                    <w:sz w:val="14"/>
                    <w:lang w:eastAsia="it-IT"/>
                  </w:rPr>
                </w:pPr>
                <w:r w:rsidRPr="000F057A">
                  <w:rPr>
                    <w:rFonts w:cs="Segoe UI"/>
                    <w:sz w:val="14"/>
                    <w:lang w:eastAsia="it-IT"/>
                  </w:rPr>
                  <w:t>16</w:t>
                </w:r>
                <w:r w:rsidR="00854FE3">
                  <w:rPr>
                    <w:rFonts w:cs="Segoe UI"/>
                    <w:sz w:val="14"/>
                    <w:lang w:eastAsia="it-IT"/>
                  </w:rPr>
                  <w:t>.</w:t>
                </w:r>
                <w:r w:rsidRPr="000F057A">
                  <w:rPr>
                    <w:rFonts w:cs="Segoe UI"/>
                    <w:sz w:val="14"/>
                    <w:lang w:eastAsia="it-IT"/>
                  </w:rPr>
                  <w:t>87%</w:t>
                </w:r>
              </w:p>
            </w:tc>
            <w:tc>
              <w:tcPr>
                <w:tcW w:w="321" w:type="pct"/>
                <w:shd w:val="clear" w:color="auto" w:fill="FFFFFF" w:themeFill="background2"/>
                <w:tcMar>
                  <w:top w:w="60" w:type="dxa"/>
                  <w:left w:w="114" w:type="dxa"/>
                  <w:bottom w:w="60" w:type="dxa"/>
                  <w:right w:w="114" w:type="dxa"/>
                </w:tcMar>
                <w:vAlign w:val="center"/>
              </w:tcPr>
              <w:p w14:paraId="3D34F0A2" w14:textId="081D1165" w:rsidR="00E51AEC" w:rsidRPr="002E1E6B" w:rsidRDefault="00E51AEC" w:rsidP="007D5998">
                <w:pPr>
                  <w:pStyle w:val="TableTextLeft"/>
                  <w:spacing w:before="0" w:after="0"/>
                  <w:jc w:val="center"/>
                  <w:rPr>
                    <w:rFonts w:cs="Segoe UI"/>
                    <w:sz w:val="14"/>
                    <w:lang w:eastAsia="it-IT"/>
                  </w:rPr>
                </w:pPr>
                <w:r w:rsidRPr="000F057A">
                  <w:rPr>
                    <w:rFonts w:cs="Segoe UI"/>
                    <w:sz w:val="14"/>
                    <w:lang w:eastAsia="it-IT"/>
                  </w:rPr>
                  <w:t>19</w:t>
                </w:r>
                <w:r w:rsidR="00854FE3">
                  <w:rPr>
                    <w:rFonts w:cs="Segoe UI"/>
                    <w:sz w:val="14"/>
                    <w:lang w:eastAsia="it-IT"/>
                  </w:rPr>
                  <w:t>.</w:t>
                </w:r>
                <w:r w:rsidRPr="000F057A">
                  <w:rPr>
                    <w:rFonts w:cs="Segoe UI"/>
                    <w:sz w:val="14"/>
                    <w:lang w:eastAsia="it-IT"/>
                  </w:rPr>
                  <w:t>38%</w:t>
                </w:r>
              </w:p>
            </w:tc>
            <w:tc>
              <w:tcPr>
                <w:tcW w:w="287" w:type="pct"/>
                <w:shd w:val="clear" w:color="auto" w:fill="FFFFFF" w:themeFill="background2"/>
                <w:vAlign w:val="center"/>
              </w:tcPr>
              <w:p w14:paraId="33004C6C" w14:textId="198CD7B6" w:rsidR="00E51AEC" w:rsidRPr="002E1E6B" w:rsidRDefault="00E51AEC" w:rsidP="007D5998">
                <w:pPr>
                  <w:pStyle w:val="TableTextLeft"/>
                  <w:spacing w:before="0" w:after="0"/>
                  <w:jc w:val="center"/>
                  <w:rPr>
                    <w:rFonts w:cs="Segoe UI"/>
                    <w:sz w:val="14"/>
                    <w:lang w:eastAsia="it-IT"/>
                  </w:rPr>
                </w:pPr>
                <w:r w:rsidRPr="000F057A">
                  <w:rPr>
                    <w:rFonts w:cs="Segoe UI"/>
                    <w:sz w:val="14"/>
                    <w:lang w:eastAsia="it-IT"/>
                  </w:rPr>
                  <w:t>21</w:t>
                </w:r>
                <w:r w:rsidR="00854FE3">
                  <w:rPr>
                    <w:rFonts w:cs="Segoe UI"/>
                    <w:sz w:val="14"/>
                    <w:lang w:eastAsia="it-IT"/>
                  </w:rPr>
                  <w:t>.</w:t>
                </w:r>
                <w:r w:rsidRPr="000F057A">
                  <w:rPr>
                    <w:rFonts w:cs="Segoe UI"/>
                    <w:sz w:val="14"/>
                    <w:lang w:eastAsia="it-IT"/>
                  </w:rPr>
                  <w:t>79%</w:t>
                </w:r>
              </w:p>
            </w:tc>
            <w:tc>
              <w:tcPr>
                <w:tcW w:w="287" w:type="pct"/>
                <w:shd w:val="clear" w:color="auto" w:fill="FFFFFF" w:themeFill="background2"/>
                <w:vAlign w:val="center"/>
              </w:tcPr>
              <w:p w14:paraId="2D808F58" w14:textId="5A03277E"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14</w:t>
                </w:r>
                <w:r w:rsidR="00854FE3">
                  <w:rPr>
                    <w:rFonts w:cs="Segoe UI"/>
                    <w:sz w:val="14"/>
                    <w:lang w:eastAsia="it-IT"/>
                  </w:rPr>
                  <w:t>.</w:t>
                </w:r>
                <w:r w:rsidRPr="000F057A">
                  <w:rPr>
                    <w:rFonts w:cs="Segoe UI"/>
                    <w:sz w:val="14"/>
                    <w:lang w:eastAsia="it-IT"/>
                  </w:rPr>
                  <w:t>42%</w:t>
                </w:r>
              </w:p>
            </w:tc>
            <w:tc>
              <w:tcPr>
                <w:tcW w:w="287" w:type="pct"/>
                <w:shd w:val="clear" w:color="auto" w:fill="FFFFFF" w:themeFill="background2"/>
                <w:vAlign w:val="center"/>
              </w:tcPr>
              <w:p w14:paraId="38080114" w14:textId="4946B1F1"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15</w:t>
                </w:r>
                <w:r w:rsidR="00854FE3">
                  <w:rPr>
                    <w:rFonts w:cs="Segoe UI"/>
                    <w:sz w:val="14"/>
                    <w:lang w:eastAsia="it-IT"/>
                  </w:rPr>
                  <w:t>.</w:t>
                </w:r>
                <w:r w:rsidRPr="000F057A">
                  <w:rPr>
                    <w:rFonts w:cs="Segoe UI"/>
                    <w:sz w:val="14"/>
                    <w:lang w:eastAsia="it-IT"/>
                  </w:rPr>
                  <w:t>43%</w:t>
                </w:r>
              </w:p>
            </w:tc>
            <w:tc>
              <w:tcPr>
                <w:tcW w:w="287" w:type="pct"/>
                <w:shd w:val="clear" w:color="auto" w:fill="FFFFFF" w:themeFill="background2"/>
                <w:vAlign w:val="center"/>
              </w:tcPr>
              <w:p w14:paraId="261E3B80" w14:textId="09A93766"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19</w:t>
                </w:r>
                <w:r w:rsidR="00854FE3">
                  <w:rPr>
                    <w:rFonts w:cs="Segoe UI"/>
                    <w:sz w:val="14"/>
                    <w:lang w:eastAsia="it-IT"/>
                  </w:rPr>
                  <w:t>.</w:t>
                </w:r>
                <w:r w:rsidRPr="000F057A">
                  <w:rPr>
                    <w:rFonts w:cs="Segoe UI"/>
                    <w:sz w:val="14"/>
                    <w:lang w:eastAsia="it-IT"/>
                  </w:rPr>
                  <w:t>60%</w:t>
                </w:r>
              </w:p>
            </w:tc>
            <w:tc>
              <w:tcPr>
                <w:tcW w:w="287" w:type="pct"/>
                <w:shd w:val="clear" w:color="auto" w:fill="FFFFFF" w:themeFill="background2"/>
                <w:vAlign w:val="center"/>
              </w:tcPr>
              <w:p w14:paraId="70DD722B" w14:textId="2933622F"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20</w:t>
                </w:r>
                <w:r w:rsidR="00854FE3">
                  <w:rPr>
                    <w:rFonts w:cs="Segoe UI"/>
                    <w:sz w:val="14"/>
                    <w:lang w:eastAsia="it-IT"/>
                  </w:rPr>
                  <w:t>.</w:t>
                </w:r>
                <w:r w:rsidRPr="000F057A">
                  <w:rPr>
                    <w:rFonts w:cs="Segoe UI"/>
                    <w:sz w:val="14"/>
                    <w:lang w:eastAsia="it-IT"/>
                  </w:rPr>
                  <w:t>82%</w:t>
                </w:r>
              </w:p>
            </w:tc>
            <w:tc>
              <w:tcPr>
                <w:tcW w:w="287" w:type="pct"/>
                <w:shd w:val="clear" w:color="auto" w:fill="FFFFFF" w:themeFill="background2"/>
                <w:vAlign w:val="center"/>
              </w:tcPr>
              <w:p w14:paraId="38F3B52E" w14:textId="46CF23E9"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22</w:t>
                </w:r>
                <w:r w:rsidR="00854FE3">
                  <w:rPr>
                    <w:rFonts w:cs="Segoe UI"/>
                    <w:sz w:val="14"/>
                    <w:lang w:eastAsia="it-IT"/>
                  </w:rPr>
                  <w:t>.</w:t>
                </w:r>
                <w:r w:rsidRPr="000F057A">
                  <w:rPr>
                    <w:rFonts w:cs="Segoe UI"/>
                    <w:sz w:val="14"/>
                    <w:lang w:eastAsia="it-IT"/>
                  </w:rPr>
                  <w:t>96%</w:t>
                </w:r>
              </w:p>
            </w:tc>
            <w:tc>
              <w:tcPr>
                <w:tcW w:w="287" w:type="pct"/>
                <w:shd w:val="clear" w:color="auto" w:fill="FFFFFF" w:themeFill="background2"/>
                <w:vAlign w:val="center"/>
              </w:tcPr>
              <w:p w14:paraId="787A8385" w14:textId="361F094E"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21</w:t>
                </w:r>
                <w:r w:rsidR="00854FE3">
                  <w:rPr>
                    <w:rFonts w:cs="Segoe UI"/>
                    <w:sz w:val="14"/>
                    <w:lang w:eastAsia="it-IT"/>
                  </w:rPr>
                  <w:t>.</w:t>
                </w:r>
                <w:r w:rsidRPr="000F057A">
                  <w:rPr>
                    <w:rFonts w:cs="Segoe UI"/>
                    <w:sz w:val="14"/>
                    <w:lang w:eastAsia="it-IT"/>
                  </w:rPr>
                  <w:t>80%</w:t>
                </w:r>
              </w:p>
            </w:tc>
            <w:tc>
              <w:tcPr>
                <w:tcW w:w="287" w:type="pct"/>
                <w:shd w:val="clear" w:color="auto" w:fill="FFFFFF" w:themeFill="background2"/>
                <w:vAlign w:val="center"/>
              </w:tcPr>
              <w:p w14:paraId="0F146F0B" w14:textId="349F987D"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21</w:t>
                </w:r>
                <w:r w:rsidR="00854FE3">
                  <w:rPr>
                    <w:rFonts w:cs="Segoe UI"/>
                    <w:sz w:val="14"/>
                    <w:lang w:eastAsia="it-IT"/>
                  </w:rPr>
                  <w:t>.</w:t>
                </w:r>
                <w:r w:rsidRPr="000F057A">
                  <w:rPr>
                    <w:rFonts w:cs="Segoe UI"/>
                    <w:sz w:val="14"/>
                    <w:lang w:eastAsia="it-IT"/>
                  </w:rPr>
                  <w:t>61%</w:t>
                </w:r>
              </w:p>
            </w:tc>
            <w:tc>
              <w:tcPr>
                <w:tcW w:w="287" w:type="pct"/>
                <w:shd w:val="clear" w:color="auto" w:fill="FFFFFF" w:themeFill="background2"/>
                <w:vAlign w:val="center"/>
              </w:tcPr>
              <w:p w14:paraId="1DF4B7DD" w14:textId="312B6DD2"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23</w:t>
                </w:r>
                <w:r w:rsidR="00854FE3">
                  <w:rPr>
                    <w:rFonts w:cs="Segoe UI"/>
                    <w:sz w:val="14"/>
                    <w:lang w:eastAsia="it-IT"/>
                  </w:rPr>
                  <w:t>.</w:t>
                </w:r>
                <w:r w:rsidRPr="000F057A">
                  <w:rPr>
                    <w:rFonts w:cs="Segoe UI"/>
                    <w:sz w:val="14"/>
                    <w:lang w:eastAsia="it-IT"/>
                  </w:rPr>
                  <w:t>52%</w:t>
                </w:r>
              </w:p>
            </w:tc>
            <w:tc>
              <w:tcPr>
                <w:tcW w:w="287" w:type="pct"/>
                <w:shd w:val="clear" w:color="auto" w:fill="FFFFFF" w:themeFill="background2"/>
                <w:vAlign w:val="center"/>
              </w:tcPr>
              <w:p w14:paraId="747099CE" w14:textId="0B2B6B33"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21</w:t>
                </w:r>
                <w:r w:rsidR="00854FE3">
                  <w:rPr>
                    <w:rFonts w:cs="Segoe UI"/>
                    <w:sz w:val="14"/>
                    <w:lang w:eastAsia="it-IT"/>
                  </w:rPr>
                  <w:t>.</w:t>
                </w:r>
                <w:r w:rsidRPr="000F057A">
                  <w:rPr>
                    <w:rFonts w:cs="Segoe UI"/>
                    <w:sz w:val="14"/>
                    <w:lang w:eastAsia="it-IT"/>
                  </w:rPr>
                  <w:t>53%</w:t>
                </w:r>
              </w:p>
            </w:tc>
            <w:tc>
              <w:tcPr>
                <w:tcW w:w="287" w:type="pct"/>
                <w:shd w:val="clear" w:color="auto" w:fill="FFFFFF" w:themeFill="background2"/>
                <w:vAlign w:val="center"/>
              </w:tcPr>
              <w:p w14:paraId="1EC97923" w14:textId="1F09EDDD"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20</w:t>
                </w:r>
                <w:r w:rsidR="00854FE3">
                  <w:rPr>
                    <w:rFonts w:cs="Segoe UI"/>
                    <w:sz w:val="14"/>
                    <w:lang w:eastAsia="it-IT"/>
                  </w:rPr>
                  <w:t>.</w:t>
                </w:r>
                <w:r w:rsidRPr="000F057A">
                  <w:rPr>
                    <w:rFonts w:cs="Segoe UI"/>
                    <w:sz w:val="14"/>
                    <w:lang w:eastAsia="it-IT"/>
                  </w:rPr>
                  <w:t>11%</w:t>
                </w:r>
              </w:p>
            </w:tc>
            <w:tc>
              <w:tcPr>
                <w:tcW w:w="287" w:type="pct"/>
                <w:shd w:val="clear" w:color="auto" w:fill="FFFFFF" w:themeFill="background2"/>
                <w:vAlign w:val="center"/>
              </w:tcPr>
              <w:p w14:paraId="3238EC96" w14:textId="51929EBB"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18</w:t>
                </w:r>
                <w:r w:rsidR="00854FE3">
                  <w:rPr>
                    <w:rFonts w:cs="Segoe UI"/>
                    <w:sz w:val="14"/>
                    <w:lang w:eastAsia="it-IT"/>
                  </w:rPr>
                  <w:t>.</w:t>
                </w:r>
                <w:r w:rsidRPr="000F057A">
                  <w:rPr>
                    <w:rFonts w:cs="Segoe UI"/>
                    <w:sz w:val="14"/>
                    <w:lang w:eastAsia="it-IT"/>
                  </w:rPr>
                  <w:t>83%</w:t>
                </w:r>
              </w:p>
            </w:tc>
            <w:tc>
              <w:tcPr>
                <w:tcW w:w="287" w:type="pct"/>
                <w:shd w:val="clear" w:color="auto" w:fill="FFFFFF" w:themeFill="background2"/>
                <w:vAlign w:val="center"/>
              </w:tcPr>
              <w:p w14:paraId="4CD90B29" w14:textId="36A81130" w:rsidR="00E51AEC" w:rsidRPr="00037678" w:rsidRDefault="00E51AEC" w:rsidP="007D5998">
                <w:pPr>
                  <w:pStyle w:val="TableTextLeft"/>
                  <w:spacing w:before="0" w:after="0"/>
                  <w:jc w:val="center"/>
                  <w:rPr>
                    <w:rFonts w:cs="Segoe UI"/>
                    <w:sz w:val="14"/>
                    <w:lang w:eastAsia="it-IT"/>
                  </w:rPr>
                </w:pPr>
                <w:r w:rsidRPr="00037678">
                  <w:rPr>
                    <w:rFonts w:cs="Segoe UI"/>
                    <w:sz w:val="14"/>
                    <w:lang w:eastAsia="it-IT"/>
                  </w:rPr>
                  <w:t>20</w:t>
                </w:r>
                <w:r w:rsidR="00854FE3">
                  <w:rPr>
                    <w:rFonts w:cs="Segoe UI"/>
                    <w:sz w:val="14"/>
                    <w:lang w:eastAsia="it-IT"/>
                  </w:rPr>
                  <w:t>.</w:t>
                </w:r>
                <w:r w:rsidRPr="00037678">
                  <w:rPr>
                    <w:rFonts w:cs="Segoe UI"/>
                    <w:sz w:val="14"/>
                    <w:lang w:eastAsia="it-IT"/>
                  </w:rPr>
                  <w:t>35%</w:t>
                </w:r>
              </w:p>
            </w:tc>
            <w:tc>
              <w:tcPr>
                <w:tcW w:w="287" w:type="pct"/>
                <w:shd w:val="clear" w:color="auto" w:fill="FFFFFF" w:themeFill="background2"/>
                <w:vAlign w:val="center"/>
              </w:tcPr>
              <w:p w14:paraId="315B1D1A" w14:textId="194D0FE1" w:rsidR="00E51AEC" w:rsidRPr="003A089A" w:rsidRDefault="00E51AEC" w:rsidP="007D5998">
                <w:pPr>
                  <w:pStyle w:val="TableTextLeft"/>
                  <w:spacing w:before="0" w:after="0"/>
                  <w:jc w:val="center"/>
                  <w:rPr>
                    <w:rFonts w:cs="Segoe UI"/>
                    <w:b/>
                    <w:bCs/>
                    <w:sz w:val="14"/>
                    <w:lang w:eastAsia="it-IT"/>
                  </w:rPr>
                </w:pPr>
                <w:r w:rsidRPr="003A089A">
                  <w:rPr>
                    <w:rFonts w:cs="Segoe UI"/>
                    <w:b/>
                    <w:bCs/>
                    <w:sz w:val="14"/>
                    <w:lang w:eastAsia="it-IT"/>
                  </w:rPr>
                  <w:t>19</w:t>
                </w:r>
                <w:r w:rsidR="00854FE3">
                  <w:rPr>
                    <w:rFonts w:cs="Segoe UI"/>
                    <w:b/>
                    <w:bCs/>
                    <w:sz w:val="14"/>
                    <w:lang w:eastAsia="it-IT"/>
                  </w:rPr>
                  <w:t>.</w:t>
                </w:r>
                <w:r w:rsidRPr="003A089A">
                  <w:rPr>
                    <w:rFonts w:cs="Segoe UI"/>
                    <w:b/>
                    <w:bCs/>
                    <w:sz w:val="14"/>
                    <w:lang w:eastAsia="it-IT"/>
                  </w:rPr>
                  <w:t>64%</w:t>
                </w:r>
              </w:p>
            </w:tc>
          </w:tr>
          <w:tr w:rsidR="00A42890" w:rsidRPr="003A089A" w14:paraId="3A1327F9" w14:textId="3340DE72" w:rsidTr="00A875C2">
            <w:trPr>
              <w:trHeight w:val="283"/>
            </w:trPr>
            <w:tc>
              <w:tcPr>
                <w:tcW w:w="341" w:type="pct"/>
                <w:shd w:val="clear" w:color="auto" w:fill="FFFFFF" w:themeFill="background2"/>
                <w:tcMar>
                  <w:top w:w="60" w:type="dxa"/>
                  <w:left w:w="114" w:type="dxa"/>
                  <w:bottom w:w="60" w:type="dxa"/>
                  <w:right w:w="114" w:type="dxa"/>
                </w:tcMar>
                <w:vAlign w:val="center"/>
              </w:tcPr>
              <w:p w14:paraId="78C0F0CC" w14:textId="0E99D0F1" w:rsidR="00E51AEC" w:rsidRPr="000F057A" w:rsidRDefault="00E51AEC" w:rsidP="00A42890">
                <w:pPr>
                  <w:pStyle w:val="TableTextLeft"/>
                  <w:spacing w:before="0" w:after="0"/>
                  <w:rPr>
                    <w:rFonts w:cs="Segoe UI"/>
                    <w:b/>
                    <w:bCs/>
                    <w:sz w:val="14"/>
                    <w:lang w:eastAsia="it-IT"/>
                  </w:rPr>
                </w:pPr>
                <w:r w:rsidRPr="000F057A">
                  <w:rPr>
                    <w:rFonts w:cs="Segoe UI"/>
                    <w:b/>
                    <w:bCs/>
                    <w:sz w:val="14"/>
                    <w:lang w:eastAsia="it-IT"/>
                  </w:rPr>
                  <w:t>B2.1</w:t>
                </w:r>
              </w:p>
            </w:tc>
            <w:tc>
              <w:tcPr>
                <w:tcW w:w="321" w:type="pct"/>
                <w:shd w:val="clear" w:color="auto" w:fill="FFFFFF" w:themeFill="background2"/>
                <w:tcMar>
                  <w:top w:w="60" w:type="dxa"/>
                  <w:left w:w="114" w:type="dxa"/>
                  <w:bottom w:w="60" w:type="dxa"/>
                  <w:right w:w="114" w:type="dxa"/>
                </w:tcMar>
                <w:vAlign w:val="center"/>
              </w:tcPr>
              <w:p w14:paraId="1CE2CA42" w14:textId="52E60473" w:rsidR="00E51AEC" w:rsidRPr="002E1E6B" w:rsidRDefault="00E51AEC" w:rsidP="007D5998">
                <w:pPr>
                  <w:pStyle w:val="TableTextLeft"/>
                  <w:spacing w:before="0" w:after="0"/>
                  <w:jc w:val="center"/>
                  <w:rPr>
                    <w:rFonts w:cs="Segoe UI"/>
                    <w:sz w:val="14"/>
                    <w:lang w:eastAsia="it-IT"/>
                  </w:rPr>
                </w:pPr>
                <w:r w:rsidRPr="000F057A">
                  <w:rPr>
                    <w:rFonts w:cs="Segoe UI"/>
                    <w:sz w:val="14"/>
                    <w:lang w:eastAsia="it-IT"/>
                  </w:rPr>
                  <w:t>22</w:t>
                </w:r>
                <w:r w:rsidR="00854FE3">
                  <w:rPr>
                    <w:rFonts w:cs="Segoe UI"/>
                    <w:sz w:val="14"/>
                    <w:lang w:eastAsia="it-IT"/>
                  </w:rPr>
                  <w:t>.</w:t>
                </w:r>
                <w:r w:rsidRPr="000F057A">
                  <w:rPr>
                    <w:rFonts w:cs="Segoe UI"/>
                    <w:sz w:val="14"/>
                    <w:lang w:eastAsia="it-IT"/>
                  </w:rPr>
                  <w:t>73%</w:t>
                </w:r>
              </w:p>
            </w:tc>
            <w:tc>
              <w:tcPr>
                <w:tcW w:w="321" w:type="pct"/>
                <w:shd w:val="clear" w:color="auto" w:fill="FFFFFF" w:themeFill="background2"/>
                <w:tcMar>
                  <w:top w:w="60" w:type="dxa"/>
                  <w:left w:w="114" w:type="dxa"/>
                  <w:bottom w:w="60" w:type="dxa"/>
                  <w:right w:w="114" w:type="dxa"/>
                </w:tcMar>
                <w:vAlign w:val="center"/>
              </w:tcPr>
              <w:p w14:paraId="4375FB1A" w14:textId="53C535A4" w:rsidR="00E51AEC" w:rsidRPr="002E1E6B" w:rsidRDefault="00E51AEC" w:rsidP="007D5998">
                <w:pPr>
                  <w:pStyle w:val="TableTextLeft"/>
                  <w:spacing w:before="0" w:after="0"/>
                  <w:jc w:val="center"/>
                  <w:rPr>
                    <w:rFonts w:cs="Segoe UI"/>
                    <w:sz w:val="14"/>
                    <w:lang w:eastAsia="it-IT"/>
                  </w:rPr>
                </w:pPr>
                <w:r w:rsidRPr="000F057A">
                  <w:rPr>
                    <w:rFonts w:cs="Segoe UI"/>
                    <w:sz w:val="14"/>
                    <w:lang w:eastAsia="it-IT"/>
                  </w:rPr>
                  <w:t>22</w:t>
                </w:r>
                <w:r w:rsidR="00854FE3">
                  <w:rPr>
                    <w:rFonts w:cs="Segoe UI"/>
                    <w:sz w:val="14"/>
                    <w:lang w:eastAsia="it-IT"/>
                  </w:rPr>
                  <w:t>.</w:t>
                </w:r>
                <w:r w:rsidRPr="000F057A">
                  <w:rPr>
                    <w:rFonts w:cs="Segoe UI"/>
                    <w:sz w:val="14"/>
                    <w:lang w:eastAsia="it-IT"/>
                  </w:rPr>
                  <w:t>58%</w:t>
                </w:r>
              </w:p>
            </w:tc>
            <w:tc>
              <w:tcPr>
                <w:tcW w:w="287" w:type="pct"/>
                <w:shd w:val="clear" w:color="auto" w:fill="FFFFFF" w:themeFill="background2"/>
                <w:vAlign w:val="center"/>
              </w:tcPr>
              <w:p w14:paraId="202EE5F8" w14:textId="714AD47A" w:rsidR="00E51AEC" w:rsidRPr="002E1E6B" w:rsidRDefault="00E51AEC" w:rsidP="007D5998">
                <w:pPr>
                  <w:pStyle w:val="TableTextLeft"/>
                  <w:spacing w:before="0" w:after="0"/>
                  <w:jc w:val="center"/>
                  <w:rPr>
                    <w:rFonts w:cs="Segoe UI"/>
                    <w:sz w:val="14"/>
                    <w:lang w:eastAsia="it-IT"/>
                  </w:rPr>
                </w:pPr>
                <w:r w:rsidRPr="000F057A">
                  <w:rPr>
                    <w:rFonts w:cs="Segoe UI"/>
                    <w:sz w:val="14"/>
                    <w:lang w:eastAsia="it-IT"/>
                  </w:rPr>
                  <w:t>25</w:t>
                </w:r>
                <w:r w:rsidR="00854FE3">
                  <w:rPr>
                    <w:rFonts w:cs="Segoe UI"/>
                    <w:sz w:val="14"/>
                    <w:lang w:eastAsia="it-IT"/>
                  </w:rPr>
                  <w:t>.</w:t>
                </w:r>
                <w:r w:rsidRPr="000F057A">
                  <w:rPr>
                    <w:rFonts w:cs="Segoe UI"/>
                    <w:sz w:val="14"/>
                    <w:lang w:eastAsia="it-IT"/>
                  </w:rPr>
                  <w:t>51%</w:t>
                </w:r>
              </w:p>
            </w:tc>
            <w:tc>
              <w:tcPr>
                <w:tcW w:w="287" w:type="pct"/>
                <w:shd w:val="clear" w:color="auto" w:fill="FFFFFF" w:themeFill="background2"/>
                <w:vAlign w:val="center"/>
              </w:tcPr>
              <w:p w14:paraId="4239268C" w14:textId="769837D6"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17</w:t>
                </w:r>
                <w:r w:rsidR="00854FE3">
                  <w:rPr>
                    <w:rFonts w:cs="Segoe UI"/>
                    <w:sz w:val="14"/>
                    <w:lang w:eastAsia="it-IT"/>
                  </w:rPr>
                  <w:t>.</w:t>
                </w:r>
                <w:r w:rsidRPr="000F057A">
                  <w:rPr>
                    <w:rFonts w:cs="Segoe UI"/>
                    <w:sz w:val="14"/>
                    <w:lang w:eastAsia="it-IT"/>
                  </w:rPr>
                  <w:t>86%</w:t>
                </w:r>
              </w:p>
            </w:tc>
            <w:tc>
              <w:tcPr>
                <w:tcW w:w="287" w:type="pct"/>
                <w:shd w:val="clear" w:color="auto" w:fill="FFFFFF" w:themeFill="background2"/>
                <w:vAlign w:val="center"/>
              </w:tcPr>
              <w:p w14:paraId="25889F54" w14:textId="32A48CB1"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18</w:t>
                </w:r>
                <w:r w:rsidR="00854FE3">
                  <w:rPr>
                    <w:rFonts w:cs="Segoe UI"/>
                    <w:sz w:val="14"/>
                    <w:lang w:eastAsia="it-IT"/>
                  </w:rPr>
                  <w:t>.</w:t>
                </w:r>
                <w:r w:rsidRPr="000F057A">
                  <w:rPr>
                    <w:rFonts w:cs="Segoe UI"/>
                    <w:sz w:val="14"/>
                    <w:lang w:eastAsia="it-IT"/>
                  </w:rPr>
                  <w:t>20%</w:t>
                </w:r>
              </w:p>
            </w:tc>
            <w:tc>
              <w:tcPr>
                <w:tcW w:w="287" w:type="pct"/>
                <w:shd w:val="clear" w:color="auto" w:fill="FFFFFF" w:themeFill="background2"/>
                <w:vAlign w:val="center"/>
              </w:tcPr>
              <w:p w14:paraId="05552486" w14:textId="041C9805"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19</w:t>
                </w:r>
                <w:r w:rsidR="00854FE3">
                  <w:rPr>
                    <w:rFonts w:cs="Segoe UI"/>
                    <w:sz w:val="14"/>
                    <w:lang w:eastAsia="it-IT"/>
                  </w:rPr>
                  <w:t>.</w:t>
                </w:r>
                <w:r w:rsidRPr="000F057A">
                  <w:rPr>
                    <w:rFonts w:cs="Segoe UI"/>
                    <w:sz w:val="14"/>
                    <w:lang w:eastAsia="it-IT"/>
                  </w:rPr>
                  <w:t>63%</w:t>
                </w:r>
              </w:p>
            </w:tc>
            <w:tc>
              <w:tcPr>
                <w:tcW w:w="287" w:type="pct"/>
                <w:shd w:val="clear" w:color="auto" w:fill="FFFFFF" w:themeFill="background2"/>
                <w:vAlign w:val="center"/>
              </w:tcPr>
              <w:p w14:paraId="2E66D557" w14:textId="2D256901"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21</w:t>
                </w:r>
                <w:r w:rsidR="00854FE3">
                  <w:rPr>
                    <w:rFonts w:cs="Segoe UI"/>
                    <w:sz w:val="14"/>
                    <w:lang w:eastAsia="it-IT"/>
                  </w:rPr>
                  <w:t>.</w:t>
                </w:r>
                <w:r w:rsidRPr="000F057A">
                  <w:rPr>
                    <w:rFonts w:cs="Segoe UI"/>
                    <w:sz w:val="14"/>
                    <w:lang w:eastAsia="it-IT"/>
                  </w:rPr>
                  <w:t>90%</w:t>
                </w:r>
              </w:p>
            </w:tc>
            <w:tc>
              <w:tcPr>
                <w:tcW w:w="287" w:type="pct"/>
                <w:shd w:val="clear" w:color="auto" w:fill="FFFFFF" w:themeFill="background2"/>
                <w:vAlign w:val="center"/>
              </w:tcPr>
              <w:p w14:paraId="1999AC93" w14:textId="442813C5"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21</w:t>
                </w:r>
                <w:r w:rsidR="00854FE3">
                  <w:rPr>
                    <w:rFonts w:cs="Segoe UI"/>
                    <w:sz w:val="14"/>
                    <w:lang w:eastAsia="it-IT"/>
                  </w:rPr>
                  <w:t>.</w:t>
                </w:r>
                <w:r w:rsidRPr="000F057A">
                  <w:rPr>
                    <w:rFonts w:cs="Segoe UI"/>
                    <w:sz w:val="14"/>
                    <w:lang w:eastAsia="it-IT"/>
                  </w:rPr>
                  <w:t>83%</w:t>
                </w:r>
              </w:p>
            </w:tc>
            <w:tc>
              <w:tcPr>
                <w:tcW w:w="287" w:type="pct"/>
                <w:shd w:val="clear" w:color="auto" w:fill="FFFFFF" w:themeFill="background2"/>
                <w:vAlign w:val="center"/>
              </w:tcPr>
              <w:p w14:paraId="377E36CE" w14:textId="0AED8BE3"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25</w:t>
                </w:r>
                <w:r w:rsidR="00854FE3">
                  <w:rPr>
                    <w:rFonts w:cs="Segoe UI"/>
                    <w:sz w:val="14"/>
                    <w:lang w:eastAsia="it-IT"/>
                  </w:rPr>
                  <w:t>.</w:t>
                </w:r>
                <w:r w:rsidRPr="000F057A">
                  <w:rPr>
                    <w:rFonts w:cs="Segoe UI"/>
                    <w:sz w:val="14"/>
                    <w:lang w:eastAsia="it-IT"/>
                  </w:rPr>
                  <w:t>44%</w:t>
                </w:r>
              </w:p>
            </w:tc>
            <w:tc>
              <w:tcPr>
                <w:tcW w:w="287" w:type="pct"/>
                <w:shd w:val="clear" w:color="auto" w:fill="FFFFFF" w:themeFill="background2"/>
                <w:vAlign w:val="center"/>
              </w:tcPr>
              <w:p w14:paraId="0009478B" w14:textId="13AE0AA4"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26</w:t>
                </w:r>
                <w:r w:rsidR="00854FE3">
                  <w:rPr>
                    <w:rFonts w:cs="Segoe UI"/>
                    <w:sz w:val="14"/>
                    <w:lang w:eastAsia="it-IT"/>
                  </w:rPr>
                  <w:t>.</w:t>
                </w:r>
                <w:r w:rsidRPr="000F057A">
                  <w:rPr>
                    <w:rFonts w:cs="Segoe UI"/>
                    <w:sz w:val="14"/>
                    <w:lang w:eastAsia="it-IT"/>
                  </w:rPr>
                  <w:t>42%</w:t>
                </w:r>
              </w:p>
            </w:tc>
            <w:tc>
              <w:tcPr>
                <w:tcW w:w="287" w:type="pct"/>
                <w:shd w:val="clear" w:color="auto" w:fill="FFFFFF" w:themeFill="background2"/>
                <w:vAlign w:val="center"/>
              </w:tcPr>
              <w:p w14:paraId="7F0A56A4" w14:textId="663FDA5C"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25</w:t>
                </w:r>
                <w:r w:rsidR="00854FE3">
                  <w:rPr>
                    <w:rFonts w:cs="Segoe UI"/>
                    <w:sz w:val="14"/>
                    <w:lang w:eastAsia="it-IT"/>
                  </w:rPr>
                  <w:t>.</w:t>
                </w:r>
                <w:r w:rsidRPr="000F057A">
                  <w:rPr>
                    <w:rFonts w:cs="Segoe UI"/>
                    <w:sz w:val="14"/>
                    <w:lang w:eastAsia="it-IT"/>
                  </w:rPr>
                  <w:t>19%</w:t>
                </w:r>
              </w:p>
            </w:tc>
            <w:tc>
              <w:tcPr>
                <w:tcW w:w="287" w:type="pct"/>
                <w:shd w:val="clear" w:color="auto" w:fill="FFFFFF" w:themeFill="background2"/>
                <w:vAlign w:val="center"/>
              </w:tcPr>
              <w:p w14:paraId="16E2CAA2" w14:textId="7E9F083E"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23</w:t>
                </w:r>
                <w:r w:rsidR="00854FE3">
                  <w:rPr>
                    <w:rFonts w:cs="Segoe UI"/>
                    <w:sz w:val="14"/>
                    <w:lang w:eastAsia="it-IT"/>
                  </w:rPr>
                  <w:t>.</w:t>
                </w:r>
                <w:r w:rsidRPr="000F057A">
                  <w:rPr>
                    <w:rFonts w:cs="Segoe UI"/>
                    <w:sz w:val="14"/>
                    <w:lang w:eastAsia="it-IT"/>
                  </w:rPr>
                  <w:t>88%</w:t>
                </w:r>
              </w:p>
            </w:tc>
            <w:tc>
              <w:tcPr>
                <w:tcW w:w="287" w:type="pct"/>
                <w:shd w:val="clear" w:color="auto" w:fill="FFFFFF" w:themeFill="background2"/>
                <w:vAlign w:val="center"/>
              </w:tcPr>
              <w:p w14:paraId="1584774E" w14:textId="0DEE90B7"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25</w:t>
                </w:r>
                <w:r w:rsidR="00854FE3">
                  <w:rPr>
                    <w:rFonts w:cs="Segoe UI"/>
                    <w:sz w:val="14"/>
                    <w:lang w:eastAsia="it-IT"/>
                  </w:rPr>
                  <w:t>.</w:t>
                </w:r>
                <w:r w:rsidRPr="000F057A">
                  <w:rPr>
                    <w:rFonts w:cs="Segoe UI"/>
                    <w:sz w:val="14"/>
                    <w:lang w:eastAsia="it-IT"/>
                  </w:rPr>
                  <w:t>19%</w:t>
                </w:r>
              </w:p>
            </w:tc>
            <w:tc>
              <w:tcPr>
                <w:tcW w:w="287" w:type="pct"/>
                <w:shd w:val="clear" w:color="auto" w:fill="FFFFFF" w:themeFill="background2"/>
                <w:vAlign w:val="center"/>
              </w:tcPr>
              <w:p w14:paraId="15E1A5A2" w14:textId="7011A3BF"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23</w:t>
                </w:r>
                <w:r w:rsidR="00854FE3">
                  <w:rPr>
                    <w:rFonts w:cs="Segoe UI"/>
                    <w:sz w:val="14"/>
                    <w:lang w:eastAsia="it-IT"/>
                  </w:rPr>
                  <w:t>.</w:t>
                </w:r>
                <w:r w:rsidRPr="000F057A">
                  <w:rPr>
                    <w:rFonts w:cs="Segoe UI"/>
                    <w:sz w:val="14"/>
                    <w:lang w:eastAsia="it-IT"/>
                  </w:rPr>
                  <w:t>49%</w:t>
                </w:r>
              </w:p>
            </w:tc>
            <w:tc>
              <w:tcPr>
                <w:tcW w:w="287" w:type="pct"/>
                <w:shd w:val="clear" w:color="auto" w:fill="FFFFFF" w:themeFill="background2"/>
                <w:vAlign w:val="center"/>
              </w:tcPr>
              <w:p w14:paraId="0C9BF778" w14:textId="47B5C90C" w:rsidR="00E51AEC" w:rsidRPr="00037678" w:rsidRDefault="00E51AEC" w:rsidP="007D5998">
                <w:pPr>
                  <w:pStyle w:val="TableTextLeft"/>
                  <w:spacing w:before="0" w:after="0"/>
                  <w:jc w:val="center"/>
                  <w:rPr>
                    <w:rFonts w:cs="Segoe UI"/>
                    <w:sz w:val="14"/>
                    <w:lang w:eastAsia="it-IT"/>
                  </w:rPr>
                </w:pPr>
                <w:r w:rsidRPr="00037678">
                  <w:rPr>
                    <w:rFonts w:cs="Segoe UI"/>
                    <w:sz w:val="14"/>
                    <w:lang w:eastAsia="it-IT"/>
                  </w:rPr>
                  <w:t>25</w:t>
                </w:r>
                <w:r w:rsidR="00854FE3">
                  <w:rPr>
                    <w:rFonts w:cs="Segoe UI"/>
                    <w:sz w:val="14"/>
                    <w:lang w:eastAsia="it-IT"/>
                  </w:rPr>
                  <w:t>.</w:t>
                </w:r>
                <w:r w:rsidRPr="00037678">
                  <w:rPr>
                    <w:rFonts w:cs="Segoe UI"/>
                    <w:sz w:val="14"/>
                    <w:lang w:eastAsia="it-IT"/>
                  </w:rPr>
                  <w:t>79%</w:t>
                </w:r>
              </w:p>
            </w:tc>
            <w:tc>
              <w:tcPr>
                <w:tcW w:w="287" w:type="pct"/>
                <w:shd w:val="clear" w:color="auto" w:fill="FFFFFF" w:themeFill="background2"/>
                <w:vAlign w:val="center"/>
              </w:tcPr>
              <w:p w14:paraId="5AA294E1" w14:textId="1641942B" w:rsidR="00E51AEC" w:rsidRPr="003A089A" w:rsidRDefault="00E51AEC" w:rsidP="007D5998">
                <w:pPr>
                  <w:pStyle w:val="TableTextLeft"/>
                  <w:spacing w:before="0" w:after="0"/>
                  <w:jc w:val="center"/>
                  <w:rPr>
                    <w:rFonts w:cs="Segoe UI"/>
                    <w:b/>
                    <w:bCs/>
                    <w:sz w:val="14"/>
                    <w:lang w:eastAsia="it-IT"/>
                  </w:rPr>
                </w:pPr>
                <w:r w:rsidRPr="003A089A">
                  <w:rPr>
                    <w:rFonts w:cs="Segoe UI"/>
                    <w:b/>
                    <w:bCs/>
                    <w:sz w:val="14"/>
                    <w:lang w:eastAsia="it-IT"/>
                  </w:rPr>
                  <w:t>22</w:t>
                </w:r>
                <w:r w:rsidR="00854FE3">
                  <w:rPr>
                    <w:rFonts w:cs="Segoe UI"/>
                    <w:b/>
                    <w:bCs/>
                    <w:sz w:val="14"/>
                    <w:lang w:eastAsia="it-IT"/>
                  </w:rPr>
                  <w:t>.</w:t>
                </w:r>
                <w:r w:rsidRPr="003A089A">
                  <w:rPr>
                    <w:rFonts w:cs="Segoe UI"/>
                    <w:b/>
                    <w:bCs/>
                    <w:sz w:val="14"/>
                    <w:lang w:eastAsia="it-IT"/>
                  </w:rPr>
                  <w:t>97%</w:t>
                </w:r>
              </w:p>
            </w:tc>
          </w:tr>
          <w:tr w:rsidR="00A42890" w:rsidRPr="003A089A" w14:paraId="6EE58C16" w14:textId="48991AEC" w:rsidTr="00A875C2">
            <w:trPr>
              <w:trHeight w:val="283"/>
            </w:trPr>
            <w:tc>
              <w:tcPr>
                <w:tcW w:w="341" w:type="pct"/>
                <w:shd w:val="clear" w:color="auto" w:fill="FFFFFF" w:themeFill="background2"/>
                <w:tcMar>
                  <w:top w:w="60" w:type="dxa"/>
                  <w:left w:w="114" w:type="dxa"/>
                  <w:bottom w:w="60" w:type="dxa"/>
                  <w:right w:w="114" w:type="dxa"/>
                </w:tcMar>
                <w:vAlign w:val="center"/>
              </w:tcPr>
              <w:p w14:paraId="0BF14C3C" w14:textId="37501DB2" w:rsidR="00E51AEC" w:rsidRPr="000F057A" w:rsidRDefault="00E51AEC" w:rsidP="00A42890">
                <w:pPr>
                  <w:pStyle w:val="TableTextLeft"/>
                  <w:spacing w:before="0" w:after="0"/>
                  <w:rPr>
                    <w:rFonts w:cs="Segoe UI"/>
                    <w:b/>
                    <w:bCs/>
                    <w:sz w:val="14"/>
                    <w:lang w:eastAsia="it-IT"/>
                  </w:rPr>
                </w:pPr>
                <w:r w:rsidRPr="000F057A">
                  <w:rPr>
                    <w:rFonts w:cs="Segoe UI"/>
                    <w:b/>
                    <w:bCs/>
                    <w:sz w:val="14"/>
                    <w:lang w:eastAsia="it-IT"/>
                  </w:rPr>
                  <w:t>B2.2</w:t>
                </w:r>
              </w:p>
            </w:tc>
            <w:tc>
              <w:tcPr>
                <w:tcW w:w="321" w:type="pct"/>
                <w:shd w:val="clear" w:color="auto" w:fill="FFFFFF" w:themeFill="background2"/>
                <w:tcMar>
                  <w:top w:w="60" w:type="dxa"/>
                  <w:left w:w="114" w:type="dxa"/>
                  <w:bottom w:w="60" w:type="dxa"/>
                  <w:right w:w="114" w:type="dxa"/>
                </w:tcMar>
                <w:vAlign w:val="center"/>
              </w:tcPr>
              <w:p w14:paraId="430645EE" w14:textId="1901ED39" w:rsidR="00E51AEC" w:rsidRPr="002E1E6B" w:rsidRDefault="00E51AEC" w:rsidP="007D5998">
                <w:pPr>
                  <w:pStyle w:val="TableTextLeft"/>
                  <w:spacing w:before="0" w:after="0"/>
                  <w:jc w:val="center"/>
                  <w:rPr>
                    <w:rFonts w:cs="Segoe UI"/>
                    <w:sz w:val="14"/>
                    <w:lang w:eastAsia="it-IT"/>
                  </w:rPr>
                </w:pPr>
                <w:r w:rsidRPr="000F057A">
                  <w:rPr>
                    <w:rFonts w:cs="Segoe UI"/>
                    <w:sz w:val="14"/>
                    <w:lang w:eastAsia="it-IT"/>
                  </w:rPr>
                  <w:t>11</w:t>
                </w:r>
                <w:r w:rsidR="00854FE3">
                  <w:rPr>
                    <w:rFonts w:cs="Segoe UI"/>
                    <w:sz w:val="14"/>
                    <w:lang w:eastAsia="it-IT"/>
                  </w:rPr>
                  <w:t>.</w:t>
                </w:r>
                <w:r w:rsidRPr="000F057A">
                  <w:rPr>
                    <w:rFonts w:cs="Segoe UI"/>
                    <w:sz w:val="14"/>
                    <w:lang w:eastAsia="it-IT"/>
                  </w:rPr>
                  <w:t>60%</w:t>
                </w:r>
              </w:p>
            </w:tc>
            <w:tc>
              <w:tcPr>
                <w:tcW w:w="321" w:type="pct"/>
                <w:shd w:val="clear" w:color="auto" w:fill="FFFFFF" w:themeFill="background2"/>
                <w:tcMar>
                  <w:top w:w="60" w:type="dxa"/>
                  <w:left w:w="114" w:type="dxa"/>
                  <w:bottom w:w="60" w:type="dxa"/>
                  <w:right w:w="114" w:type="dxa"/>
                </w:tcMar>
                <w:vAlign w:val="center"/>
              </w:tcPr>
              <w:p w14:paraId="62B594C6" w14:textId="79E5FE78" w:rsidR="00E51AEC" w:rsidRPr="002E1E6B" w:rsidRDefault="00E51AEC" w:rsidP="007D5998">
                <w:pPr>
                  <w:pStyle w:val="TableTextLeft"/>
                  <w:spacing w:before="0" w:after="0"/>
                  <w:jc w:val="center"/>
                  <w:rPr>
                    <w:rFonts w:cs="Segoe UI"/>
                    <w:sz w:val="14"/>
                    <w:lang w:eastAsia="it-IT"/>
                  </w:rPr>
                </w:pPr>
                <w:r w:rsidRPr="000F057A">
                  <w:rPr>
                    <w:rFonts w:cs="Segoe UI"/>
                    <w:sz w:val="14"/>
                    <w:lang w:eastAsia="it-IT"/>
                  </w:rPr>
                  <w:t>10</w:t>
                </w:r>
                <w:r w:rsidR="00854FE3">
                  <w:rPr>
                    <w:rFonts w:cs="Segoe UI"/>
                    <w:sz w:val="14"/>
                    <w:lang w:eastAsia="it-IT"/>
                  </w:rPr>
                  <w:t>.</w:t>
                </w:r>
                <w:r w:rsidRPr="000F057A">
                  <w:rPr>
                    <w:rFonts w:cs="Segoe UI"/>
                    <w:sz w:val="14"/>
                    <w:lang w:eastAsia="it-IT"/>
                  </w:rPr>
                  <w:t>86%</w:t>
                </w:r>
              </w:p>
            </w:tc>
            <w:tc>
              <w:tcPr>
                <w:tcW w:w="287" w:type="pct"/>
                <w:shd w:val="clear" w:color="auto" w:fill="FFFFFF" w:themeFill="background2"/>
                <w:vAlign w:val="center"/>
              </w:tcPr>
              <w:p w14:paraId="6B195D8C" w14:textId="105C1CCB" w:rsidR="00E51AEC" w:rsidRPr="002E1E6B" w:rsidRDefault="00E51AEC" w:rsidP="007D5998">
                <w:pPr>
                  <w:pStyle w:val="TableTextLeft"/>
                  <w:spacing w:before="0" w:after="0"/>
                  <w:jc w:val="center"/>
                  <w:rPr>
                    <w:rFonts w:cs="Segoe UI"/>
                    <w:sz w:val="14"/>
                    <w:lang w:eastAsia="it-IT"/>
                  </w:rPr>
                </w:pPr>
                <w:r w:rsidRPr="000F057A">
                  <w:rPr>
                    <w:rFonts w:cs="Segoe UI"/>
                    <w:sz w:val="14"/>
                    <w:lang w:eastAsia="it-IT"/>
                  </w:rPr>
                  <w:t>10</w:t>
                </w:r>
                <w:r w:rsidR="00854FE3">
                  <w:rPr>
                    <w:rFonts w:cs="Segoe UI"/>
                    <w:sz w:val="14"/>
                    <w:lang w:eastAsia="it-IT"/>
                  </w:rPr>
                  <w:t>.</w:t>
                </w:r>
                <w:r w:rsidRPr="000F057A">
                  <w:rPr>
                    <w:rFonts w:cs="Segoe UI"/>
                    <w:sz w:val="14"/>
                    <w:lang w:eastAsia="it-IT"/>
                  </w:rPr>
                  <w:t>67%</w:t>
                </w:r>
              </w:p>
            </w:tc>
            <w:tc>
              <w:tcPr>
                <w:tcW w:w="287" w:type="pct"/>
                <w:shd w:val="clear" w:color="auto" w:fill="FFFFFF" w:themeFill="background2"/>
                <w:vAlign w:val="center"/>
              </w:tcPr>
              <w:p w14:paraId="4726BA19" w14:textId="1F7CA2AE"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12</w:t>
                </w:r>
                <w:r w:rsidR="00854FE3">
                  <w:rPr>
                    <w:rFonts w:cs="Segoe UI"/>
                    <w:sz w:val="14"/>
                    <w:lang w:eastAsia="it-IT"/>
                  </w:rPr>
                  <w:t>.</w:t>
                </w:r>
                <w:r w:rsidRPr="000F057A">
                  <w:rPr>
                    <w:rFonts w:cs="Segoe UI"/>
                    <w:sz w:val="14"/>
                    <w:lang w:eastAsia="it-IT"/>
                  </w:rPr>
                  <w:t>77%</w:t>
                </w:r>
              </w:p>
            </w:tc>
            <w:tc>
              <w:tcPr>
                <w:tcW w:w="287" w:type="pct"/>
                <w:shd w:val="clear" w:color="auto" w:fill="FFFFFF" w:themeFill="background2"/>
                <w:vAlign w:val="center"/>
              </w:tcPr>
              <w:p w14:paraId="33BE1CD6" w14:textId="56CB1271"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12</w:t>
                </w:r>
                <w:r w:rsidR="00854FE3">
                  <w:rPr>
                    <w:rFonts w:cs="Segoe UI"/>
                    <w:sz w:val="14"/>
                    <w:lang w:eastAsia="it-IT"/>
                  </w:rPr>
                  <w:t>.</w:t>
                </w:r>
                <w:r w:rsidRPr="000F057A">
                  <w:rPr>
                    <w:rFonts w:cs="Segoe UI"/>
                    <w:sz w:val="14"/>
                    <w:lang w:eastAsia="it-IT"/>
                  </w:rPr>
                  <w:t>50%</w:t>
                </w:r>
              </w:p>
            </w:tc>
            <w:tc>
              <w:tcPr>
                <w:tcW w:w="287" w:type="pct"/>
                <w:shd w:val="clear" w:color="auto" w:fill="FFFFFF" w:themeFill="background2"/>
                <w:vAlign w:val="center"/>
              </w:tcPr>
              <w:p w14:paraId="1F6509B9" w14:textId="60FE5FE7"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12</w:t>
                </w:r>
                <w:r w:rsidR="00854FE3">
                  <w:rPr>
                    <w:rFonts w:cs="Segoe UI"/>
                    <w:sz w:val="14"/>
                    <w:lang w:eastAsia="it-IT"/>
                  </w:rPr>
                  <w:t>.</w:t>
                </w:r>
                <w:r w:rsidRPr="000F057A">
                  <w:rPr>
                    <w:rFonts w:cs="Segoe UI"/>
                    <w:sz w:val="14"/>
                    <w:lang w:eastAsia="it-IT"/>
                  </w:rPr>
                  <w:t>87%</w:t>
                </w:r>
              </w:p>
            </w:tc>
            <w:tc>
              <w:tcPr>
                <w:tcW w:w="287" w:type="pct"/>
                <w:shd w:val="clear" w:color="auto" w:fill="FFFFFF" w:themeFill="background2"/>
                <w:vAlign w:val="center"/>
              </w:tcPr>
              <w:p w14:paraId="0232B8BB" w14:textId="5EDBF465"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12</w:t>
                </w:r>
                <w:r w:rsidR="00854FE3">
                  <w:rPr>
                    <w:rFonts w:cs="Segoe UI"/>
                    <w:sz w:val="14"/>
                    <w:lang w:eastAsia="it-IT"/>
                  </w:rPr>
                  <w:t>.</w:t>
                </w:r>
                <w:r w:rsidRPr="000F057A">
                  <w:rPr>
                    <w:rFonts w:cs="Segoe UI"/>
                    <w:sz w:val="14"/>
                    <w:lang w:eastAsia="it-IT"/>
                  </w:rPr>
                  <w:t>33%</w:t>
                </w:r>
              </w:p>
            </w:tc>
            <w:tc>
              <w:tcPr>
                <w:tcW w:w="287" w:type="pct"/>
                <w:shd w:val="clear" w:color="auto" w:fill="FFFFFF" w:themeFill="background2"/>
                <w:vAlign w:val="center"/>
              </w:tcPr>
              <w:p w14:paraId="4BE3260E" w14:textId="05427651"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11</w:t>
                </w:r>
                <w:r w:rsidR="00854FE3">
                  <w:rPr>
                    <w:rFonts w:cs="Segoe UI"/>
                    <w:sz w:val="14"/>
                    <w:lang w:eastAsia="it-IT"/>
                  </w:rPr>
                  <w:t>.</w:t>
                </w:r>
                <w:r w:rsidRPr="000F057A">
                  <w:rPr>
                    <w:rFonts w:cs="Segoe UI"/>
                    <w:sz w:val="14"/>
                    <w:lang w:eastAsia="it-IT"/>
                  </w:rPr>
                  <w:t>04%</w:t>
                </w:r>
              </w:p>
            </w:tc>
            <w:tc>
              <w:tcPr>
                <w:tcW w:w="287" w:type="pct"/>
                <w:shd w:val="clear" w:color="auto" w:fill="FFFFFF" w:themeFill="background2"/>
                <w:vAlign w:val="center"/>
              </w:tcPr>
              <w:p w14:paraId="6437C50B" w14:textId="5D65C930"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13</w:t>
                </w:r>
                <w:r w:rsidR="00854FE3">
                  <w:rPr>
                    <w:rFonts w:cs="Segoe UI"/>
                    <w:sz w:val="14"/>
                    <w:lang w:eastAsia="it-IT"/>
                  </w:rPr>
                  <w:t>.</w:t>
                </w:r>
                <w:r w:rsidRPr="000F057A">
                  <w:rPr>
                    <w:rFonts w:cs="Segoe UI"/>
                    <w:sz w:val="14"/>
                    <w:lang w:eastAsia="it-IT"/>
                  </w:rPr>
                  <w:t>08%</w:t>
                </w:r>
              </w:p>
            </w:tc>
            <w:tc>
              <w:tcPr>
                <w:tcW w:w="287" w:type="pct"/>
                <w:shd w:val="clear" w:color="auto" w:fill="FFFFFF" w:themeFill="background2"/>
                <w:vAlign w:val="center"/>
              </w:tcPr>
              <w:p w14:paraId="4A8F2EA8" w14:textId="5BE6EA40"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13</w:t>
                </w:r>
                <w:r w:rsidR="00854FE3">
                  <w:rPr>
                    <w:rFonts w:cs="Segoe UI"/>
                    <w:sz w:val="14"/>
                    <w:lang w:eastAsia="it-IT"/>
                  </w:rPr>
                  <w:t>.</w:t>
                </w:r>
                <w:r w:rsidRPr="000F057A">
                  <w:rPr>
                    <w:rFonts w:cs="Segoe UI"/>
                    <w:sz w:val="14"/>
                    <w:lang w:eastAsia="it-IT"/>
                  </w:rPr>
                  <w:t>86%</w:t>
                </w:r>
              </w:p>
            </w:tc>
            <w:tc>
              <w:tcPr>
                <w:tcW w:w="287" w:type="pct"/>
                <w:shd w:val="clear" w:color="auto" w:fill="FFFFFF" w:themeFill="background2"/>
                <w:vAlign w:val="center"/>
              </w:tcPr>
              <w:p w14:paraId="71FDBFF1" w14:textId="7FD66D7B"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11</w:t>
                </w:r>
                <w:r w:rsidR="00854FE3">
                  <w:rPr>
                    <w:rFonts w:cs="Segoe UI"/>
                    <w:sz w:val="14"/>
                    <w:lang w:eastAsia="it-IT"/>
                  </w:rPr>
                  <w:t>.</w:t>
                </w:r>
                <w:r w:rsidRPr="000F057A">
                  <w:rPr>
                    <w:rFonts w:cs="Segoe UI"/>
                    <w:sz w:val="14"/>
                    <w:lang w:eastAsia="it-IT"/>
                  </w:rPr>
                  <w:t>55%</w:t>
                </w:r>
              </w:p>
            </w:tc>
            <w:tc>
              <w:tcPr>
                <w:tcW w:w="287" w:type="pct"/>
                <w:shd w:val="clear" w:color="auto" w:fill="FFFFFF" w:themeFill="background2"/>
                <w:vAlign w:val="center"/>
              </w:tcPr>
              <w:p w14:paraId="4D96840E" w14:textId="20ED7F59"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11</w:t>
                </w:r>
                <w:r w:rsidR="00854FE3">
                  <w:rPr>
                    <w:rFonts w:cs="Segoe UI"/>
                    <w:sz w:val="14"/>
                    <w:lang w:eastAsia="it-IT"/>
                  </w:rPr>
                  <w:t>.</w:t>
                </w:r>
                <w:r w:rsidRPr="000F057A">
                  <w:rPr>
                    <w:rFonts w:cs="Segoe UI"/>
                    <w:sz w:val="14"/>
                    <w:lang w:eastAsia="it-IT"/>
                  </w:rPr>
                  <w:t>32%</w:t>
                </w:r>
              </w:p>
            </w:tc>
            <w:tc>
              <w:tcPr>
                <w:tcW w:w="287" w:type="pct"/>
                <w:shd w:val="clear" w:color="auto" w:fill="FFFFFF" w:themeFill="background2"/>
                <w:vAlign w:val="center"/>
              </w:tcPr>
              <w:p w14:paraId="2254D89E" w14:textId="477441DB"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16</w:t>
                </w:r>
                <w:r w:rsidR="00854FE3">
                  <w:rPr>
                    <w:rFonts w:cs="Segoe UI"/>
                    <w:sz w:val="14"/>
                    <w:lang w:eastAsia="it-IT"/>
                  </w:rPr>
                  <w:t>.</w:t>
                </w:r>
                <w:r w:rsidRPr="000F057A">
                  <w:rPr>
                    <w:rFonts w:cs="Segoe UI"/>
                    <w:sz w:val="14"/>
                    <w:lang w:eastAsia="it-IT"/>
                  </w:rPr>
                  <w:t>38%</w:t>
                </w:r>
              </w:p>
            </w:tc>
            <w:tc>
              <w:tcPr>
                <w:tcW w:w="287" w:type="pct"/>
                <w:shd w:val="clear" w:color="auto" w:fill="FFFFFF" w:themeFill="background2"/>
                <w:vAlign w:val="center"/>
              </w:tcPr>
              <w:p w14:paraId="2C06DC79" w14:textId="30EE907E"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16</w:t>
                </w:r>
                <w:r w:rsidR="00854FE3">
                  <w:rPr>
                    <w:rFonts w:cs="Segoe UI"/>
                    <w:sz w:val="14"/>
                    <w:lang w:eastAsia="it-IT"/>
                  </w:rPr>
                  <w:t>.</w:t>
                </w:r>
                <w:r w:rsidRPr="000F057A">
                  <w:rPr>
                    <w:rFonts w:cs="Segoe UI"/>
                    <w:sz w:val="14"/>
                    <w:lang w:eastAsia="it-IT"/>
                  </w:rPr>
                  <w:t>96%</w:t>
                </w:r>
              </w:p>
            </w:tc>
            <w:tc>
              <w:tcPr>
                <w:tcW w:w="287" w:type="pct"/>
                <w:shd w:val="clear" w:color="auto" w:fill="FFFFFF" w:themeFill="background2"/>
                <w:vAlign w:val="center"/>
              </w:tcPr>
              <w:p w14:paraId="1E44D4D7" w14:textId="2623822F" w:rsidR="00E51AEC" w:rsidRPr="00037678" w:rsidRDefault="00E51AEC" w:rsidP="007D5998">
                <w:pPr>
                  <w:pStyle w:val="TableTextLeft"/>
                  <w:spacing w:before="0" w:after="0"/>
                  <w:jc w:val="center"/>
                  <w:rPr>
                    <w:rFonts w:cs="Segoe UI"/>
                    <w:sz w:val="14"/>
                    <w:lang w:eastAsia="it-IT"/>
                  </w:rPr>
                </w:pPr>
                <w:r w:rsidRPr="00037678">
                  <w:rPr>
                    <w:rFonts w:cs="Segoe UI"/>
                    <w:sz w:val="14"/>
                    <w:lang w:eastAsia="it-IT"/>
                  </w:rPr>
                  <w:t>16</w:t>
                </w:r>
                <w:r w:rsidR="00854FE3">
                  <w:rPr>
                    <w:rFonts w:cs="Segoe UI"/>
                    <w:sz w:val="14"/>
                    <w:lang w:eastAsia="it-IT"/>
                  </w:rPr>
                  <w:t>.</w:t>
                </w:r>
                <w:r w:rsidRPr="00037678">
                  <w:rPr>
                    <w:rFonts w:cs="Segoe UI"/>
                    <w:sz w:val="14"/>
                    <w:lang w:eastAsia="it-IT"/>
                  </w:rPr>
                  <w:t>25%</w:t>
                </w:r>
              </w:p>
            </w:tc>
            <w:tc>
              <w:tcPr>
                <w:tcW w:w="287" w:type="pct"/>
                <w:shd w:val="clear" w:color="auto" w:fill="FFFFFF" w:themeFill="background2"/>
                <w:vAlign w:val="center"/>
              </w:tcPr>
              <w:p w14:paraId="34AA9B27" w14:textId="0A53BD3F" w:rsidR="00E51AEC" w:rsidRPr="003A089A" w:rsidRDefault="00E51AEC" w:rsidP="007D5998">
                <w:pPr>
                  <w:pStyle w:val="TableTextLeft"/>
                  <w:spacing w:before="0" w:after="0"/>
                  <w:jc w:val="center"/>
                  <w:rPr>
                    <w:rFonts w:cs="Segoe UI"/>
                    <w:b/>
                    <w:bCs/>
                    <w:sz w:val="14"/>
                    <w:lang w:eastAsia="it-IT"/>
                  </w:rPr>
                </w:pPr>
                <w:r w:rsidRPr="003A089A">
                  <w:rPr>
                    <w:rFonts w:cs="Segoe UI"/>
                    <w:b/>
                    <w:bCs/>
                    <w:sz w:val="14"/>
                    <w:lang w:eastAsia="it-IT"/>
                  </w:rPr>
                  <w:t>12</w:t>
                </w:r>
                <w:r w:rsidR="00854FE3">
                  <w:rPr>
                    <w:rFonts w:cs="Segoe UI"/>
                    <w:b/>
                    <w:bCs/>
                    <w:sz w:val="14"/>
                    <w:lang w:eastAsia="it-IT"/>
                  </w:rPr>
                  <w:t>.</w:t>
                </w:r>
                <w:r w:rsidRPr="003A089A">
                  <w:rPr>
                    <w:rFonts w:cs="Segoe UI"/>
                    <w:b/>
                    <w:bCs/>
                    <w:sz w:val="14"/>
                    <w:lang w:eastAsia="it-IT"/>
                  </w:rPr>
                  <w:t>28%</w:t>
                </w:r>
              </w:p>
            </w:tc>
          </w:tr>
          <w:tr w:rsidR="00A42890" w:rsidRPr="003A089A" w14:paraId="3B47EA85" w14:textId="53771A47" w:rsidTr="00A875C2">
            <w:trPr>
              <w:trHeight w:val="283"/>
            </w:trPr>
            <w:tc>
              <w:tcPr>
                <w:tcW w:w="341" w:type="pct"/>
                <w:shd w:val="clear" w:color="auto" w:fill="FFFFFF" w:themeFill="background2"/>
                <w:tcMar>
                  <w:top w:w="60" w:type="dxa"/>
                  <w:left w:w="114" w:type="dxa"/>
                  <w:bottom w:w="60" w:type="dxa"/>
                  <w:right w:w="114" w:type="dxa"/>
                </w:tcMar>
                <w:vAlign w:val="center"/>
              </w:tcPr>
              <w:p w14:paraId="773C23FF" w14:textId="1E31ECCD" w:rsidR="00E51AEC" w:rsidRPr="000F057A" w:rsidRDefault="00E51AEC" w:rsidP="00A42890">
                <w:pPr>
                  <w:pStyle w:val="TableTextLeft"/>
                  <w:spacing w:before="0" w:after="0"/>
                  <w:rPr>
                    <w:rFonts w:cs="Segoe UI"/>
                    <w:b/>
                    <w:bCs/>
                    <w:sz w:val="14"/>
                    <w:lang w:eastAsia="it-IT"/>
                  </w:rPr>
                </w:pPr>
                <w:r w:rsidRPr="000F057A">
                  <w:rPr>
                    <w:rFonts w:cs="Segoe UI"/>
                    <w:b/>
                    <w:bCs/>
                    <w:sz w:val="14"/>
                    <w:lang w:eastAsia="it-IT"/>
                  </w:rPr>
                  <w:t>C1.1</w:t>
                </w:r>
              </w:p>
            </w:tc>
            <w:tc>
              <w:tcPr>
                <w:tcW w:w="321" w:type="pct"/>
                <w:shd w:val="clear" w:color="auto" w:fill="FFFFFF" w:themeFill="background2"/>
                <w:tcMar>
                  <w:top w:w="60" w:type="dxa"/>
                  <w:left w:w="114" w:type="dxa"/>
                  <w:bottom w:w="60" w:type="dxa"/>
                  <w:right w:w="114" w:type="dxa"/>
                </w:tcMar>
                <w:vAlign w:val="center"/>
              </w:tcPr>
              <w:p w14:paraId="593DF614" w14:textId="2D2AD5EF" w:rsidR="00E51AEC" w:rsidRPr="002E1E6B" w:rsidRDefault="00E51AEC" w:rsidP="007D5998">
                <w:pPr>
                  <w:pStyle w:val="TableTextLeft"/>
                  <w:spacing w:before="0" w:after="0"/>
                  <w:jc w:val="center"/>
                  <w:rPr>
                    <w:rFonts w:cs="Segoe UI"/>
                    <w:sz w:val="14"/>
                    <w:lang w:eastAsia="it-IT"/>
                  </w:rPr>
                </w:pPr>
                <w:r w:rsidRPr="000F057A">
                  <w:rPr>
                    <w:rFonts w:cs="Segoe UI"/>
                    <w:sz w:val="14"/>
                    <w:lang w:eastAsia="it-IT"/>
                  </w:rPr>
                  <w:t>14</w:t>
                </w:r>
                <w:r w:rsidR="00854FE3">
                  <w:rPr>
                    <w:rFonts w:cs="Segoe UI"/>
                    <w:sz w:val="14"/>
                    <w:lang w:eastAsia="it-IT"/>
                  </w:rPr>
                  <w:t>.</w:t>
                </w:r>
                <w:r w:rsidRPr="000F057A">
                  <w:rPr>
                    <w:rFonts w:cs="Segoe UI"/>
                    <w:sz w:val="14"/>
                    <w:lang w:eastAsia="it-IT"/>
                  </w:rPr>
                  <w:t>30%</w:t>
                </w:r>
              </w:p>
            </w:tc>
            <w:tc>
              <w:tcPr>
                <w:tcW w:w="321" w:type="pct"/>
                <w:shd w:val="clear" w:color="auto" w:fill="FFFFFF" w:themeFill="background2"/>
                <w:tcMar>
                  <w:top w:w="60" w:type="dxa"/>
                  <w:left w:w="114" w:type="dxa"/>
                  <w:bottom w:w="60" w:type="dxa"/>
                  <w:right w:w="114" w:type="dxa"/>
                </w:tcMar>
                <w:vAlign w:val="center"/>
              </w:tcPr>
              <w:p w14:paraId="391654A1" w14:textId="3182DD84" w:rsidR="00E51AEC" w:rsidRPr="002E1E6B" w:rsidRDefault="00E51AEC" w:rsidP="007D5998">
                <w:pPr>
                  <w:pStyle w:val="TableTextLeft"/>
                  <w:spacing w:before="0" w:after="0"/>
                  <w:jc w:val="center"/>
                  <w:rPr>
                    <w:rFonts w:cs="Segoe UI"/>
                    <w:sz w:val="14"/>
                    <w:lang w:eastAsia="it-IT"/>
                  </w:rPr>
                </w:pPr>
                <w:r w:rsidRPr="000F057A">
                  <w:rPr>
                    <w:rFonts w:cs="Segoe UI"/>
                    <w:sz w:val="14"/>
                    <w:lang w:eastAsia="it-IT"/>
                  </w:rPr>
                  <w:t>11</w:t>
                </w:r>
                <w:r w:rsidR="00854FE3">
                  <w:rPr>
                    <w:rFonts w:cs="Segoe UI"/>
                    <w:sz w:val="14"/>
                    <w:lang w:eastAsia="it-IT"/>
                  </w:rPr>
                  <w:t>.</w:t>
                </w:r>
                <w:r w:rsidRPr="000F057A">
                  <w:rPr>
                    <w:rFonts w:cs="Segoe UI"/>
                    <w:sz w:val="14"/>
                    <w:lang w:eastAsia="it-IT"/>
                  </w:rPr>
                  <w:t>92%</w:t>
                </w:r>
              </w:p>
            </w:tc>
            <w:tc>
              <w:tcPr>
                <w:tcW w:w="287" w:type="pct"/>
                <w:shd w:val="clear" w:color="auto" w:fill="FFFFFF" w:themeFill="background2"/>
                <w:vAlign w:val="center"/>
              </w:tcPr>
              <w:p w14:paraId="28B96587" w14:textId="2A7E85D4" w:rsidR="00E51AEC" w:rsidRPr="002E1E6B" w:rsidRDefault="00E51AEC" w:rsidP="007D5998">
                <w:pPr>
                  <w:pStyle w:val="TableTextLeft"/>
                  <w:spacing w:before="0" w:after="0"/>
                  <w:jc w:val="center"/>
                  <w:rPr>
                    <w:rFonts w:cs="Segoe UI"/>
                    <w:sz w:val="14"/>
                    <w:lang w:eastAsia="it-IT"/>
                  </w:rPr>
                </w:pPr>
                <w:r w:rsidRPr="000F057A">
                  <w:rPr>
                    <w:rFonts w:cs="Segoe UI"/>
                    <w:sz w:val="14"/>
                    <w:lang w:eastAsia="it-IT"/>
                  </w:rPr>
                  <w:t>9</w:t>
                </w:r>
                <w:r w:rsidR="00854FE3">
                  <w:rPr>
                    <w:rFonts w:cs="Segoe UI"/>
                    <w:sz w:val="14"/>
                    <w:lang w:eastAsia="it-IT"/>
                  </w:rPr>
                  <w:t>.</w:t>
                </w:r>
                <w:r w:rsidRPr="000F057A">
                  <w:rPr>
                    <w:rFonts w:cs="Segoe UI"/>
                    <w:sz w:val="14"/>
                    <w:lang w:eastAsia="it-IT"/>
                  </w:rPr>
                  <w:t>98%</w:t>
                </w:r>
              </w:p>
            </w:tc>
            <w:tc>
              <w:tcPr>
                <w:tcW w:w="287" w:type="pct"/>
                <w:shd w:val="clear" w:color="auto" w:fill="FFFFFF" w:themeFill="background2"/>
                <w:vAlign w:val="center"/>
              </w:tcPr>
              <w:p w14:paraId="6B78B8FE" w14:textId="19C05D59"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9</w:t>
                </w:r>
                <w:r w:rsidR="00854FE3">
                  <w:rPr>
                    <w:rFonts w:cs="Segoe UI"/>
                    <w:sz w:val="14"/>
                    <w:lang w:eastAsia="it-IT"/>
                  </w:rPr>
                  <w:t>.</w:t>
                </w:r>
                <w:r w:rsidRPr="000F057A">
                  <w:rPr>
                    <w:rFonts w:cs="Segoe UI"/>
                    <w:sz w:val="14"/>
                    <w:lang w:eastAsia="it-IT"/>
                  </w:rPr>
                  <w:t>65%</w:t>
                </w:r>
              </w:p>
            </w:tc>
            <w:tc>
              <w:tcPr>
                <w:tcW w:w="287" w:type="pct"/>
                <w:shd w:val="clear" w:color="auto" w:fill="FFFFFF" w:themeFill="background2"/>
                <w:vAlign w:val="center"/>
              </w:tcPr>
              <w:p w14:paraId="115DD705" w14:textId="7010C7B9"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9</w:t>
                </w:r>
                <w:r w:rsidR="00854FE3">
                  <w:rPr>
                    <w:rFonts w:cs="Segoe UI"/>
                    <w:sz w:val="14"/>
                    <w:lang w:eastAsia="it-IT"/>
                  </w:rPr>
                  <w:t>.</w:t>
                </w:r>
                <w:r w:rsidRPr="000F057A">
                  <w:rPr>
                    <w:rFonts w:cs="Segoe UI"/>
                    <w:sz w:val="14"/>
                    <w:lang w:eastAsia="it-IT"/>
                  </w:rPr>
                  <w:t>96%</w:t>
                </w:r>
              </w:p>
            </w:tc>
            <w:tc>
              <w:tcPr>
                <w:tcW w:w="287" w:type="pct"/>
                <w:shd w:val="clear" w:color="auto" w:fill="FFFFFF" w:themeFill="background2"/>
                <w:vAlign w:val="center"/>
              </w:tcPr>
              <w:p w14:paraId="580EA046" w14:textId="5BA076E5"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5</w:t>
                </w:r>
                <w:r w:rsidR="00854FE3">
                  <w:rPr>
                    <w:rFonts w:cs="Segoe UI"/>
                    <w:sz w:val="14"/>
                    <w:lang w:eastAsia="it-IT"/>
                  </w:rPr>
                  <w:t>.</w:t>
                </w:r>
                <w:r w:rsidRPr="000F057A">
                  <w:rPr>
                    <w:rFonts w:cs="Segoe UI"/>
                    <w:sz w:val="14"/>
                    <w:lang w:eastAsia="it-IT"/>
                  </w:rPr>
                  <w:t>28%</w:t>
                </w:r>
              </w:p>
            </w:tc>
            <w:tc>
              <w:tcPr>
                <w:tcW w:w="287" w:type="pct"/>
                <w:shd w:val="clear" w:color="auto" w:fill="FFFFFF" w:themeFill="background2"/>
                <w:vAlign w:val="center"/>
              </w:tcPr>
              <w:p w14:paraId="442785E1" w14:textId="708A4899"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6</w:t>
                </w:r>
                <w:r w:rsidR="00854FE3">
                  <w:rPr>
                    <w:rFonts w:cs="Segoe UI"/>
                    <w:sz w:val="14"/>
                    <w:lang w:eastAsia="it-IT"/>
                  </w:rPr>
                  <w:t>.</w:t>
                </w:r>
                <w:r w:rsidRPr="000F057A">
                  <w:rPr>
                    <w:rFonts w:cs="Segoe UI"/>
                    <w:sz w:val="14"/>
                    <w:lang w:eastAsia="it-IT"/>
                  </w:rPr>
                  <w:t>38%</w:t>
                </w:r>
              </w:p>
            </w:tc>
            <w:tc>
              <w:tcPr>
                <w:tcW w:w="287" w:type="pct"/>
                <w:shd w:val="clear" w:color="auto" w:fill="FFFFFF" w:themeFill="background2"/>
                <w:vAlign w:val="center"/>
              </w:tcPr>
              <w:p w14:paraId="38E221C7" w14:textId="75CD8C75"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5</w:t>
                </w:r>
                <w:r w:rsidR="00854FE3">
                  <w:rPr>
                    <w:rFonts w:cs="Segoe UI"/>
                    <w:sz w:val="14"/>
                    <w:lang w:eastAsia="it-IT"/>
                  </w:rPr>
                  <w:t>.</w:t>
                </w:r>
                <w:r w:rsidRPr="000F057A">
                  <w:rPr>
                    <w:rFonts w:cs="Segoe UI"/>
                    <w:sz w:val="14"/>
                    <w:lang w:eastAsia="it-IT"/>
                  </w:rPr>
                  <w:t>73%</w:t>
                </w:r>
              </w:p>
            </w:tc>
            <w:tc>
              <w:tcPr>
                <w:tcW w:w="287" w:type="pct"/>
                <w:shd w:val="clear" w:color="auto" w:fill="FFFFFF" w:themeFill="background2"/>
                <w:vAlign w:val="center"/>
              </w:tcPr>
              <w:p w14:paraId="56369AE5" w14:textId="3178D6B4"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6</w:t>
                </w:r>
                <w:r w:rsidR="00854FE3">
                  <w:rPr>
                    <w:rFonts w:cs="Segoe UI"/>
                    <w:sz w:val="14"/>
                    <w:lang w:eastAsia="it-IT"/>
                  </w:rPr>
                  <w:t>.</w:t>
                </w:r>
                <w:r w:rsidRPr="000F057A">
                  <w:rPr>
                    <w:rFonts w:cs="Segoe UI"/>
                    <w:sz w:val="14"/>
                    <w:lang w:eastAsia="it-IT"/>
                  </w:rPr>
                  <w:t>17%</w:t>
                </w:r>
              </w:p>
            </w:tc>
            <w:tc>
              <w:tcPr>
                <w:tcW w:w="287" w:type="pct"/>
                <w:shd w:val="clear" w:color="auto" w:fill="FFFFFF" w:themeFill="background2"/>
                <w:vAlign w:val="center"/>
              </w:tcPr>
              <w:p w14:paraId="07E12799" w14:textId="19BA763D"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5</w:t>
                </w:r>
                <w:r w:rsidR="00854FE3">
                  <w:rPr>
                    <w:rFonts w:cs="Segoe UI"/>
                    <w:sz w:val="14"/>
                    <w:lang w:eastAsia="it-IT"/>
                  </w:rPr>
                  <w:t>.</w:t>
                </w:r>
                <w:r w:rsidRPr="000F057A">
                  <w:rPr>
                    <w:rFonts w:cs="Segoe UI"/>
                    <w:sz w:val="14"/>
                    <w:lang w:eastAsia="it-IT"/>
                  </w:rPr>
                  <w:t>73%</w:t>
                </w:r>
              </w:p>
            </w:tc>
            <w:tc>
              <w:tcPr>
                <w:tcW w:w="287" w:type="pct"/>
                <w:shd w:val="clear" w:color="auto" w:fill="FFFFFF" w:themeFill="background2"/>
                <w:vAlign w:val="center"/>
              </w:tcPr>
              <w:p w14:paraId="63B8DB57" w14:textId="170FD98D"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4</w:t>
                </w:r>
                <w:r w:rsidR="00854FE3">
                  <w:rPr>
                    <w:rFonts w:cs="Segoe UI"/>
                    <w:sz w:val="14"/>
                    <w:lang w:eastAsia="it-IT"/>
                  </w:rPr>
                  <w:t>.</w:t>
                </w:r>
                <w:r w:rsidRPr="000F057A">
                  <w:rPr>
                    <w:rFonts w:cs="Segoe UI"/>
                    <w:sz w:val="14"/>
                    <w:lang w:eastAsia="it-IT"/>
                  </w:rPr>
                  <w:t>96%</w:t>
                </w:r>
              </w:p>
            </w:tc>
            <w:tc>
              <w:tcPr>
                <w:tcW w:w="287" w:type="pct"/>
                <w:shd w:val="clear" w:color="auto" w:fill="FFFFFF" w:themeFill="background2"/>
                <w:vAlign w:val="center"/>
              </w:tcPr>
              <w:p w14:paraId="0263C7E5" w14:textId="35BA79B8"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4</w:t>
                </w:r>
                <w:r w:rsidR="00854FE3">
                  <w:rPr>
                    <w:rFonts w:cs="Segoe UI"/>
                    <w:sz w:val="14"/>
                    <w:lang w:eastAsia="it-IT"/>
                  </w:rPr>
                  <w:t>.</w:t>
                </w:r>
                <w:r w:rsidRPr="000F057A">
                  <w:rPr>
                    <w:rFonts w:cs="Segoe UI"/>
                    <w:sz w:val="14"/>
                    <w:lang w:eastAsia="it-IT"/>
                  </w:rPr>
                  <w:t>67%</w:t>
                </w:r>
              </w:p>
            </w:tc>
            <w:tc>
              <w:tcPr>
                <w:tcW w:w="287" w:type="pct"/>
                <w:shd w:val="clear" w:color="auto" w:fill="FFFFFF" w:themeFill="background2"/>
                <w:vAlign w:val="center"/>
              </w:tcPr>
              <w:p w14:paraId="48F83D89" w14:textId="1B629F53"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7</w:t>
                </w:r>
                <w:r w:rsidR="00854FE3">
                  <w:rPr>
                    <w:rFonts w:cs="Segoe UI"/>
                    <w:sz w:val="14"/>
                    <w:lang w:eastAsia="it-IT"/>
                  </w:rPr>
                  <w:t>.</w:t>
                </w:r>
                <w:r w:rsidRPr="000F057A">
                  <w:rPr>
                    <w:rFonts w:cs="Segoe UI"/>
                    <w:sz w:val="14"/>
                    <w:lang w:eastAsia="it-IT"/>
                  </w:rPr>
                  <w:t>61%</w:t>
                </w:r>
              </w:p>
            </w:tc>
            <w:tc>
              <w:tcPr>
                <w:tcW w:w="287" w:type="pct"/>
                <w:shd w:val="clear" w:color="auto" w:fill="FFFFFF" w:themeFill="background2"/>
                <w:vAlign w:val="center"/>
              </w:tcPr>
              <w:p w14:paraId="765D8417" w14:textId="229A7A03"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8</w:t>
                </w:r>
                <w:r w:rsidR="00854FE3">
                  <w:rPr>
                    <w:rFonts w:cs="Segoe UI"/>
                    <w:sz w:val="14"/>
                    <w:lang w:eastAsia="it-IT"/>
                  </w:rPr>
                  <w:t>.</w:t>
                </w:r>
                <w:r w:rsidRPr="000F057A">
                  <w:rPr>
                    <w:rFonts w:cs="Segoe UI"/>
                    <w:sz w:val="14"/>
                    <w:lang w:eastAsia="it-IT"/>
                  </w:rPr>
                  <w:t>60%</w:t>
                </w:r>
              </w:p>
            </w:tc>
            <w:tc>
              <w:tcPr>
                <w:tcW w:w="287" w:type="pct"/>
                <w:shd w:val="clear" w:color="auto" w:fill="FFFFFF" w:themeFill="background2"/>
                <w:vAlign w:val="center"/>
              </w:tcPr>
              <w:p w14:paraId="7CA15698" w14:textId="21A0F090" w:rsidR="00E51AEC" w:rsidRPr="00037678" w:rsidRDefault="00E51AEC" w:rsidP="007D5998">
                <w:pPr>
                  <w:pStyle w:val="TableTextLeft"/>
                  <w:spacing w:before="0" w:after="0"/>
                  <w:jc w:val="center"/>
                  <w:rPr>
                    <w:rFonts w:cs="Segoe UI"/>
                    <w:sz w:val="14"/>
                    <w:lang w:eastAsia="it-IT"/>
                  </w:rPr>
                </w:pPr>
                <w:r w:rsidRPr="00037678">
                  <w:rPr>
                    <w:rFonts w:cs="Segoe UI"/>
                    <w:sz w:val="14"/>
                    <w:lang w:eastAsia="it-IT"/>
                  </w:rPr>
                  <w:t>6</w:t>
                </w:r>
                <w:r w:rsidR="00854FE3">
                  <w:rPr>
                    <w:rFonts w:cs="Segoe UI"/>
                    <w:sz w:val="14"/>
                    <w:lang w:eastAsia="it-IT"/>
                  </w:rPr>
                  <w:t>.</w:t>
                </w:r>
                <w:r w:rsidRPr="00037678">
                  <w:rPr>
                    <w:rFonts w:cs="Segoe UI"/>
                    <w:sz w:val="14"/>
                    <w:lang w:eastAsia="it-IT"/>
                  </w:rPr>
                  <w:t>78%</w:t>
                </w:r>
              </w:p>
            </w:tc>
            <w:tc>
              <w:tcPr>
                <w:tcW w:w="287" w:type="pct"/>
                <w:shd w:val="clear" w:color="auto" w:fill="FFFFFF" w:themeFill="background2"/>
                <w:vAlign w:val="center"/>
              </w:tcPr>
              <w:p w14:paraId="1B38024B" w14:textId="58E2CD74" w:rsidR="00E51AEC" w:rsidRPr="003A089A" w:rsidRDefault="00E51AEC" w:rsidP="007D5998">
                <w:pPr>
                  <w:pStyle w:val="TableTextLeft"/>
                  <w:spacing w:before="0" w:after="0"/>
                  <w:jc w:val="center"/>
                  <w:rPr>
                    <w:rFonts w:cs="Segoe UI"/>
                    <w:b/>
                    <w:bCs/>
                    <w:sz w:val="14"/>
                    <w:lang w:eastAsia="it-IT"/>
                  </w:rPr>
                </w:pPr>
                <w:r w:rsidRPr="003A089A">
                  <w:rPr>
                    <w:rFonts w:cs="Segoe UI"/>
                    <w:b/>
                    <w:bCs/>
                    <w:sz w:val="14"/>
                    <w:lang w:eastAsia="it-IT"/>
                  </w:rPr>
                  <w:t>9</w:t>
                </w:r>
                <w:r w:rsidR="00854FE3">
                  <w:rPr>
                    <w:rFonts w:cs="Segoe UI"/>
                    <w:b/>
                    <w:bCs/>
                    <w:sz w:val="14"/>
                    <w:lang w:eastAsia="it-IT"/>
                  </w:rPr>
                  <w:t>.</w:t>
                </w:r>
                <w:r w:rsidRPr="003A089A">
                  <w:rPr>
                    <w:rFonts w:cs="Segoe UI"/>
                    <w:b/>
                    <w:bCs/>
                    <w:sz w:val="14"/>
                    <w:lang w:eastAsia="it-IT"/>
                  </w:rPr>
                  <w:t>03%</w:t>
                </w:r>
              </w:p>
            </w:tc>
          </w:tr>
          <w:tr w:rsidR="00A42890" w:rsidRPr="003A089A" w14:paraId="47244127" w14:textId="421A9AD6" w:rsidTr="00A875C2">
            <w:trPr>
              <w:trHeight w:val="283"/>
            </w:trPr>
            <w:tc>
              <w:tcPr>
                <w:tcW w:w="341" w:type="pct"/>
                <w:shd w:val="clear" w:color="auto" w:fill="FFFFFF" w:themeFill="background2"/>
                <w:tcMar>
                  <w:top w:w="60" w:type="dxa"/>
                  <w:left w:w="114" w:type="dxa"/>
                  <w:bottom w:w="60" w:type="dxa"/>
                  <w:right w:w="114" w:type="dxa"/>
                </w:tcMar>
                <w:vAlign w:val="center"/>
              </w:tcPr>
              <w:p w14:paraId="50FCCBBA" w14:textId="7A97E351" w:rsidR="00E51AEC" w:rsidRPr="000F057A" w:rsidRDefault="00E51AEC" w:rsidP="00A42890">
                <w:pPr>
                  <w:pStyle w:val="TableTextLeft"/>
                  <w:spacing w:before="0" w:after="0"/>
                  <w:rPr>
                    <w:rFonts w:cs="Segoe UI"/>
                    <w:b/>
                    <w:bCs/>
                    <w:sz w:val="14"/>
                    <w:lang w:eastAsia="it-IT"/>
                  </w:rPr>
                </w:pPr>
                <w:r w:rsidRPr="000F057A">
                  <w:rPr>
                    <w:rFonts w:cs="Segoe UI"/>
                    <w:b/>
                    <w:bCs/>
                    <w:sz w:val="14"/>
                    <w:lang w:eastAsia="it-IT"/>
                  </w:rPr>
                  <w:t>C1.2</w:t>
                </w:r>
              </w:p>
            </w:tc>
            <w:tc>
              <w:tcPr>
                <w:tcW w:w="321" w:type="pct"/>
                <w:shd w:val="clear" w:color="auto" w:fill="FFFFFF" w:themeFill="background2"/>
                <w:tcMar>
                  <w:top w:w="60" w:type="dxa"/>
                  <w:left w:w="114" w:type="dxa"/>
                  <w:bottom w:w="60" w:type="dxa"/>
                  <w:right w:w="114" w:type="dxa"/>
                </w:tcMar>
                <w:vAlign w:val="center"/>
              </w:tcPr>
              <w:p w14:paraId="0D208F7E" w14:textId="23BD0BEE" w:rsidR="00E51AEC" w:rsidRPr="002E1E6B" w:rsidRDefault="00E51AEC" w:rsidP="007D5998">
                <w:pPr>
                  <w:pStyle w:val="TableTextLeft"/>
                  <w:spacing w:before="0" w:after="0"/>
                  <w:jc w:val="center"/>
                  <w:rPr>
                    <w:rFonts w:cs="Segoe UI"/>
                    <w:sz w:val="14"/>
                    <w:lang w:eastAsia="it-IT"/>
                  </w:rPr>
                </w:pPr>
                <w:r w:rsidRPr="000F057A">
                  <w:rPr>
                    <w:rFonts w:cs="Segoe UI"/>
                    <w:sz w:val="14"/>
                    <w:lang w:eastAsia="it-IT"/>
                  </w:rPr>
                  <w:t>5</w:t>
                </w:r>
                <w:r w:rsidR="00854FE3">
                  <w:rPr>
                    <w:rFonts w:cs="Segoe UI"/>
                    <w:sz w:val="14"/>
                    <w:lang w:eastAsia="it-IT"/>
                  </w:rPr>
                  <w:t>.</w:t>
                </w:r>
                <w:r w:rsidRPr="000F057A">
                  <w:rPr>
                    <w:rFonts w:cs="Segoe UI"/>
                    <w:sz w:val="14"/>
                    <w:lang w:eastAsia="it-IT"/>
                  </w:rPr>
                  <w:t>11%</w:t>
                </w:r>
              </w:p>
            </w:tc>
            <w:tc>
              <w:tcPr>
                <w:tcW w:w="321" w:type="pct"/>
                <w:shd w:val="clear" w:color="auto" w:fill="FFFFFF" w:themeFill="background2"/>
                <w:tcMar>
                  <w:top w:w="60" w:type="dxa"/>
                  <w:left w:w="114" w:type="dxa"/>
                  <w:bottom w:w="60" w:type="dxa"/>
                  <w:right w:w="114" w:type="dxa"/>
                </w:tcMar>
                <w:vAlign w:val="center"/>
              </w:tcPr>
              <w:p w14:paraId="352D7DFC" w14:textId="02E0298A" w:rsidR="00E51AEC" w:rsidRPr="002E1E6B" w:rsidRDefault="00E51AEC" w:rsidP="007D5998">
                <w:pPr>
                  <w:pStyle w:val="TableTextLeft"/>
                  <w:spacing w:before="0" w:after="0"/>
                  <w:jc w:val="center"/>
                  <w:rPr>
                    <w:rFonts w:cs="Segoe UI"/>
                    <w:sz w:val="14"/>
                    <w:lang w:eastAsia="it-IT"/>
                  </w:rPr>
                </w:pPr>
                <w:r w:rsidRPr="000F057A">
                  <w:rPr>
                    <w:rFonts w:cs="Segoe UI"/>
                    <w:sz w:val="14"/>
                    <w:lang w:eastAsia="it-IT"/>
                  </w:rPr>
                  <w:t>4</w:t>
                </w:r>
                <w:r w:rsidR="00854FE3">
                  <w:rPr>
                    <w:rFonts w:cs="Segoe UI"/>
                    <w:sz w:val="14"/>
                    <w:lang w:eastAsia="it-IT"/>
                  </w:rPr>
                  <w:t>.</w:t>
                </w:r>
                <w:r w:rsidRPr="000F057A">
                  <w:rPr>
                    <w:rFonts w:cs="Segoe UI"/>
                    <w:sz w:val="14"/>
                    <w:lang w:eastAsia="it-IT"/>
                  </w:rPr>
                  <w:t>74%</w:t>
                </w:r>
              </w:p>
            </w:tc>
            <w:tc>
              <w:tcPr>
                <w:tcW w:w="287" w:type="pct"/>
                <w:shd w:val="clear" w:color="auto" w:fill="FFFFFF" w:themeFill="background2"/>
                <w:vAlign w:val="center"/>
              </w:tcPr>
              <w:p w14:paraId="2D4702A4" w14:textId="41F28038" w:rsidR="00E51AEC" w:rsidRPr="002E1E6B" w:rsidRDefault="00E51AEC" w:rsidP="007D5998">
                <w:pPr>
                  <w:pStyle w:val="TableTextLeft"/>
                  <w:spacing w:before="0" w:after="0"/>
                  <w:jc w:val="center"/>
                  <w:rPr>
                    <w:rFonts w:cs="Segoe UI"/>
                    <w:sz w:val="14"/>
                    <w:lang w:eastAsia="it-IT"/>
                  </w:rPr>
                </w:pPr>
                <w:r w:rsidRPr="000F057A">
                  <w:rPr>
                    <w:rFonts w:cs="Segoe UI"/>
                    <w:sz w:val="14"/>
                    <w:lang w:eastAsia="it-IT"/>
                  </w:rPr>
                  <w:t>4</w:t>
                </w:r>
                <w:r w:rsidR="00854FE3">
                  <w:rPr>
                    <w:rFonts w:cs="Segoe UI"/>
                    <w:sz w:val="14"/>
                    <w:lang w:eastAsia="it-IT"/>
                  </w:rPr>
                  <w:t>.</w:t>
                </w:r>
                <w:r w:rsidRPr="000F057A">
                  <w:rPr>
                    <w:rFonts w:cs="Segoe UI"/>
                    <w:sz w:val="14"/>
                    <w:lang w:eastAsia="it-IT"/>
                  </w:rPr>
                  <w:t>14%</w:t>
                </w:r>
              </w:p>
            </w:tc>
            <w:tc>
              <w:tcPr>
                <w:tcW w:w="287" w:type="pct"/>
                <w:shd w:val="clear" w:color="auto" w:fill="FFFFFF" w:themeFill="background2"/>
                <w:vAlign w:val="center"/>
              </w:tcPr>
              <w:p w14:paraId="183D1C1B" w14:textId="65E94525"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2</w:t>
                </w:r>
                <w:r w:rsidR="00854FE3">
                  <w:rPr>
                    <w:rFonts w:cs="Segoe UI"/>
                    <w:sz w:val="14"/>
                    <w:lang w:eastAsia="it-IT"/>
                  </w:rPr>
                  <w:t>.</w:t>
                </w:r>
                <w:r w:rsidRPr="000F057A">
                  <w:rPr>
                    <w:rFonts w:cs="Segoe UI"/>
                    <w:sz w:val="14"/>
                    <w:lang w:eastAsia="it-IT"/>
                  </w:rPr>
                  <w:t>65%</w:t>
                </w:r>
              </w:p>
            </w:tc>
            <w:tc>
              <w:tcPr>
                <w:tcW w:w="287" w:type="pct"/>
                <w:shd w:val="clear" w:color="auto" w:fill="FFFFFF" w:themeFill="background2"/>
                <w:vAlign w:val="center"/>
              </w:tcPr>
              <w:p w14:paraId="7B6BF911" w14:textId="66185495"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2</w:t>
                </w:r>
                <w:r w:rsidR="00854FE3">
                  <w:rPr>
                    <w:rFonts w:cs="Segoe UI"/>
                    <w:sz w:val="14"/>
                    <w:lang w:eastAsia="it-IT"/>
                  </w:rPr>
                  <w:t>.</w:t>
                </w:r>
                <w:r w:rsidRPr="000F057A">
                  <w:rPr>
                    <w:rFonts w:cs="Segoe UI"/>
                    <w:sz w:val="14"/>
                    <w:lang w:eastAsia="it-IT"/>
                  </w:rPr>
                  <w:t>08%</w:t>
                </w:r>
              </w:p>
            </w:tc>
            <w:tc>
              <w:tcPr>
                <w:tcW w:w="287" w:type="pct"/>
                <w:shd w:val="clear" w:color="auto" w:fill="FFFFFF" w:themeFill="background2"/>
                <w:vAlign w:val="center"/>
              </w:tcPr>
              <w:p w14:paraId="783F0964" w14:textId="7B100566"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2</w:t>
                </w:r>
                <w:r w:rsidR="00854FE3">
                  <w:rPr>
                    <w:rFonts w:cs="Segoe UI"/>
                    <w:sz w:val="14"/>
                    <w:lang w:eastAsia="it-IT"/>
                  </w:rPr>
                  <w:t>.</w:t>
                </w:r>
                <w:r w:rsidRPr="000F057A">
                  <w:rPr>
                    <w:rFonts w:cs="Segoe UI"/>
                    <w:sz w:val="14"/>
                    <w:lang w:eastAsia="it-IT"/>
                  </w:rPr>
                  <w:t>56%</w:t>
                </w:r>
              </w:p>
            </w:tc>
            <w:tc>
              <w:tcPr>
                <w:tcW w:w="287" w:type="pct"/>
                <w:shd w:val="clear" w:color="auto" w:fill="FFFFFF" w:themeFill="background2"/>
                <w:vAlign w:val="center"/>
              </w:tcPr>
              <w:p w14:paraId="25584A39" w14:textId="56979ACA"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3</w:t>
                </w:r>
                <w:r w:rsidR="00854FE3">
                  <w:rPr>
                    <w:rFonts w:cs="Segoe UI"/>
                    <w:sz w:val="14"/>
                    <w:lang w:eastAsia="it-IT"/>
                  </w:rPr>
                  <w:t>.</w:t>
                </w:r>
                <w:r w:rsidRPr="000F057A">
                  <w:rPr>
                    <w:rFonts w:cs="Segoe UI"/>
                    <w:sz w:val="14"/>
                    <w:lang w:eastAsia="it-IT"/>
                  </w:rPr>
                  <w:t>21%</w:t>
                </w:r>
              </w:p>
            </w:tc>
            <w:tc>
              <w:tcPr>
                <w:tcW w:w="287" w:type="pct"/>
                <w:shd w:val="clear" w:color="auto" w:fill="FFFFFF" w:themeFill="background2"/>
                <w:vAlign w:val="center"/>
              </w:tcPr>
              <w:p w14:paraId="1DD88F39" w14:textId="32890D0F"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3</w:t>
                </w:r>
                <w:r w:rsidR="00854FE3">
                  <w:rPr>
                    <w:rFonts w:cs="Segoe UI"/>
                    <w:sz w:val="14"/>
                    <w:lang w:eastAsia="it-IT"/>
                  </w:rPr>
                  <w:t>.</w:t>
                </w:r>
                <w:r w:rsidRPr="000F057A">
                  <w:rPr>
                    <w:rFonts w:cs="Segoe UI"/>
                    <w:sz w:val="14"/>
                    <w:lang w:eastAsia="it-IT"/>
                  </w:rPr>
                  <w:t>07%</w:t>
                </w:r>
              </w:p>
            </w:tc>
            <w:tc>
              <w:tcPr>
                <w:tcW w:w="287" w:type="pct"/>
                <w:shd w:val="clear" w:color="auto" w:fill="FFFFFF" w:themeFill="background2"/>
                <w:vAlign w:val="center"/>
              </w:tcPr>
              <w:p w14:paraId="17FB33CF" w14:textId="3967B61F"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3</w:t>
                </w:r>
                <w:r w:rsidR="00854FE3">
                  <w:rPr>
                    <w:rFonts w:cs="Segoe UI"/>
                    <w:sz w:val="14"/>
                    <w:lang w:eastAsia="it-IT"/>
                  </w:rPr>
                  <w:t>.</w:t>
                </w:r>
                <w:r w:rsidRPr="000F057A">
                  <w:rPr>
                    <w:rFonts w:cs="Segoe UI"/>
                    <w:sz w:val="14"/>
                    <w:lang w:eastAsia="it-IT"/>
                  </w:rPr>
                  <w:t>24%</w:t>
                </w:r>
              </w:p>
            </w:tc>
            <w:tc>
              <w:tcPr>
                <w:tcW w:w="287" w:type="pct"/>
                <w:shd w:val="clear" w:color="auto" w:fill="FFFFFF" w:themeFill="background2"/>
                <w:vAlign w:val="center"/>
              </w:tcPr>
              <w:p w14:paraId="1AFF4539" w14:textId="745CFF48"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2</w:t>
                </w:r>
                <w:r w:rsidR="00854FE3">
                  <w:rPr>
                    <w:rFonts w:cs="Segoe UI"/>
                    <w:sz w:val="14"/>
                    <w:lang w:eastAsia="it-IT"/>
                  </w:rPr>
                  <w:t>.</w:t>
                </w:r>
                <w:r w:rsidRPr="000F057A">
                  <w:rPr>
                    <w:rFonts w:cs="Segoe UI"/>
                    <w:sz w:val="14"/>
                    <w:lang w:eastAsia="it-IT"/>
                  </w:rPr>
                  <w:t>88%</w:t>
                </w:r>
              </w:p>
            </w:tc>
            <w:tc>
              <w:tcPr>
                <w:tcW w:w="287" w:type="pct"/>
                <w:shd w:val="clear" w:color="auto" w:fill="FFFFFF" w:themeFill="background2"/>
                <w:vAlign w:val="center"/>
              </w:tcPr>
              <w:p w14:paraId="4E0F57F3" w14:textId="404D1C3E"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2</w:t>
                </w:r>
                <w:r w:rsidR="00854FE3">
                  <w:rPr>
                    <w:rFonts w:cs="Segoe UI"/>
                    <w:sz w:val="14"/>
                    <w:lang w:eastAsia="it-IT"/>
                  </w:rPr>
                  <w:t>.</w:t>
                </w:r>
                <w:r w:rsidRPr="000F057A">
                  <w:rPr>
                    <w:rFonts w:cs="Segoe UI"/>
                    <w:sz w:val="14"/>
                    <w:lang w:eastAsia="it-IT"/>
                  </w:rPr>
                  <w:t>27%</w:t>
                </w:r>
              </w:p>
            </w:tc>
            <w:tc>
              <w:tcPr>
                <w:tcW w:w="287" w:type="pct"/>
                <w:shd w:val="clear" w:color="auto" w:fill="FFFFFF" w:themeFill="background2"/>
                <w:vAlign w:val="center"/>
              </w:tcPr>
              <w:p w14:paraId="42C86B25" w14:textId="084D81A0"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1</w:t>
                </w:r>
                <w:r w:rsidR="00854FE3">
                  <w:rPr>
                    <w:rFonts w:cs="Segoe UI"/>
                    <w:sz w:val="14"/>
                    <w:lang w:eastAsia="it-IT"/>
                  </w:rPr>
                  <w:t>.</w:t>
                </w:r>
                <w:r w:rsidRPr="000F057A">
                  <w:rPr>
                    <w:rFonts w:cs="Segoe UI"/>
                    <w:sz w:val="14"/>
                    <w:lang w:eastAsia="it-IT"/>
                  </w:rPr>
                  <w:t>75%</w:t>
                </w:r>
              </w:p>
            </w:tc>
            <w:tc>
              <w:tcPr>
                <w:tcW w:w="287" w:type="pct"/>
                <w:shd w:val="clear" w:color="auto" w:fill="FFFFFF" w:themeFill="background2"/>
                <w:vAlign w:val="center"/>
              </w:tcPr>
              <w:p w14:paraId="1DC33F43" w14:textId="67A04C12"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2</w:t>
                </w:r>
                <w:r w:rsidR="00854FE3">
                  <w:rPr>
                    <w:rFonts w:cs="Segoe UI"/>
                    <w:sz w:val="14"/>
                    <w:lang w:eastAsia="it-IT"/>
                  </w:rPr>
                  <w:t>.</w:t>
                </w:r>
                <w:r w:rsidRPr="000F057A">
                  <w:rPr>
                    <w:rFonts w:cs="Segoe UI"/>
                    <w:sz w:val="14"/>
                    <w:lang w:eastAsia="it-IT"/>
                  </w:rPr>
                  <w:t>48%</w:t>
                </w:r>
              </w:p>
            </w:tc>
            <w:tc>
              <w:tcPr>
                <w:tcW w:w="287" w:type="pct"/>
                <w:shd w:val="clear" w:color="auto" w:fill="FFFFFF" w:themeFill="background2"/>
                <w:vAlign w:val="center"/>
              </w:tcPr>
              <w:p w14:paraId="665EB87E" w14:textId="281EFBCD"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2</w:t>
                </w:r>
                <w:r w:rsidR="00854FE3">
                  <w:rPr>
                    <w:rFonts w:cs="Segoe UI"/>
                    <w:sz w:val="14"/>
                    <w:lang w:eastAsia="it-IT"/>
                  </w:rPr>
                  <w:t>.</w:t>
                </w:r>
                <w:r w:rsidRPr="000F057A">
                  <w:rPr>
                    <w:rFonts w:cs="Segoe UI"/>
                    <w:sz w:val="14"/>
                    <w:lang w:eastAsia="it-IT"/>
                  </w:rPr>
                  <w:t>89%</w:t>
                </w:r>
              </w:p>
            </w:tc>
            <w:tc>
              <w:tcPr>
                <w:tcW w:w="287" w:type="pct"/>
                <w:shd w:val="clear" w:color="auto" w:fill="FFFFFF" w:themeFill="background2"/>
                <w:vAlign w:val="center"/>
              </w:tcPr>
              <w:p w14:paraId="5AD89ABB" w14:textId="10F108A6" w:rsidR="00E51AEC" w:rsidRPr="00037678" w:rsidRDefault="00E51AEC" w:rsidP="007D5998">
                <w:pPr>
                  <w:pStyle w:val="TableTextLeft"/>
                  <w:spacing w:before="0" w:after="0"/>
                  <w:jc w:val="center"/>
                  <w:rPr>
                    <w:rFonts w:cs="Segoe UI"/>
                    <w:sz w:val="14"/>
                    <w:lang w:eastAsia="it-IT"/>
                  </w:rPr>
                </w:pPr>
                <w:r w:rsidRPr="00037678">
                  <w:rPr>
                    <w:rFonts w:cs="Segoe UI"/>
                    <w:sz w:val="14"/>
                    <w:lang w:eastAsia="it-IT"/>
                  </w:rPr>
                  <w:t>2</w:t>
                </w:r>
                <w:r w:rsidR="00854FE3">
                  <w:rPr>
                    <w:rFonts w:cs="Segoe UI"/>
                    <w:sz w:val="14"/>
                    <w:lang w:eastAsia="it-IT"/>
                  </w:rPr>
                  <w:t>.</w:t>
                </w:r>
                <w:r w:rsidRPr="00037678">
                  <w:rPr>
                    <w:rFonts w:cs="Segoe UI"/>
                    <w:sz w:val="14"/>
                    <w:lang w:eastAsia="it-IT"/>
                  </w:rPr>
                  <w:t>04%</w:t>
                </w:r>
              </w:p>
            </w:tc>
            <w:tc>
              <w:tcPr>
                <w:tcW w:w="287" w:type="pct"/>
                <w:shd w:val="clear" w:color="auto" w:fill="FFFFFF" w:themeFill="background2"/>
                <w:vAlign w:val="center"/>
              </w:tcPr>
              <w:p w14:paraId="11B2D9B0" w14:textId="4725F2A9" w:rsidR="00E51AEC" w:rsidRPr="003A089A" w:rsidRDefault="00E51AEC" w:rsidP="007D5998">
                <w:pPr>
                  <w:pStyle w:val="TableTextLeft"/>
                  <w:spacing w:before="0" w:after="0"/>
                  <w:jc w:val="center"/>
                  <w:rPr>
                    <w:rFonts w:cs="Segoe UI"/>
                    <w:b/>
                    <w:bCs/>
                    <w:sz w:val="14"/>
                    <w:lang w:eastAsia="it-IT"/>
                  </w:rPr>
                </w:pPr>
                <w:r w:rsidRPr="003A089A">
                  <w:rPr>
                    <w:rFonts w:cs="Segoe UI"/>
                    <w:b/>
                    <w:bCs/>
                    <w:sz w:val="14"/>
                    <w:lang w:eastAsia="it-IT"/>
                  </w:rPr>
                  <w:t>3</w:t>
                </w:r>
                <w:r w:rsidR="00854FE3">
                  <w:rPr>
                    <w:rFonts w:cs="Segoe UI"/>
                    <w:b/>
                    <w:bCs/>
                    <w:sz w:val="14"/>
                    <w:lang w:eastAsia="it-IT"/>
                  </w:rPr>
                  <w:t>.</w:t>
                </w:r>
                <w:r w:rsidRPr="003A089A">
                  <w:rPr>
                    <w:rFonts w:cs="Segoe UI"/>
                    <w:b/>
                    <w:bCs/>
                    <w:sz w:val="14"/>
                    <w:lang w:eastAsia="it-IT"/>
                  </w:rPr>
                  <w:t>46%</w:t>
                </w:r>
              </w:p>
            </w:tc>
          </w:tr>
          <w:tr w:rsidR="00A42890" w:rsidRPr="003A089A" w14:paraId="7E124C0C" w14:textId="26F66928" w:rsidTr="00A875C2">
            <w:trPr>
              <w:trHeight w:val="283"/>
            </w:trPr>
            <w:tc>
              <w:tcPr>
                <w:tcW w:w="341" w:type="pct"/>
                <w:shd w:val="clear" w:color="auto" w:fill="FFFFFF" w:themeFill="background2"/>
                <w:tcMar>
                  <w:top w:w="60" w:type="dxa"/>
                  <w:left w:w="114" w:type="dxa"/>
                  <w:bottom w:w="60" w:type="dxa"/>
                  <w:right w:w="114" w:type="dxa"/>
                </w:tcMar>
                <w:vAlign w:val="center"/>
              </w:tcPr>
              <w:p w14:paraId="54E443D7" w14:textId="591F146E" w:rsidR="00E51AEC" w:rsidRPr="000F057A" w:rsidRDefault="00E51AEC" w:rsidP="00A42890">
                <w:pPr>
                  <w:pStyle w:val="TableTextLeft"/>
                  <w:spacing w:before="0" w:after="0"/>
                  <w:rPr>
                    <w:rFonts w:cs="Segoe UI"/>
                    <w:b/>
                    <w:bCs/>
                    <w:sz w:val="14"/>
                    <w:lang w:eastAsia="it-IT"/>
                  </w:rPr>
                </w:pPr>
                <w:r w:rsidRPr="000F057A">
                  <w:rPr>
                    <w:rFonts w:cs="Segoe UI"/>
                    <w:b/>
                    <w:bCs/>
                    <w:sz w:val="14"/>
                    <w:lang w:eastAsia="it-IT"/>
                  </w:rPr>
                  <w:t>C2.1</w:t>
                </w:r>
              </w:p>
            </w:tc>
            <w:tc>
              <w:tcPr>
                <w:tcW w:w="321" w:type="pct"/>
                <w:shd w:val="clear" w:color="auto" w:fill="FFFFFF" w:themeFill="background2"/>
                <w:tcMar>
                  <w:top w:w="60" w:type="dxa"/>
                  <w:left w:w="114" w:type="dxa"/>
                  <w:bottom w:w="60" w:type="dxa"/>
                  <w:right w:w="114" w:type="dxa"/>
                </w:tcMar>
                <w:vAlign w:val="center"/>
              </w:tcPr>
              <w:p w14:paraId="540B84AB" w14:textId="10569323" w:rsidR="00E51AEC" w:rsidRPr="002E1E6B" w:rsidRDefault="00E51AEC" w:rsidP="007D5998">
                <w:pPr>
                  <w:pStyle w:val="TableTextLeft"/>
                  <w:spacing w:before="0" w:after="0"/>
                  <w:jc w:val="center"/>
                  <w:rPr>
                    <w:rFonts w:cs="Segoe UI"/>
                    <w:sz w:val="14"/>
                    <w:lang w:eastAsia="it-IT"/>
                  </w:rPr>
                </w:pPr>
                <w:r w:rsidRPr="000F057A">
                  <w:rPr>
                    <w:rFonts w:cs="Segoe UI"/>
                    <w:sz w:val="14"/>
                    <w:lang w:eastAsia="it-IT"/>
                  </w:rPr>
                  <w:t>3</w:t>
                </w:r>
                <w:r w:rsidR="00854FE3">
                  <w:rPr>
                    <w:rFonts w:cs="Segoe UI"/>
                    <w:sz w:val="14"/>
                    <w:lang w:eastAsia="it-IT"/>
                  </w:rPr>
                  <w:t>.</w:t>
                </w:r>
                <w:r w:rsidRPr="000F057A">
                  <w:rPr>
                    <w:rFonts w:cs="Segoe UI"/>
                    <w:sz w:val="14"/>
                    <w:lang w:eastAsia="it-IT"/>
                  </w:rPr>
                  <w:t>97%</w:t>
                </w:r>
              </w:p>
            </w:tc>
            <w:tc>
              <w:tcPr>
                <w:tcW w:w="321" w:type="pct"/>
                <w:shd w:val="clear" w:color="auto" w:fill="FFFFFF" w:themeFill="background2"/>
                <w:tcMar>
                  <w:top w:w="60" w:type="dxa"/>
                  <w:left w:w="114" w:type="dxa"/>
                  <w:bottom w:w="60" w:type="dxa"/>
                  <w:right w:w="114" w:type="dxa"/>
                </w:tcMar>
                <w:vAlign w:val="center"/>
              </w:tcPr>
              <w:p w14:paraId="58ED6DBC" w14:textId="07169231" w:rsidR="00E51AEC" w:rsidRPr="002E1E6B" w:rsidRDefault="00E51AEC" w:rsidP="007D5998">
                <w:pPr>
                  <w:pStyle w:val="TableTextLeft"/>
                  <w:spacing w:before="0" w:after="0"/>
                  <w:jc w:val="center"/>
                  <w:rPr>
                    <w:rFonts w:cs="Segoe UI"/>
                    <w:sz w:val="14"/>
                    <w:lang w:eastAsia="it-IT"/>
                  </w:rPr>
                </w:pPr>
                <w:r w:rsidRPr="000F057A">
                  <w:rPr>
                    <w:rFonts w:cs="Segoe UI"/>
                    <w:sz w:val="14"/>
                    <w:lang w:eastAsia="it-IT"/>
                  </w:rPr>
                  <w:t>4</w:t>
                </w:r>
                <w:r w:rsidR="00854FE3">
                  <w:rPr>
                    <w:rFonts w:cs="Segoe UI"/>
                    <w:sz w:val="14"/>
                    <w:lang w:eastAsia="it-IT"/>
                  </w:rPr>
                  <w:t>.</w:t>
                </w:r>
                <w:r w:rsidRPr="000F057A">
                  <w:rPr>
                    <w:rFonts w:cs="Segoe UI"/>
                    <w:sz w:val="14"/>
                    <w:lang w:eastAsia="it-IT"/>
                  </w:rPr>
                  <w:t>10%</w:t>
                </w:r>
              </w:p>
            </w:tc>
            <w:tc>
              <w:tcPr>
                <w:tcW w:w="287" w:type="pct"/>
                <w:shd w:val="clear" w:color="auto" w:fill="FFFFFF" w:themeFill="background2"/>
                <w:vAlign w:val="center"/>
              </w:tcPr>
              <w:p w14:paraId="2797A86E" w14:textId="124504D3" w:rsidR="00E51AEC" w:rsidRPr="002E1E6B" w:rsidRDefault="00E51AEC" w:rsidP="007D5998">
                <w:pPr>
                  <w:pStyle w:val="TableTextLeft"/>
                  <w:spacing w:before="0" w:after="0"/>
                  <w:jc w:val="center"/>
                  <w:rPr>
                    <w:rFonts w:cs="Segoe UI"/>
                    <w:sz w:val="14"/>
                    <w:lang w:eastAsia="it-IT"/>
                  </w:rPr>
                </w:pPr>
                <w:r w:rsidRPr="000F057A">
                  <w:rPr>
                    <w:rFonts w:cs="Segoe UI"/>
                    <w:sz w:val="14"/>
                    <w:lang w:eastAsia="it-IT"/>
                  </w:rPr>
                  <w:t>3</w:t>
                </w:r>
                <w:r w:rsidR="00854FE3">
                  <w:rPr>
                    <w:rFonts w:cs="Segoe UI"/>
                    <w:sz w:val="14"/>
                    <w:lang w:eastAsia="it-IT"/>
                  </w:rPr>
                  <w:t>.</w:t>
                </w:r>
                <w:r w:rsidRPr="000F057A">
                  <w:rPr>
                    <w:rFonts w:cs="Segoe UI"/>
                    <w:sz w:val="14"/>
                    <w:lang w:eastAsia="it-IT"/>
                  </w:rPr>
                  <w:t>72%</w:t>
                </w:r>
              </w:p>
            </w:tc>
            <w:tc>
              <w:tcPr>
                <w:tcW w:w="287" w:type="pct"/>
                <w:shd w:val="clear" w:color="auto" w:fill="FFFFFF" w:themeFill="background2"/>
                <w:vAlign w:val="center"/>
              </w:tcPr>
              <w:p w14:paraId="0025435B" w14:textId="55FA577B"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2</w:t>
                </w:r>
                <w:r w:rsidR="00854FE3">
                  <w:rPr>
                    <w:rFonts w:cs="Segoe UI"/>
                    <w:sz w:val="14"/>
                    <w:lang w:eastAsia="it-IT"/>
                  </w:rPr>
                  <w:t>.</w:t>
                </w:r>
                <w:r w:rsidRPr="000F057A">
                  <w:rPr>
                    <w:rFonts w:cs="Segoe UI"/>
                    <w:sz w:val="14"/>
                    <w:lang w:eastAsia="it-IT"/>
                  </w:rPr>
                  <w:t>56%</w:t>
                </w:r>
              </w:p>
            </w:tc>
            <w:tc>
              <w:tcPr>
                <w:tcW w:w="287" w:type="pct"/>
                <w:shd w:val="clear" w:color="auto" w:fill="FFFFFF" w:themeFill="background2"/>
                <w:vAlign w:val="center"/>
              </w:tcPr>
              <w:p w14:paraId="3095A0CC" w14:textId="55F4A8FD"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2</w:t>
                </w:r>
                <w:r w:rsidR="00854FE3">
                  <w:rPr>
                    <w:rFonts w:cs="Segoe UI"/>
                    <w:sz w:val="14"/>
                    <w:lang w:eastAsia="it-IT"/>
                  </w:rPr>
                  <w:t>.</w:t>
                </w:r>
                <w:r w:rsidRPr="000F057A">
                  <w:rPr>
                    <w:rFonts w:cs="Segoe UI"/>
                    <w:sz w:val="14"/>
                    <w:lang w:eastAsia="it-IT"/>
                  </w:rPr>
                  <w:t>14%</w:t>
                </w:r>
              </w:p>
            </w:tc>
            <w:tc>
              <w:tcPr>
                <w:tcW w:w="287" w:type="pct"/>
                <w:shd w:val="clear" w:color="auto" w:fill="FFFFFF" w:themeFill="background2"/>
                <w:vAlign w:val="center"/>
              </w:tcPr>
              <w:p w14:paraId="7746886D" w14:textId="7E722AF7"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2</w:t>
                </w:r>
                <w:r w:rsidR="00854FE3">
                  <w:rPr>
                    <w:rFonts w:cs="Segoe UI"/>
                    <w:sz w:val="14"/>
                    <w:lang w:eastAsia="it-IT"/>
                  </w:rPr>
                  <w:t>.</w:t>
                </w:r>
                <w:r w:rsidRPr="000F057A">
                  <w:rPr>
                    <w:rFonts w:cs="Segoe UI"/>
                    <w:sz w:val="14"/>
                    <w:lang w:eastAsia="it-IT"/>
                  </w:rPr>
                  <w:t>39%</w:t>
                </w:r>
              </w:p>
            </w:tc>
            <w:tc>
              <w:tcPr>
                <w:tcW w:w="287" w:type="pct"/>
                <w:shd w:val="clear" w:color="auto" w:fill="FFFFFF" w:themeFill="background2"/>
                <w:vAlign w:val="center"/>
              </w:tcPr>
              <w:p w14:paraId="67ECAF69" w14:textId="4ED77A8E"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3</w:t>
                </w:r>
                <w:r w:rsidR="00854FE3">
                  <w:rPr>
                    <w:rFonts w:cs="Segoe UI"/>
                    <w:sz w:val="14"/>
                    <w:lang w:eastAsia="it-IT"/>
                  </w:rPr>
                  <w:t>.</w:t>
                </w:r>
                <w:r w:rsidRPr="000F057A">
                  <w:rPr>
                    <w:rFonts w:cs="Segoe UI"/>
                    <w:sz w:val="14"/>
                    <w:lang w:eastAsia="it-IT"/>
                  </w:rPr>
                  <w:t>11%</w:t>
                </w:r>
              </w:p>
            </w:tc>
            <w:tc>
              <w:tcPr>
                <w:tcW w:w="287" w:type="pct"/>
                <w:shd w:val="clear" w:color="auto" w:fill="FFFFFF" w:themeFill="background2"/>
                <w:vAlign w:val="center"/>
              </w:tcPr>
              <w:p w14:paraId="70924B3D" w14:textId="0981B015"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2</w:t>
                </w:r>
                <w:r w:rsidR="00854FE3">
                  <w:rPr>
                    <w:rFonts w:cs="Segoe UI"/>
                    <w:sz w:val="14"/>
                    <w:lang w:eastAsia="it-IT"/>
                  </w:rPr>
                  <w:t>.</w:t>
                </w:r>
                <w:r w:rsidRPr="000F057A">
                  <w:rPr>
                    <w:rFonts w:cs="Segoe UI"/>
                    <w:sz w:val="14"/>
                    <w:lang w:eastAsia="it-IT"/>
                  </w:rPr>
                  <w:t>04%</w:t>
                </w:r>
              </w:p>
            </w:tc>
            <w:tc>
              <w:tcPr>
                <w:tcW w:w="287" w:type="pct"/>
                <w:shd w:val="clear" w:color="auto" w:fill="FFFFFF" w:themeFill="background2"/>
                <w:vAlign w:val="center"/>
              </w:tcPr>
              <w:p w14:paraId="375D5B92" w14:textId="52A041E4"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1</w:t>
                </w:r>
                <w:r w:rsidR="00854FE3">
                  <w:rPr>
                    <w:rFonts w:cs="Segoe UI"/>
                    <w:sz w:val="14"/>
                    <w:lang w:eastAsia="it-IT"/>
                  </w:rPr>
                  <w:t>.</w:t>
                </w:r>
                <w:r w:rsidRPr="000F057A">
                  <w:rPr>
                    <w:rFonts w:cs="Segoe UI"/>
                    <w:sz w:val="14"/>
                    <w:lang w:eastAsia="it-IT"/>
                  </w:rPr>
                  <w:t>63%</w:t>
                </w:r>
              </w:p>
            </w:tc>
            <w:tc>
              <w:tcPr>
                <w:tcW w:w="287" w:type="pct"/>
                <w:shd w:val="clear" w:color="auto" w:fill="FFFFFF" w:themeFill="background2"/>
                <w:vAlign w:val="center"/>
              </w:tcPr>
              <w:p w14:paraId="138EC5FC" w14:textId="242A343A"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1</w:t>
                </w:r>
                <w:r w:rsidR="00854FE3">
                  <w:rPr>
                    <w:rFonts w:cs="Segoe UI"/>
                    <w:sz w:val="14"/>
                    <w:lang w:eastAsia="it-IT"/>
                  </w:rPr>
                  <w:t>.</w:t>
                </w:r>
                <w:r w:rsidRPr="000F057A">
                  <w:rPr>
                    <w:rFonts w:cs="Segoe UI"/>
                    <w:sz w:val="14"/>
                    <w:lang w:eastAsia="it-IT"/>
                  </w:rPr>
                  <w:t>38%</w:t>
                </w:r>
              </w:p>
            </w:tc>
            <w:tc>
              <w:tcPr>
                <w:tcW w:w="287" w:type="pct"/>
                <w:shd w:val="clear" w:color="auto" w:fill="FFFFFF" w:themeFill="background2"/>
                <w:vAlign w:val="center"/>
              </w:tcPr>
              <w:p w14:paraId="674E1522" w14:textId="7B25D36C"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1</w:t>
                </w:r>
                <w:r w:rsidR="00854FE3">
                  <w:rPr>
                    <w:rFonts w:cs="Segoe UI"/>
                    <w:sz w:val="14"/>
                    <w:lang w:eastAsia="it-IT"/>
                  </w:rPr>
                  <w:t>.</w:t>
                </w:r>
                <w:r w:rsidRPr="000F057A">
                  <w:rPr>
                    <w:rFonts w:cs="Segoe UI"/>
                    <w:sz w:val="14"/>
                    <w:lang w:eastAsia="it-IT"/>
                  </w:rPr>
                  <w:t>04%</w:t>
                </w:r>
              </w:p>
            </w:tc>
            <w:tc>
              <w:tcPr>
                <w:tcW w:w="287" w:type="pct"/>
                <w:shd w:val="clear" w:color="auto" w:fill="FFFFFF" w:themeFill="background2"/>
                <w:vAlign w:val="center"/>
              </w:tcPr>
              <w:p w14:paraId="5E58E8ED" w14:textId="513A513F"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86%</w:t>
                </w:r>
              </w:p>
            </w:tc>
            <w:tc>
              <w:tcPr>
                <w:tcW w:w="287" w:type="pct"/>
                <w:shd w:val="clear" w:color="auto" w:fill="FFFFFF" w:themeFill="background2"/>
                <w:vAlign w:val="center"/>
              </w:tcPr>
              <w:p w14:paraId="13ECBD78" w14:textId="043EB2F9"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0</w:t>
                </w:r>
                <w:r w:rsidR="00854FE3">
                  <w:rPr>
                    <w:rFonts w:cs="Segoe UI"/>
                    <w:sz w:val="14"/>
                    <w:lang w:eastAsia="it-IT"/>
                  </w:rPr>
                  <w:t>.</w:t>
                </w:r>
                <w:r w:rsidRPr="000F057A">
                  <w:rPr>
                    <w:rFonts w:cs="Segoe UI"/>
                    <w:sz w:val="14"/>
                    <w:lang w:eastAsia="it-IT"/>
                  </w:rPr>
                  <w:t>92%</w:t>
                </w:r>
              </w:p>
            </w:tc>
            <w:tc>
              <w:tcPr>
                <w:tcW w:w="287" w:type="pct"/>
                <w:shd w:val="clear" w:color="auto" w:fill="FFFFFF" w:themeFill="background2"/>
                <w:vAlign w:val="center"/>
              </w:tcPr>
              <w:p w14:paraId="7C2D513F" w14:textId="52FED7B0" w:rsidR="00E51AEC" w:rsidRPr="000F057A" w:rsidRDefault="00E51AEC" w:rsidP="007D5998">
                <w:pPr>
                  <w:pStyle w:val="TableTextLeft"/>
                  <w:spacing w:before="0" w:after="0"/>
                  <w:jc w:val="center"/>
                  <w:rPr>
                    <w:rFonts w:cs="Segoe UI"/>
                    <w:sz w:val="14"/>
                    <w:lang w:eastAsia="it-IT"/>
                  </w:rPr>
                </w:pPr>
                <w:r w:rsidRPr="000F057A">
                  <w:rPr>
                    <w:rFonts w:cs="Segoe UI"/>
                    <w:sz w:val="14"/>
                    <w:lang w:eastAsia="it-IT"/>
                  </w:rPr>
                  <w:t>1</w:t>
                </w:r>
                <w:r w:rsidR="00854FE3">
                  <w:rPr>
                    <w:rFonts w:cs="Segoe UI"/>
                    <w:sz w:val="14"/>
                    <w:lang w:eastAsia="it-IT"/>
                  </w:rPr>
                  <w:t>.</w:t>
                </w:r>
                <w:r w:rsidRPr="000F057A">
                  <w:rPr>
                    <w:rFonts w:cs="Segoe UI"/>
                    <w:sz w:val="14"/>
                    <w:lang w:eastAsia="it-IT"/>
                  </w:rPr>
                  <w:t>03%</w:t>
                </w:r>
              </w:p>
            </w:tc>
            <w:tc>
              <w:tcPr>
                <w:tcW w:w="287" w:type="pct"/>
                <w:shd w:val="clear" w:color="auto" w:fill="FFFFFF" w:themeFill="background2"/>
                <w:vAlign w:val="center"/>
              </w:tcPr>
              <w:p w14:paraId="7192E7FA" w14:textId="05080D12" w:rsidR="00E51AEC" w:rsidRPr="00037678" w:rsidRDefault="00E51AEC" w:rsidP="007D5998">
                <w:pPr>
                  <w:pStyle w:val="TableTextLeft"/>
                  <w:spacing w:before="0" w:after="0"/>
                  <w:jc w:val="center"/>
                  <w:rPr>
                    <w:rFonts w:cs="Segoe UI"/>
                    <w:sz w:val="14"/>
                    <w:lang w:eastAsia="it-IT"/>
                  </w:rPr>
                </w:pPr>
                <w:r w:rsidRPr="00037678">
                  <w:rPr>
                    <w:rFonts w:cs="Segoe UI"/>
                    <w:sz w:val="14"/>
                    <w:lang w:eastAsia="it-IT"/>
                  </w:rPr>
                  <w:t>0</w:t>
                </w:r>
                <w:r w:rsidR="00854FE3">
                  <w:rPr>
                    <w:rFonts w:cs="Segoe UI"/>
                    <w:sz w:val="14"/>
                    <w:lang w:eastAsia="it-IT"/>
                  </w:rPr>
                  <w:t>.</w:t>
                </w:r>
                <w:r w:rsidRPr="00037678">
                  <w:rPr>
                    <w:rFonts w:cs="Segoe UI"/>
                    <w:sz w:val="14"/>
                    <w:lang w:eastAsia="it-IT"/>
                  </w:rPr>
                  <w:t>47%</w:t>
                </w:r>
              </w:p>
            </w:tc>
            <w:tc>
              <w:tcPr>
                <w:tcW w:w="287" w:type="pct"/>
                <w:shd w:val="clear" w:color="auto" w:fill="FFFFFF" w:themeFill="background2"/>
                <w:vAlign w:val="center"/>
              </w:tcPr>
              <w:p w14:paraId="562CECCF" w14:textId="4EA985A9" w:rsidR="00E51AEC" w:rsidRPr="003A089A" w:rsidRDefault="00E51AEC" w:rsidP="007D5998">
                <w:pPr>
                  <w:pStyle w:val="TableTextLeft"/>
                  <w:spacing w:before="0" w:after="0"/>
                  <w:jc w:val="center"/>
                  <w:rPr>
                    <w:rFonts w:cs="Segoe UI"/>
                    <w:b/>
                    <w:bCs/>
                    <w:sz w:val="14"/>
                    <w:lang w:eastAsia="it-IT"/>
                  </w:rPr>
                </w:pPr>
                <w:r w:rsidRPr="003A089A">
                  <w:rPr>
                    <w:rFonts w:cs="Segoe UI"/>
                    <w:b/>
                    <w:bCs/>
                    <w:sz w:val="14"/>
                    <w:lang w:eastAsia="it-IT"/>
                  </w:rPr>
                  <w:t>2</w:t>
                </w:r>
                <w:r w:rsidR="00854FE3">
                  <w:rPr>
                    <w:rFonts w:cs="Segoe UI"/>
                    <w:b/>
                    <w:bCs/>
                    <w:sz w:val="14"/>
                    <w:lang w:eastAsia="it-IT"/>
                  </w:rPr>
                  <w:t>.</w:t>
                </w:r>
                <w:r w:rsidRPr="003A089A">
                  <w:rPr>
                    <w:rFonts w:cs="Segoe UI"/>
                    <w:b/>
                    <w:bCs/>
                    <w:sz w:val="14"/>
                    <w:lang w:eastAsia="it-IT"/>
                  </w:rPr>
                  <w:t>67%</w:t>
                </w:r>
              </w:p>
            </w:tc>
          </w:tr>
          <w:tr w:rsidR="00A42890" w:rsidRPr="003A089A" w14:paraId="0F2E5ADD" w14:textId="1F8675B6" w:rsidTr="00A875C2">
            <w:trPr>
              <w:trHeight w:val="283"/>
            </w:trPr>
            <w:tc>
              <w:tcPr>
                <w:tcW w:w="341" w:type="pct"/>
                <w:shd w:val="clear" w:color="auto" w:fill="FFFFFF" w:themeFill="background2"/>
                <w:tcMar>
                  <w:top w:w="60" w:type="dxa"/>
                  <w:left w:w="114" w:type="dxa"/>
                  <w:bottom w:w="60" w:type="dxa"/>
                  <w:right w:w="114" w:type="dxa"/>
                </w:tcMar>
                <w:vAlign w:val="center"/>
              </w:tcPr>
              <w:p w14:paraId="7048074A" w14:textId="6883A1AF" w:rsidR="00E51AEC" w:rsidRPr="000F057A" w:rsidRDefault="00E51AEC" w:rsidP="00A42890">
                <w:pPr>
                  <w:pStyle w:val="TableTextLeft"/>
                  <w:spacing w:before="0" w:after="0"/>
                  <w:rPr>
                    <w:rFonts w:cs="Segoe UI"/>
                    <w:b/>
                    <w:bCs/>
                    <w:sz w:val="14"/>
                    <w:lang w:eastAsia="it-IT"/>
                  </w:rPr>
                </w:pPr>
                <w:r>
                  <w:rPr>
                    <w:rFonts w:cs="Segoe UI"/>
                    <w:b/>
                    <w:bCs/>
                    <w:sz w:val="14"/>
                    <w:lang w:eastAsia="it-IT"/>
                  </w:rPr>
                  <w:t>Total</w:t>
                </w:r>
              </w:p>
            </w:tc>
            <w:tc>
              <w:tcPr>
                <w:tcW w:w="321" w:type="pct"/>
                <w:shd w:val="clear" w:color="auto" w:fill="FFFFFF" w:themeFill="background2"/>
                <w:tcMar>
                  <w:top w:w="60" w:type="dxa"/>
                  <w:left w:w="114" w:type="dxa"/>
                  <w:bottom w:w="60" w:type="dxa"/>
                  <w:right w:w="114" w:type="dxa"/>
                </w:tcMar>
                <w:vAlign w:val="center"/>
              </w:tcPr>
              <w:p w14:paraId="164CA336" w14:textId="0DDA19A8" w:rsidR="00E51AEC" w:rsidRPr="000F057A" w:rsidRDefault="00E51AEC" w:rsidP="007D5998">
                <w:pPr>
                  <w:pStyle w:val="TableTextLeft"/>
                  <w:spacing w:before="0" w:after="0"/>
                  <w:jc w:val="center"/>
                  <w:rPr>
                    <w:rFonts w:cs="Segoe UI"/>
                    <w:sz w:val="14"/>
                    <w:lang w:eastAsia="it-IT"/>
                  </w:rPr>
                </w:pPr>
                <w:r>
                  <w:rPr>
                    <w:rFonts w:cs="Segoe UI"/>
                    <w:sz w:val="14"/>
                    <w:lang w:eastAsia="it-IT"/>
                  </w:rPr>
                  <w:t>100%</w:t>
                </w:r>
              </w:p>
            </w:tc>
            <w:tc>
              <w:tcPr>
                <w:tcW w:w="321" w:type="pct"/>
                <w:shd w:val="clear" w:color="auto" w:fill="FFFFFF" w:themeFill="background2"/>
                <w:tcMar>
                  <w:top w:w="60" w:type="dxa"/>
                  <w:left w:w="114" w:type="dxa"/>
                  <w:bottom w:w="60" w:type="dxa"/>
                  <w:right w:w="114" w:type="dxa"/>
                </w:tcMar>
                <w:vAlign w:val="center"/>
              </w:tcPr>
              <w:p w14:paraId="151E15E0" w14:textId="620D15C6" w:rsidR="00E51AEC" w:rsidRPr="000F057A" w:rsidRDefault="00E51AEC" w:rsidP="007D5998">
                <w:pPr>
                  <w:pStyle w:val="TableTextLeft"/>
                  <w:spacing w:before="0" w:after="0"/>
                  <w:jc w:val="center"/>
                  <w:rPr>
                    <w:rFonts w:cs="Segoe UI"/>
                    <w:sz w:val="14"/>
                    <w:lang w:eastAsia="it-IT"/>
                  </w:rPr>
                </w:pPr>
                <w:r w:rsidRPr="00246BA8">
                  <w:rPr>
                    <w:rFonts w:cs="Segoe UI"/>
                    <w:sz w:val="14"/>
                    <w:lang w:eastAsia="it-IT"/>
                  </w:rPr>
                  <w:t>100%</w:t>
                </w:r>
              </w:p>
            </w:tc>
            <w:tc>
              <w:tcPr>
                <w:tcW w:w="287" w:type="pct"/>
                <w:shd w:val="clear" w:color="auto" w:fill="FFFFFF" w:themeFill="background2"/>
                <w:vAlign w:val="center"/>
              </w:tcPr>
              <w:p w14:paraId="3E3A0240" w14:textId="2B094976" w:rsidR="00E51AEC" w:rsidRPr="000F057A" w:rsidRDefault="00E51AEC" w:rsidP="007D5998">
                <w:pPr>
                  <w:pStyle w:val="TableTextLeft"/>
                  <w:spacing w:before="0" w:after="0"/>
                  <w:jc w:val="center"/>
                  <w:rPr>
                    <w:rFonts w:cs="Segoe UI"/>
                    <w:sz w:val="14"/>
                    <w:lang w:eastAsia="it-IT"/>
                  </w:rPr>
                </w:pPr>
                <w:r w:rsidRPr="00246BA8">
                  <w:rPr>
                    <w:rFonts w:cs="Segoe UI"/>
                    <w:sz w:val="14"/>
                    <w:lang w:eastAsia="it-IT"/>
                  </w:rPr>
                  <w:t>100%</w:t>
                </w:r>
              </w:p>
            </w:tc>
            <w:tc>
              <w:tcPr>
                <w:tcW w:w="287" w:type="pct"/>
                <w:shd w:val="clear" w:color="auto" w:fill="FFFFFF" w:themeFill="background2"/>
                <w:vAlign w:val="center"/>
              </w:tcPr>
              <w:p w14:paraId="52751CDA" w14:textId="1E54095D" w:rsidR="00E51AEC" w:rsidRPr="000F057A" w:rsidRDefault="00E51AEC" w:rsidP="007D5998">
                <w:pPr>
                  <w:pStyle w:val="TableTextLeft"/>
                  <w:spacing w:before="0" w:after="0"/>
                  <w:jc w:val="center"/>
                  <w:rPr>
                    <w:rFonts w:cs="Segoe UI"/>
                    <w:sz w:val="14"/>
                    <w:lang w:eastAsia="it-IT"/>
                  </w:rPr>
                </w:pPr>
                <w:r w:rsidRPr="00246BA8">
                  <w:rPr>
                    <w:rFonts w:cs="Segoe UI"/>
                    <w:sz w:val="14"/>
                    <w:lang w:eastAsia="it-IT"/>
                  </w:rPr>
                  <w:t>100%</w:t>
                </w:r>
              </w:p>
            </w:tc>
            <w:tc>
              <w:tcPr>
                <w:tcW w:w="287" w:type="pct"/>
                <w:shd w:val="clear" w:color="auto" w:fill="FFFFFF" w:themeFill="background2"/>
                <w:vAlign w:val="center"/>
              </w:tcPr>
              <w:p w14:paraId="71E0BB99" w14:textId="18F7F1EE" w:rsidR="00E51AEC" w:rsidRPr="000F057A" w:rsidRDefault="00E51AEC" w:rsidP="007D5998">
                <w:pPr>
                  <w:pStyle w:val="TableTextLeft"/>
                  <w:spacing w:before="0" w:after="0"/>
                  <w:jc w:val="center"/>
                  <w:rPr>
                    <w:rFonts w:cs="Segoe UI"/>
                    <w:sz w:val="14"/>
                    <w:lang w:eastAsia="it-IT"/>
                  </w:rPr>
                </w:pPr>
                <w:r w:rsidRPr="00246BA8">
                  <w:rPr>
                    <w:rFonts w:cs="Segoe UI"/>
                    <w:sz w:val="14"/>
                    <w:lang w:eastAsia="it-IT"/>
                  </w:rPr>
                  <w:t>100%</w:t>
                </w:r>
              </w:p>
            </w:tc>
            <w:tc>
              <w:tcPr>
                <w:tcW w:w="287" w:type="pct"/>
                <w:shd w:val="clear" w:color="auto" w:fill="FFFFFF" w:themeFill="background2"/>
                <w:vAlign w:val="center"/>
              </w:tcPr>
              <w:p w14:paraId="5589C5B5" w14:textId="7B08F353" w:rsidR="00E51AEC" w:rsidRPr="000F057A" w:rsidRDefault="00E51AEC" w:rsidP="007D5998">
                <w:pPr>
                  <w:pStyle w:val="TableTextLeft"/>
                  <w:spacing w:before="0" w:after="0"/>
                  <w:jc w:val="center"/>
                  <w:rPr>
                    <w:rFonts w:cs="Segoe UI"/>
                    <w:sz w:val="14"/>
                    <w:lang w:eastAsia="it-IT"/>
                  </w:rPr>
                </w:pPr>
                <w:r w:rsidRPr="00246BA8">
                  <w:rPr>
                    <w:rFonts w:cs="Segoe UI"/>
                    <w:sz w:val="14"/>
                    <w:lang w:eastAsia="it-IT"/>
                  </w:rPr>
                  <w:t>100%</w:t>
                </w:r>
              </w:p>
            </w:tc>
            <w:tc>
              <w:tcPr>
                <w:tcW w:w="287" w:type="pct"/>
                <w:shd w:val="clear" w:color="auto" w:fill="FFFFFF" w:themeFill="background2"/>
                <w:vAlign w:val="center"/>
              </w:tcPr>
              <w:p w14:paraId="2172849A" w14:textId="216BBC61" w:rsidR="00E51AEC" w:rsidRPr="000F057A" w:rsidRDefault="00E51AEC" w:rsidP="007D5998">
                <w:pPr>
                  <w:pStyle w:val="TableTextLeft"/>
                  <w:spacing w:before="0" w:after="0"/>
                  <w:jc w:val="center"/>
                  <w:rPr>
                    <w:rFonts w:cs="Segoe UI"/>
                    <w:sz w:val="14"/>
                    <w:lang w:eastAsia="it-IT"/>
                  </w:rPr>
                </w:pPr>
                <w:r w:rsidRPr="00246BA8">
                  <w:rPr>
                    <w:rFonts w:cs="Segoe UI"/>
                    <w:sz w:val="14"/>
                    <w:lang w:eastAsia="it-IT"/>
                  </w:rPr>
                  <w:t>100%</w:t>
                </w:r>
              </w:p>
            </w:tc>
            <w:tc>
              <w:tcPr>
                <w:tcW w:w="287" w:type="pct"/>
                <w:shd w:val="clear" w:color="auto" w:fill="FFFFFF" w:themeFill="background2"/>
                <w:vAlign w:val="center"/>
              </w:tcPr>
              <w:p w14:paraId="4155C53D" w14:textId="3D268737" w:rsidR="00E51AEC" w:rsidRPr="000F057A" w:rsidRDefault="00E51AEC" w:rsidP="007D5998">
                <w:pPr>
                  <w:pStyle w:val="TableTextLeft"/>
                  <w:spacing w:before="0" w:after="0"/>
                  <w:jc w:val="center"/>
                  <w:rPr>
                    <w:rFonts w:cs="Segoe UI"/>
                    <w:sz w:val="14"/>
                    <w:lang w:eastAsia="it-IT"/>
                  </w:rPr>
                </w:pPr>
                <w:r w:rsidRPr="00246BA8">
                  <w:rPr>
                    <w:rFonts w:cs="Segoe UI"/>
                    <w:sz w:val="14"/>
                    <w:lang w:eastAsia="it-IT"/>
                  </w:rPr>
                  <w:t>100%</w:t>
                </w:r>
              </w:p>
            </w:tc>
            <w:tc>
              <w:tcPr>
                <w:tcW w:w="287" w:type="pct"/>
                <w:shd w:val="clear" w:color="auto" w:fill="FFFFFF" w:themeFill="background2"/>
                <w:vAlign w:val="center"/>
              </w:tcPr>
              <w:p w14:paraId="127C7EF8" w14:textId="0A1E28BE" w:rsidR="00E51AEC" w:rsidRPr="000F057A" w:rsidRDefault="00E51AEC" w:rsidP="007D5998">
                <w:pPr>
                  <w:pStyle w:val="TableTextLeft"/>
                  <w:spacing w:before="0" w:after="0"/>
                  <w:jc w:val="center"/>
                  <w:rPr>
                    <w:rFonts w:cs="Segoe UI"/>
                    <w:sz w:val="14"/>
                    <w:lang w:eastAsia="it-IT"/>
                  </w:rPr>
                </w:pPr>
                <w:r w:rsidRPr="00246BA8">
                  <w:rPr>
                    <w:rFonts w:cs="Segoe UI"/>
                    <w:sz w:val="14"/>
                    <w:lang w:eastAsia="it-IT"/>
                  </w:rPr>
                  <w:t>100%</w:t>
                </w:r>
              </w:p>
            </w:tc>
            <w:tc>
              <w:tcPr>
                <w:tcW w:w="287" w:type="pct"/>
                <w:shd w:val="clear" w:color="auto" w:fill="FFFFFF" w:themeFill="background2"/>
                <w:vAlign w:val="center"/>
              </w:tcPr>
              <w:p w14:paraId="4D1FA059" w14:textId="420DB9BF" w:rsidR="00E51AEC" w:rsidRPr="000F057A" w:rsidRDefault="00E51AEC" w:rsidP="007D5998">
                <w:pPr>
                  <w:pStyle w:val="TableTextLeft"/>
                  <w:spacing w:before="0" w:after="0"/>
                  <w:jc w:val="center"/>
                  <w:rPr>
                    <w:rFonts w:cs="Segoe UI"/>
                    <w:sz w:val="14"/>
                    <w:lang w:eastAsia="it-IT"/>
                  </w:rPr>
                </w:pPr>
                <w:r w:rsidRPr="00246BA8">
                  <w:rPr>
                    <w:rFonts w:cs="Segoe UI"/>
                    <w:sz w:val="14"/>
                    <w:lang w:eastAsia="it-IT"/>
                  </w:rPr>
                  <w:t>100%</w:t>
                </w:r>
              </w:p>
            </w:tc>
            <w:tc>
              <w:tcPr>
                <w:tcW w:w="287" w:type="pct"/>
                <w:shd w:val="clear" w:color="auto" w:fill="FFFFFF" w:themeFill="background2"/>
                <w:vAlign w:val="center"/>
              </w:tcPr>
              <w:p w14:paraId="51574F45" w14:textId="239B9B1F" w:rsidR="00E51AEC" w:rsidRPr="000F057A" w:rsidRDefault="00E51AEC" w:rsidP="007D5998">
                <w:pPr>
                  <w:pStyle w:val="TableTextLeft"/>
                  <w:spacing w:before="0" w:after="0"/>
                  <w:jc w:val="center"/>
                  <w:rPr>
                    <w:rFonts w:cs="Segoe UI"/>
                    <w:sz w:val="14"/>
                    <w:lang w:eastAsia="it-IT"/>
                  </w:rPr>
                </w:pPr>
                <w:r w:rsidRPr="00246BA8">
                  <w:rPr>
                    <w:rFonts w:cs="Segoe UI"/>
                    <w:sz w:val="14"/>
                    <w:lang w:eastAsia="it-IT"/>
                  </w:rPr>
                  <w:t>100%</w:t>
                </w:r>
              </w:p>
            </w:tc>
            <w:tc>
              <w:tcPr>
                <w:tcW w:w="287" w:type="pct"/>
                <w:shd w:val="clear" w:color="auto" w:fill="FFFFFF" w:themeFill="background2"/>
                <w:vAlign w:val="center"/>
              </w:tcPr>
              <w:p w14:paraId="1D88FB36" w14:textId="239AB9B9" w:rsidR="00E51AEC" w:rsidRPr="000F057A" w:rsidRDefault="00E51AEC" w:rsidP="007D5998">
                <w:pPr>
                  <w:pStyle w:val="TableTextLeft"/>
                  <w:spacing w:before="0" w:after="0"/>
                  <w:jc w:val="center"/>
                  <w:rPr>
                    <w:rFonts w:cs="Segoe UI"/>
                    <w:sz w:val="14"/>
                    <w:lang w:eastAsia="it-IT"/>
                  </w:rPr>
                </w:pPr>
                <w:r w:rsidRPr="00246BA8">
                  <w:rPr>
                    <w:rFonts w:cs="Segoe UI"/>
                    <w:sz w:val="14"/>
                    <w:lang w:eastAsia="it-IT"/>
                  </w:rPr>
                  <w:t>100%</w:t>
                </w:r>
              </w:p>
            </w:tc>
            <w:tc>
              <w:tcPr>
                <w:tcW w:w="287" w:type="pct"/>
                <w:shd w:val="clear" w:color="auto" w:fill="FFFFFF" w:themeFill="background2"/>
                <w:vAlign w:val="center"/>
              </w:tcPr>
              <w:p w14:paraId="2B1A04BC" w14:textId="01D3B04C" w:rsidR="00E51AEC" w:rsidRPr="000F057A" w:rsidRDefault="00E51AEC" w:rsidP="007D5998">
                <w:pPr>
                  <w:pStyle w:val="TableTextLeft"/>
                  <w:spacing w:before="0" w:after="0"/>
                  <w:jc w:val="center"/>
                  <w:rPr>
                    <w:rFonts w:cs="Segoe UI"/>
                    <w:sz w:val="14"/>
                    <w:lang w:eastAsia="it-IT"/>
                  </w:rPr>
                </w:pPr>
                <w:r w:rsidRPr="00246BA8">
                  <w:rPr>
                    <w:rFonts w:cs="Segoe UI"/>
                    <w:sz w:val="14"/>
                    <w:lang w:eastAsia="it-IT"/>
                  </w:rPr>
                  <w:t>100%</w:t>
                </w:r>
              </w:p>
            </w:tc>
            <w:tc>
              <w:tcPr>
                <w:tcW w:w="287" w:type="pct"/>
                <w:shd w:val="clear" w:color="auto" w:fill="FFFFFF" w:themeFill="background2"/>
                <w:vAlign w:val="center"/>
              </w:tcPr>
              <w:p w14:paraId="20346A07" w14:textId="311F0F07" w:rsidR="00E51AEC" w:rsidRPr="000F057A" w:rsidRDefault="00E51AEC" w:rsidP="007D5998">
                <w:pPr>
                  <w:pStyle w:val="TableTextLeft"/>
                  <w:spacing w:before="0" w:after="0"/>
                  <w:jc w:val="center"/>
                  <w:rPr>
                    <w:rFonts w:cs="Segoe UI"/>
                    <w:sz w:val="14"/>
                    <w:lang w:eastAsia="it-IT"/>
                  </w:rPr>
                </w:pPr>
                <w:r w:rsidRPr="00246BA8">
                  <w:rPr>
                    <w:rFonts w:cs="Segoe UI"/>
                    <w:sz w:val="14"/>
                    <w:lang w:eastAsia="it-IT"/>
                  </w:rPr>
                  <w:t>100%</w:t>
                </w:r>
              </w:p>
            </w:tc>
            <w:tc>
              <w:tcPr>
                <w:tcW w:w="287" w:type="pct"/>
                <w:shd w:val="clear" w:color="auto" w:fill="FFFFFF" w:themeFill="background2"/>
                <w:vAlign w:val="center"/>
              </w:tcPr>
              <w:p w14:paraId="15D45E32" w14:textId="0F905AF6" w:rsidR="00E51AEC" w:rsidRPr="00037678" w:rsidRDefault="00E51AEC" w:rsidP="007D5998">
                <w:pPr>
                  <w:pStyle w:val="TableTextLeft"/>
                  <w:spacing w:before="0" w:after="0"/>
                  <w:jc w:val="center"/>
                  <w:rPr>
                    <w:rFonts w:cs="Segoe UI"/>
                    <w:sz w:val="14"/>
                    <w:lang w:eastAsia="it-IT"/>
                  </w:rPr>
                </w:pPr>
                <w:r w:rsidRPr="00037678">
                  <w:rPr>
                    <w:rFonts w:cs="Segoe UI"/>
                    <w:sz w:val="14"/>
                    <w:lang w:eastAsia="it-IT"/>
                  </w:rPr>
                  <w:t>100%</w:t>
                </w:r>
              </w:p>
            </w:tc>
            <w:tc>
              <w:tcPr>
                <w:tcW w:w="287" w:type="pct"/>
                <w:shd w:val="clear" w:color="auto" w:fill="FFFFFF" w:themeFill="background2"/>
                <w:vAlign w:val="center"/>
              </w:tcPr>
              <w:p w14:paraId="045E87A2" w14:textId="1A7F048A" w:rsidR="00E51AEC" w:rsidRPr="003A089A" w:rsidRDefault="00E51AEC" w:rsidP="007D5998">
                <w:pPr>
                  <w:pStyle w:val="TableTextLeft"/>
                  <w:spacing w:before="0" w:after="0"/>
                  <w:jc w:val="center"/>
                  <w:rPr>
                    <w:rFonts w:cs="Segoe UI"/>
                    <w:b/>
                    <w:bCs/>
                    <w:sz w:val="14"/>
                    <w:lang w:eastAsia="it-IT"/>
                  </w:rPr>
                </w:pPr>
                <w:r w:rsidRPr="003A089A">
                  <w:rPr>
                    <w:rFonts w:cs="Segoe UI"/>
                    <w:b/>
                    <w:bCs/>
                    <w:sz w:val="14"/>
                    <w:lang w:eastAsia="it-IT"/>
                  </w:rPr>
                  <w:t>100%</w:t>
                </w:r>
              </w:p>
            </w:tc>
          </w:tr>
        </w:tbl>
        <w:p w14:paraId="0D95F2E6" w14:textId="14BFBFDC" w:rsidR="00A7484C" w:rsidRPr="0032337D" w:rsidRDefault="000354A7" w:rsidP="004101BF">
          <w:pPr>
            <w:rPr>
              <w:rFonts w:cs="Segoe UI"/>
              <w:lang w:val="en-GB"/>
            </w:rPr>
          </w:pPr>
          <w:r>
            <w:rPr>
              <w:rFonts w:cs="Segoe UI"/>
              <w:lang w:val="en-GB"/>
            </w:rPr>
            <w:t xml:space="preserve">Exhibit 11 displays how the </w:t>
          </w:r>
          <w:r w:rsidR="001D56BD">
            <w:rPr>
              <w:rFonts w:cs="Segoe UI"/>
              <w:lang w:val="en-GB"/>
            </w:rPr>
            <w:t>share</w:t>
          </w:r>
          <w:r w:rsidR="00715EB5">
            <w:rPr>
              <w:rFonts w:cs="Segoe UI"/>
              <w:lang w:val="en-GB"/>
            </w:rPr>
            <w:t xml:space="preserve"> of Investment Grade corporates </w:t>
          </w:r>
          <w:r w:rsidR="00152FD3">
            <w:rPr>
              <w:rFonts w:cs="Segoe UI"/>
              <w:lang w:val="en-GB"/>
            </w:rPr>
            <w:t xml:space="preserve">is directly proportional </w:t>
          </w:r>
          <w:r w:rsidR="005D00D5">
            <w:rPr>
              <w:rFonts w:cs="Segoe UI"/>
              <w:lang w:val="en-GB"/>
            </w:rPr>
            <w:t xml:space="preserve">to the size class. Indeed, the share of Investment Grade entities is highest for large companies, </w:t>
          </w:r>
          <w:r w:rsidR="00CA6C56">
            <w:rPr>
              <w:rFonts w:cs="Segoe UI"/>
              <w:lang w:val="en-GB"/>
            </w:rPr>
            <w:t xml:space="preserve">gets smaller for SMEs and reaches its lowest value for </w:t>
          </w:r>
          <w:r w:rsidR="001D56BD">
            <w:rPr>
              <w:rFonts w:cs="Segoe UI"/>
              <w:lang w:val="en-GB"/>
            </w:rPr>
            <w:t>m</w:t>
          </w:r>
          <w:r w:rsidR="00CA6C56">
            <w:rPr>
              <w:rFonts w:cs="Segoe UI"/>
              <w:lang w:val="en-GB"/>
            </w:rPr>
            <w:t>icro enterprises.</w:t>
          </w:r>
          <w:r w:rsidR="0095442E">
            <w:rPr>
              <w:rFonts w:cs="Segoe UI"/>
              <w:lang w:val="en-GB"/>
            </w:rPr>
            <w:t xml:space="preserve"> </w:t>
          </w:r>
          <w:r w:rsidR="00A7484C">
            <w:rPr>
              <w:rFonts w:cs="Segoe UI"/>
              <w:lang w:val="en-GB"/>
            </w:rPr>
            <w:t xml:space="preserve">Nevertheless, it is worth pointing out that more than 50% of </w:t>
          </w:r>
          <w:r w:rsidR="009309A4">
            <w:rPr>
              <w:rFonts w:cs="Segoe UI"/>
              <w:lang w:val="en-GB"/>
            </w:rPr>
            <w:t xml:space="preserve">the portfolio’s SMEs are assigned </w:t>
          </w:r>
          <w:r w:rsidR="0095442E">
            <w:rPr>
              <w:rFonts w:cs="Segoe UI"/>
              <w:lang w:val="en-GB"/>
            </w:rPr>
            <w:t>Investment Grade ratings.</w:t>
          </w:r>
        </w:p>
        <w:p w14:paraId="2F25C7BC" w14:textId="64E9F27F" w:rsidR="004101BF" w:rsidRPr="0032337D" w:rsidRDefault="004101BF" w:rsidP="004101BF">
          <w:pPr>
            <w:pStyle w:val="Didascalia"/>
            <w:rPr>
              <w:rFonts w:ascii="Segoe UI" w:hAnsi="Segoe UI" w:cs="Segoe UI"/>
              <w:bCs/>
              <w:i/>
              <w:color w:val="002E5A" w:themeColor="text2"/>
              <w:sz w:val="14"/>
              <w:szCs w:val="24"/>
              <w:lang w:val="en-GB"/>
            </w:rPr>
          </w:pPr>
          <w:bookmarkStart w:id="49" w:name="_Toc130806312"/>
          <w:bookmarkStart w:id="50" w:name="_Toc166675652"/>
          <w:bookmarkStart w:id="51" w:name="_Toc167131779"/>
          <w:r w:rsidRPr="0032337D">
            <w:rPr>
              <w:rFonts w:ascii="Segoe UI" w:hAnsi="Segoe UI" w:cs="Segoe UI"/>
              <w:i/>
              <w:color w:val="002E5A" w:themeColor="text2"/>
              <w:sz w:val="14"/>
              <w:szCs w:val="24"/>
              <w:lang w:val="en-GB"/>
            </w:rPr>
            <w:lastRenderedPageBreak/>
            <w:t xml:space="preserve">Exhibit </w:t>
          </w:r>
          <w:r>
            <w:rPr>
              <w:rFonts w:ascii="Segoe UI" w:hAnsi="Segoe UI" w:cs="Segoe UI"/>
              <w:bCs/>
              <w:i/>
              <w:color w:val="002E5A" w:themeColor="text2"/>
              <w:sz w:val="14"/>
              <w:szCs w:val="24"/>
              <w:lang w:val="en-GB"/>
            </w:rPr>
            <w:fldChar w:fldCharType="begin"/>
          </w:r>
          <w:r>
            <w:rPr>
              <w:rFonts w:ascii="Segoe UI" w:hAnsi="Segoe UI" w:cs="Segoe UI"/>
              <w:i/>
              <w:color w:val="002E5A" w:themeColor="text2"/>
              <w:sz w:val="14"/>
              <w:szCs w:val="24"/>
              <w:lang w:val="en-GB"/>
            </w:rPr>
            <w:instrText xml:space="preserve"> SEQ Exhibit \* ARABIC </w:instrText>
          </w:r>
          <w:r>
            <w:rPr>
              <w:rFonts w:ascii="Segoe UI" w:hAnsi="Segoe UI" w:cs="Segoe UI"/>
              <w:bCs/>
              <w:i/>
              <w:color w:val="002E5A" w:themeColor="text2"/>
              <w:sz w:val="14"/>
              <w:szCs w:val="24"/>
              <w:lang w:val="en-GB"/>
            </w:rPr>
            <w:fldChar w:fldCharType="separate"/>
          </w:r>
          <w:r w:rsidR="009857B6">
            <w:rPr>
              <w:rFonts w:ascii="Segoe UI" w:hAnsi="Segoe UI" w:cs="Segoe UI"/>
              <w:i/>
              <w:noProof/>
              <w:color w:val="002E5A" w:themeColor="text2"/>
              <w:sz w:val="14"/>
              <w:szCs w:val="24"/>
              <w:lang w:val="en-GB"/>
            </w:rPr>
            <w:t>11</w:t>
          </w:r>
          <w:r>
            <w:rPr>
              <w:rFonts w:ascii="Segoe UI" w:hAnsi="Segoe UI" w:cs="Segoe UI"/>
              <w:bCs/>
              <w:i/>
              <w:color w:val="002E5A" w:themeColor="text2"/>
              <w:sz w:val="14"/>
              <w:szCs w:val="24"/>
              <w:lang w:val="en-GB"/>
            </w:rPr>
            <w:fldChar w:fldCharType="end"/>
          </w:r>
          <w:r w:rsidRPr="0032337D">
            <w:rPr>
              <w:rFonts w:ascii="Segoe UI" w:hAnsi="Segoe UI" w:cs="Segoe UI"/>
              <w:i/>
              <w:color w:val="002E5A" w:themeColor="text2"/>
              <w:sz w:val="14"/>
              <w:szCs w:val="24"/>
              <w:lang w:val="en-GB"/>
            </w:rPr>
            <w:t>: Average rating distribution frequency by company size</w:t>
          </w:r>
          <w:bookmarkEnd w:id="49"/>
          <w:bookmarkEnd w:id="50"/>
          <w:bookmarkEnd w:id="51"/>
        </w:p>
        <w:p w14:paraId="7C35B853" w14:textId="4B575CE3" w:rsidR="00E82C98" w:rsidRDefault="00E82C98" w:rsidP="001E27C9">
          <w:pPr>
            <w:jc w:val="center"/>
            <w:rPr>
              <w:rFonts w:cs="Segoe UI"/>
              <w:lang w:val="en-GB"/>
            </w:rPr>
          </w:pPr>
          <w:r>
            <w:rPr>
              <w:noProof/>
            </w:rPr>
            <w:drawing>
              <wp:inline distT="0" distB="0" distL="0" distR="0" wp14:anchorId="7AB4DCC7" wp14:editId="39F2DEE6">
                <wp:extent cx="5908431" cy="3599522"/>
                <wp:effectExtent l="0" t="0" r="0" b="1270"/>
                <wp:docPr id="1795809487" name="Grafico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CA8F47A" w14:textId="41DB9D77" w:rsidR="004101BF" w:rsidRPr="0032337D" w:rsidRDefault="004101BF" w:rsidP="004101BF">
          <w:pPr>
            <w:spacing w:before="240"/>
            <w:rPr>
              <w:rFonts w:cs="Segoe UI"/>
              <w:b/>
              <w:bCs/>
              <w:sz w:val="28"/>
              <w:szCs w:val="32"/>
              <w:lang w:val="en-GB"/>
            </w:rPr>
          </w:pPr>
          <w:r w:rsidRPr="0032337D">
            <w:rPr>
              <w:rFonts w:cs="Segoe UI"/>
              <w:lang w:val="en-GB"/>
            </w:rPr>
            <w:br w:type="page"/>
          </w:r>
        </w:p>
        <w:p w14:paraId="28B7E2EF" w14:textId="77777777" w:rsidR="004101BF" w:rsidRPr="00FA752D" w:rsidRDefault="004101BF" w:rsidP="004101BF">
          <w:pPr>
            <w:pStyle w:val="Titolo2"/>
            <w:rPr>
              <w:lang w:val="en-GB"/>
            </w:rPr>
          </w:pPr>
          <w:bookmarkStart w:id="52" w:name="_Toc130806400"/>
          <w:bookmarkStart w:id="53" w:name="_Toc167131721"/>
          <w:r w:rsidRPr="00FA752D">
            <w:rPr>
              <w:lang w:val="en-GB"/>
            </w:rPr>
            <w:lastRenderedPageBreak/>
            <w:t>Default rates on 1-year time horizon</w:t>
          </w:r>
          <w:bookmarkEnd w:id="52"/>
          <w:bookmarkEnd w:id="53"/>
        </w:p>
        <w:p w14:paraId="3189B2FB" w14:textId="6473941A" w:rsidR="004101BF" w:rsidRPr="0032337D" w:rsidRDefault="009875D0" w:rsidP="004101BF">
          <w:pPr>
            <w:rPr>
              <w:rFonts w:cs="Segoe UI"/>
              <w:lang w:val="en-GB"/>
            </w:rPr>
          </w:pPr>
          <w:r>
            <w:rPr>
              <w:rFonts w:cs="Segoe UI"/>
              <w:lang w:val="en-GB"/>
            </w:rPr>
            <w:t xml:space="preserve">Between </w:t>
          </w:r>
          <w:r w:rsidR="004101BF" w:rsidRPr="0032337D">
            <w:rPr>
              <w:rFonts w:cs="Segoe UI"/>
              <w:lang w:val="en-GB"/>
            </w:rPr>
            <w:t xml:space="preserve">2009 </w:t>
          </w:r>
          <w:r>
            <w:rPr>
              <w:rFonts w:cs="Segoe UI"/>
              <w:lang w:val="en-GB"/>
            </w:rPr>
            <w:t>and</w:t>
          </w:r>
          <w:r w:rsidR="004101BF" w:rsidRPr="0032337D">
            <w:rPr>
              <w:rFonts w:cs="Segoe UI"/>
              <w:lang w:val="en-GB"/>
            </w:rPr>
            <w:t xml:space="preserve"> 20</w:t>
          </w:r>
          <w:r w:rsidR="004101BF">
            <w:rPr>
              <w:rFonts w:cs="Segoe UI"/>
              <w:lang w:val="en-GB"/>
            </w:rPr>
            <w:t>2</w:t>
          </w:r>
          <w:r>
            <w:rPr>
              <w:rFonts w:cs="Segoe UI"/>
              <w:lang w:val="en-GB"/>
            </w:rPr>
            <w:t>3</w:t>
          </w:r>
          <w:r w:rsidR="004101BF" w:rsidRPr="0032337D">
            <w:rPr>
              <w:rFonts w:cs="Segoe UI"/>
              <w:lang w:val="en-GB"/>
            </w:rPr>
            <w:t xml:space="preserve">, </w:t>
          </w:r>
          <w:r>
            <w:rPr>
              <w:rFonts w:cs="Segoe UI"/>
              <w:lang w:val="en-GB"/>
            </w:rPr>
            <w:t xml:space="preserve">the </w:t>
          </w:r>
          <w:r w:rsidR="00E352D4">
            <w:rPr>
              <w:rFonts w:cs="Segoe UI"/>
              <w:lang w:val="en-GB"/>
            </w:rPr>
            <w:t xml:space="preserve">recorded number of defaults stands at </w:t>
          </w:r>
          <w:r w:rsidR="004101BF">
            <w:rPr>
              <w:lang w:val="en-GB"/>
            </w:rPr>
            <w:t>16</w:t>
          </w:r>
          <w:r w:rsidR="004101BF" w:rsidRPr="0090682B">
            <w:rPr>
              <w:lang w:val="en-GB"/>
            </w:rPr>
            <w:t>,</w:t>
          </w:r>
          <w:r w:rsidR="00E352D4">
            <w:rPr>
              <w:lang w:val="en-GB"/>
            </w:rPr>
            <w:t xml:space="preserve">624. Exhibit </w:t>
          </w:r>
          <w:r w:rsidR="00151B39">
            <w:rPr>
              <w:lang w:val="en-GB"/>
            </w:rPr>
            <w:t xml:space="preserve">12 shows the yearly distribution of </w:t>
          </w:r>
          <w:r w:rsidR="00C111FF">
            <w:rPr>
              <w:lang w:val="en-GB"/>
            </w:rPr>
            <w:t>said</w:t>
          </w:r>
          <w:r w:rsidR="00151B39">
            <w:rPr>
              <w:lang w:val="en-GB"/>
            </w:rPr>
            <w:t xml:space="preserve"> defaults, along with </w:t>
          </w:r>
          <w:r w:rsidR="00104E16">
            <w:rPr>
              <w:lang w:val="en-GB"/>
            </w:rPr>
            <w:t>the related</w:t>
          </w:r>
          <w:r w:rsidR="00151B39">
            <w:rPr>
              <w:lang w:val="en-GB"/>
            </w:rPr>
            <w:t xml:space="preserve"> </w:t>
          </w:r>
          <w:r w:rsidR="00104E16">
            <w:rPr>
              <w:lang w:val="en-GB"/>
            </w:rPr>
            <w:t>1-year default rate.</w:t>
          </w:r>
        </w:p>
        <w:p w14:paraId="3DBC0E80" w14:textId="3A80497A" w:rsidR="004101BF" w:rsidRPr="004C3636" w:rsidRDefault="004101BF" w:rsidP="004C3636">
          <w:pPr>
            <w:pStyle w:val="Didascalia"/>
            <w:rPr>
              <w:rStyle w:val="A3"/>
              <w:rFonts w:ascii="Segoe UI" w:hAnsi="Segoe UI" w:cs="Segoe UI"/>
              <w:b/>
              <w:bCs w:val="0"/>
              <w:iCs w:val="0"/>
              <w:color w:val="002E5A" w:themeColor="text1"/>
              <w:sz w:val="14"/>
              <w:szCs w:val="20"/>
              <w:lang w:val="en-GB"/>
            </w:rPr>
          </w:pPr>
          <w:bookmarkStart w:id="54" w:name="_Toc130806313"/>
          <w:bookmarkStart w:id="55" w:name="_Toc166675653"/>
          <w:bookmarkStart w:id="56" w:name="_Toc167131780"/>
          <w:r w:rsidRPr="0032337D">
            <w:rPr>
              <w:rFonts w:ascii="Segoe UI" w:hAnsi="Segoe UI" w:cs="Segoe UI"/>
              <w:i/>
              <w:sz w:val="14"/>
              <w:lang w:val="en-GB"/>
            </w:rPr>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12</w:t>
          </w:r>
          <w:r>
            <w:rPr>
              <w:rFonts w:ascii="Segoe UI" w:hAnsi="Segoe UI" w:cs="Segoe UI"/>
              <w:i/>
              <w:sz w:val="14"/>
              <w:lang w:val="en-GB"/>
            </w:rPr>
            <w:fldChar w:fldCharType="end"/>
          </w:r>
          <w:r w:rsidRPr="0032337D">
            <w:rPr>
              <w:rFonts w:ascii="Segoe UI" w:hAnsi="Segoe UI" w:cs="Segoe UI"/>
              <w:i/>
              <w:sz w:val="14"/>
              <w:lang w:val="en-GB"/>
            </w:rPr>
            <w:t>: Default events on 1-year time horizon</w:t>
          </w:r>
          <w:bookmarkEnd w:id="54"/>
          <w:bookmarkEnd w:id="55"/>
          <w:bookmarkEnd w:id="56"/>
        </w:p>
        <w:tbl>
          <w:tblPr>
            <w:tblW w:w="5000" w:type="pct"/>
            <w:tblBorders>
              <w:top w:val="single" w:sz="4" w:space="0" w:color="AFAFB4" w:themeColor="accent4"/>
              <w:bottom w:val="single" w:sz="4" w:space="0" w:color="AFAFB4" w:themeColor="accent4"/>
              <w:insideH w:val="single" w:sz="4" w:space="0" w:color="AFAFB4" w:themeColor="accent4"/>
            </w:tblBorders>
            <w:shd w:val="clear" w:color="auto" w:fill="FFFFFF" w:themeFill="background2"/>
            <w:tblCellMar>
              <w:left w:w="0" w:type="dxa"/>
              <w:right w:w="0" w:type="dxa"/>
            </w:tblCellMar>
            <w:tblLook w:val="0620" w:firstRow="1" w:lastRow="0" w:firstColumn="0" w:lastColumn="0" w:noHBand="1" w:noVBand="1"/>
            <w:tblDescription w:val="{&quot;Ott&quot;:{&quot;FirstRow&quot;:{&quot;BackgroundColor&quot;:{&quot;Key&quot;:&quot;Light2&quot;},&quot;Font&quot;:{&quot;Name&quot;:&quot;Source Sans Pro&quot;,&quot;Size&quot;:14.0,&quot;Bold&quot;:false,&quot;Italic&quot;:false,&quot;Color&quot;:{&quot;Key&quot;:&quot;Dark2&quot;}},&quot;ExcelCellFormatting&quot;:&quot;General&quot;,&quot;Alignment&quot;:{&quot;Horizontal&quot;:&quot;Left&quot;,&quot;Vertical&quot;:&quot;Bottom&quot;},&quot;Borders&quot;:{&quot;Vertical&quot;:{&quot;Visible&quot;:false},&quot;Left&quot;:{&quot;Visible&quot;:false},&quot;Top&quot;:{&quot;Visible&quot;:false},&quot;Right&quot;:{&quot;Visible&quot;:false},&quot;Bottom&quot;:{&quot;Color&quot;:{&quot;Key&quot;:&quot;Accent4&quot;},&quot;BorderWeight&quot;:&quot;Pt1_5&quot;,&quot;Type&quot;:&quot;Solid&quot;,&quot;Visible&quot;:true}}},&quot;FitRowHeightPp&quot;:true,&quot;ZeroMarginsWord&quot;:true,&quot;BackgroundColor&quot;:{&quot;Key&quot;:&quot;Light2&quot;},&quot;Font&quot;:{&quot;Name&quot;:&quot;Source Sans Pro&quot;,&quot;Size&quot;:11.0,&quot;Bold&quot;:false,&quot;Italic&quot;:false,&quot;Color&quot;:{&quot;Key&quot;:&quot;Dark2&quot;}},&quot;LineSpacing&quot;:{&quot;Rule&quot;:&quot;Single&quot;},&quot;Alignment&quot;:{&quot;Horizontal&quot;:&quot;Left&quot;,&quot;Vertical&quot;:&quot;Top&quot;},&quot;Margin&quot;:{&quot;Left&quot;:5.7,&quot;Top&quot;:3.0,&quot;Right&quot;:5.7,&quot;Bottom&quot;:3.0},&quot;Borders&quot;:{&quot;Vertical&quot;:{&quot;Visible&quot;:false},&quot;Horizontal&quot;:{&quot;Color&quot;:{&quot;Key&quot;:&quot;Accent4&quot;},&quot;BorderWeight&quot;:&quot;Pt0_5&quot;,&quot;Type&quot;:&quot;Solid&quot;,&quot;Visible&quot;:true}},&quot;ParagraphSpacing&quot;:{&quot;SpaceBefore&quot;:2.0,&quot;SpaceAfter&quot;:2.0},&quot;ExcelWrapText&quot;:true},&quot;Ccs&quot;:{&quot;DarkBlue&quot;:&quot;0, 20, 55&quot;,&quot;Turquoise&quot;:&quot;0, 164, 230&quot;,&quot;Red&quot;:&quot;214, 70, 65&quot;,&quot;LightGrey&quot;:&quot;174, 174, 180&quot;,&quot;BlueGrey&quot;:&quot;77, 91, 115&quot;,&quot;IceBlue&quot;:&quot;178, 184, 195&quot;,&quot;Grey&quot;:&quot;145, 147, 153&quot;,&quot;Background&quot;:&quot;0, 0, 0, 0&quot;,&quot;White&quot;:&quot;White&quot;,&quot;Accent1&quot;:&quot;1, 1, 1, 1&quot;,&quot;Accent2&quot;:&quot;1, 1, 1, 2&quot;,&quot;Accent3&quot;:&quot;1, 1, 1, 3&quot;,&quot;Accent4&quot;:&quot;1, 1, 1, 4&quot;,&quot;Accent5&quot;:&quot;1, 1, 1, 5&quot;,&quot;Accent6&quot;:&quot;1, 1, 1, 6&quot;,&quot;Dark1&quot;:&quot;1, 1, 1, 7&quot;,&quot;Dark2&quot;:&quot;1, 1, 1, 9&quot;,&quot;Light1&quot;:&quot;1, 1, 1, 8&quot;,&quot;Light2&quot;:&quot;1, 1, 1, 10&quot;},&quot;Cop&quot;:{&quot;FirstRow&quot;:true,&quot;LastRow&quot;:false,&quot;FirstColumn&quot;:false,&quot;LastColumn&quot;:false,&quot;BandedRows&quot;:false,&quot;BandedColumns&quot;:false},&quot;Aaf&quot;:false}"/>
          </w:tblPr>
          <w:tblGrid>
            <w:gridCol w:w="2587"/>
            <w:gridCol w:w="2587"/>
            <w:gridCol w:w="2587"/>
            <w:gridCol w:w="2587"/>
          </w:tblGrid>
          <w:tr w:rsidR="008D1441" w:rsidRPr="00ED33EF" w14:paraId="7D5A5C0F" w14:textId="7E8BBDB5" w:rsidTr="00A875C2">
            <w:trPr>
              <w:trHeight w:val="283"/>
            </w:trPr>
            <w:tc>
              <w:tcPr>
                <w:tcW w:w="1250"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2C593D2E" w14:textId="665BB0D6" w:rsidR="008D1441" w:rsidRPr="00ED33EF" w:rsidRDefault="008D1441" w:rsidP="006C2C95">
                <w:pPr>
                  <w:spacing w:before="0" w:line="240" w:lineRule="auto"/>
                  <w:jc w:val="center"/>
                  <w:rPr>
                    <w:b/>
                    <w:color w:val="33A1AB" w:themeColor="accent2"/>
                    <w:sz w:val="14"/>
                    <w:szCs w:val="14"/>
                  </w:rPr>
                </w:pPr>
                <w:r>
                  <w:rPr>
                    <w:b/>
                    <w:color w:val="33A1AB" w:themeColor="accent2"/>
                    <w:sz w:val="14"/>
                    <w:szCs w:val="14"/>
                  </w:rPr>
                  <w:t>Year</w:t>
                </w:r>
              </w:p>
            </w:tc>
            <w:tc>
              <w:tcPr>
                <w:tcW w:w="1250"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768CD1E5" w14:textId="535EDA9F" w:rsidR="008D1441" w:rsidRPr="00ED33EF" w:rsidRDefault="008D1441" w:rsidP="006C2C95">
                <w:pPr>
                  <w:spacing w:before="0" w:line="240" w:lineRule="auto"/>
                  <w:jc w:val="center"/>
                  <w:rPr>
                    <w:b/>
                    <w:color w:val="33A1AB" w:themeColor="accent2"/>
                    <w:sz w:val="14"/>
                    <w:szCs w:val="14"/>
                  </w:rPr>
                </w:pPr>
                <w:r>
                  <w:rPr>
                    <w:b/>
                    <w:color w:val="33A1AB" w:themeColor="accent2"/>
                    <w:sz w:val="14"/>
                    <w:szCs w:val="14"/>
                  </w:rPr>
                  <w:t>Rated entities in the portfolio at the beginning of the period</w:t>
                </w:r>
              </w:p>
            </w:tc>
            <w:tc>
              <w:tcPr>
                <w:tcW w:w="1250"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135D2346" w14:textId="66A0B5A2" w:rsidR="008D1441" w:rsidRPr="00ED33EF" w:rsidRDefault="008D1441" w:rsidP="006C2C95">
                <w:pPr>
                  <w:spacing w:before="0" w:line="240" w:lineRule="auto"/>
                  <w:jc w:val="center"/>
                  <w:rPr>
                    <w:b/>
                    <w:color w:val="33A1AB" w:themeColor="accent2"/>
                    <w:sz w:val="14"/>
                    <w:szCs w:val="14"/>
                  </w:rPr>
                </w:pPr>
                <w:r>
                  <w:rPr>
                    <w:b/>
                    <w:color w:val="33A1AB" w:themeColor="accent2"/>
                    <w:sz w:val="14"/>
                    <w:szCs w:val="14"/>
                  </w:rPr>
                  <w:t>Number of defaults</w:t>
                </w:r>
              </w:p>
            </w:tc>
            <w:tc>
              <w:tcPr>
                <w:tcW w:w="1250" w:type="pct"/>
                <w:tcBorders>
                  <w:top w:val="single" w:sz="12" w:space="0" w:color="AFAFB4" w:themeColor="accent4"/>
                </w:tcBorders>
                <w:shd w:val="clear" w:color="auto" w:fill="FFFFFF" w:themeFill="background2"/>
                <w:vAlign w:val="center"/>
              </w:tcPr>
              <w:p w14:paraId="771EE940" w14:textId="62CC5A6D" w:rsidR="008D1441" w:rsidRPr="00ED33EF" w:rsidRDefault="008D1441" w:rsidP="006C2C95">
                <w:pPr>
                  <w:spacing w:before="0" w:line="240" w:lineRule="auto"/>
                  <w:jc w:val="center"/>
                  <w:rPr>
                    <w:b/>
                    <w:color w:val="33A1AB" w:themeColor="accent2"/>
                    <w:sz w:val="14"/>
                    <w:szCs w:val="14"/>
                  </w:rPr>
                </w:pPr>
                <w:r>
                  <w:rPr>
                    <w:b/>
                    <w:color w:val="33A1AB" w:themeColor="accent2"/>
                    <w:sz w:val="14"/>
                    <w:szCs w:val="14"/>
                  </w:rPr>
                  <w:t>1-year default rate</w:t>
                </w:r>
              </w:p>
            </w:tc>
          </w:tr>
          <w:tr w:rsidR="00611B39" w:rsidRPr="00ED33EF" w14:paraId="05EA73C1" w14:textId="3DA847B3" w:rsidTr="00A875C2">
            <w:trPr>
              <w:trHeight w:val="283"/>
            </w:trPr>
            <w:tc>
              <w:tcPr>
                <w:tcW w:w="1250" w:type="pct"/>
                <w:shd w:val="clear" w:color="auto" w:fill="FFFFFF" w:themeFill="background2"/>
                <w:tcMar>
                  <w:top w:w="60" w:type="dxa"/>
                  <w:left w:w="114" w:type="dxa"/>
                  <w:bottom w:w="60" w:type="dxa"/>
                  <w:right w:w="114" w:type="dxa"/>
                </w:tcMar>
                <w:vAlign w:val="center"/>
              </w:tcPr>
              <w:p w14:paraId="0E8AA6DC" w14:textId="567600A9" w:rsidR="00611B39" w:rsidRPr="00611B39" w:rsidRDefault="00611B39" w:rsidP="00103A4B">
                <w:pPr>
                  <w:spacing w:before="0" w:line="240" w:lineRule="auto"/>
                  <w:jc w:val="left"/>
                  <w:rPr>
                    <w:rFonts w:eastAsia="Times New Roman" w:cs="Segoe UI"/>
                    <w:sz w:val="14"/>
                    <w:szCs w:val="22"/>
                    <w:lang w:val="en-GB" w:eastAsia="it-IT"/>
                  </w:rPr>
                </w:pPr>
                <w:r w:rsidRPr="00611B39">
                  <w:rPr>
                    <w:rFonts w:eastAsia="Times New Roman" w:cs="Segoe UI"/>
                    <w:sz w:val="14"/>
                    <w:szCs w:val="22"/>
                    <w:lang w:val="en-GB" w:eastAsia="it-IT"/>
                  </w:rPr>
                  <w:t>2009</w:t>
                </w:r>
              </w:p>
            </w:tc>
            <w:tc>
              <w:tcPr>
                <w:tcW w:w="1250" w:type="pct"/>
                <w:shd w:val="clear" w:color="auto" w:fill="FFFFFF" w:themeFill="background2"/>
                <w:tcMar>
                  <w:top w:w="60" w:type="dxa"/>
                  <w:left w:w="114" w:type="dxa"/>
                  <w:bottom w:w="60" w:type="dxa"/>
                  <w:right w:w="114" w:type="dxa"/>
                </w:tcMar>
                <w:vAlign w:val="center"/>
              </w:tcPr>
              <w:p w14:paraId="782FFFB0" w14:textId="40FFE3A9" w:rsidR="00611B39" w:rsidRPr="00611B39" w:rsidRDefault="00611B39" w:rsidP="006C2C95">
                <w:pPr>
                  <w:spacing w:before="0" w:line="240" w:lineRule="auto"/>
                  <w:jc w:val="center"/>
                  <w:rPr>
                    <w:rFonts w:eastAsia="Times New Roman" w:cs="Segoe UI"/>
                    <w:sz w:val="14"/>
                    <w:szCs w:val="22"/>
                    <w:lang w:val="en-GB" w:eastAsia="it-IT"/>
                  </w:rPr>
                </w:pPr>
                <w:r w:rsidRPr="00611B39">
                  <w:rPr>
                    <w:rFonts w:eastAsia="Times New Roman" w:cs="Segoe UI"/>
                    <w:sz w:val="14"/>
                    <w:szCs w:val="22"/>
                    <w:lang w:val="en-GB" w:eastAsia="it-IT"/>
                  </w:rPr>
                  <w:t>64</w:t>
                </w:r>
                <w:r w:rsidR="004C3636">
                  <w:rPr>
                    <w:rFonts w:eastAsia="Times New Roman" w:cs="Segoe UI"/>
                    <w:sz w:val="14"/>
                    <w:szCs w:val="22"/>
                    <w:lang w:val="en-GB" w:eastAsia="it-IT"/>
                  </w:rPr>
                  <w:t>,</w:t>
                </w:r>
                <w:r w:rsidRPr="00611B39">
                  <w:rPr>
                    <w:rFonts w:eastAsia="Times New Roman" w:cs="Segoe UI"/>
                    <w:sz w:val="14"/>
                    <w:szCs w:val="22"/>
                    <w:lang w:val="en-GB" w:eastAsia="it-IT"/>
                  </w:rPr>
                  <w:t>770</w:t>
                </w:r>
              </w:p>
            </w:tc>
            <w:tc>
              <w:tcPr>
                <w:tcW w:w="1250" w:type="pct"/>
                <w:shd w:val="clear" w:color="auto" w:fill="FFFFFF" w:themeFill="background2"/>
                <w:tcMar>
                  <w:top w:w="60" w:type="dxa"/>
                  <w:left w:w="114" w:type="dxa"/>
                  <w:bottom w:w="60" w:type="dxa"/>
                  <w:right w:w="114" w:type="dxa"/>
                </w:tcMar>
                <w:vAlign w:val="center"/>
              </w:tcPr>
              <w:p w14:paraId="647104DC" w14:textId="362E0ED3" w:rsidR="00611B39" w:rsidRPr="00611B39" w:rsidRDefault="00611B39" w:rsidP="006C2C95">
                <w:pPr>
                  <w:spacing w:before="0" w:line="240" w:lineRule="auto"/>
                  <w:jc w:val="center"/>
                  <w:rPr>
                    <w:rFonts w:eastAsia="Times New Roman" w:cs="Segoe UI"/>
                    <w:sz w:val="14"/>
                    <w:szCs w:val="22"/>
                    <w:lang w:val="en-GB" w:eastAsia="it-IT"/>
                  </w:rPr>
                </w:pPr>
                <w:r w:rsidRPr="00611B39">
                  <w:rPr>
                    <w:rFonts w:eastAsia="Times New Roman" w:cs="Segoe UI"/>
                    <w:sz w:val="14"/>
                    <w:szCs w:val="22"/>
                    <w:lang w:val="en-GB" w:eastAsia="it-IT"/>
                  </w:rPr>
                  <w:t>3</w:t>
                </w:r>
                <w:r w:rsidR="004C3636">
                  <w:rPr>
                    <w:rFonts w:eastAsia="Times New Roman" w:cs="Segoe UI"/>
                    <w:sz w:val="14"/>
                    <w:szCs w:val="22"/>
                    <w:lang w:val="en-GB" w:eastAsia="it-IT"/>
                  </w:rPr>
                  <w:t>,</w:t>
                </w:r>
                <w:r w:rsidRPr="00611B39">
                  <w:rPr>
                    <w:rFonts w:eastAsia="Times New Roman" w:cs="Segoe UI"/>
                    <w:sz w:val="14"/>
                    <w:szCs w:val="22"/>
                    <w:lang w:val="en-GB" w:eastAsia="it-IT"/>
                  </w:rPr>
                  <w:t>495</w:t>
                </w:r>
              </w:p>
            </w:tc>
            <w:tc>
              <w:tcPr>
                <w:tcW w:w="1250" w:type="pct"/>
                <w:shd w:val="clear" w:color="auto" w:fill="FFFFFF" w:themeFill="background2"/>
                <w:vAlign w:val="center"/>
              </w:tcPr>
              <w:p w14:paraId="5ED46AEC" w14:textId="13C07145" w:rsidR="00611B39" w:rsidRPr="00611B39" w:rsidRDefault="00611B39" w:rsidP="006C2C95">
                <w:pPr>
                  <w:spacing w:before="0" w:line="240" w:lineRule="auto"/>
                  <w:jc w:val="center"/>
                  <w:rPr>
                    <w:rFonts w:eastAsia="Times New Roman" w:cs="Segoe UI"/>
                    <w:sz w:val="14"/>
                    <w:szCs w:val="22"/>
                    <w:lang w:val="en-GB" w:eastAsia="it-IT"/>
                  </w:rPr>
                </w:pPr>
                <w:r w:rsidRPr="00611B39">
                  <w:rPr>
                    <w:rFonts w:eastAsia="Times New Roman" w:cs="Segoe UI"/>
                    <w:sz w:val="14"/>
                    <w:szCs w:val="22"/>
                    <w:lang w:val="en-GB" w:eastAsia="it-IT"/>
                  </w:rPr>
                  <w:t>5</w:t>
                </w:r>
                <w:r w:rsidR="003C43EA">
                  <w:rPr>
                    <w:rFonts w:eastAsia="Times New Roman" w:cs="Segoe UI"/>
                    <w:sz w:val="14"/>
                    <w:szCs w:val="22"/>
                    <w:lang w:val="en-GB" w:eastAsia="it-IT"/>
                  </w:rPr>
                  <w:t>.</w:t>
                </w:r>
                <w:r w:rsidRPr="00611B39">
                  <w:rPr>
                    <w:rFonts w:eastAsia="Times New Roman" w:cs="Segoe UI"/>
                    <w:sz w:val="14"/>
                    <w:szCs w:val="22"/>
                    <w:lang w:val="en-GB" w:eastAsia="it-IT"/>
                  </w:rPr>
                  <w:t>40%</w:t>
                </w:r>
              </w:p>
            </w:tc>
          </w:tr>
          <w:tr w:rsidR="00611B39" w:rsidRPr="00ED33EF" w14:paraId="3E2F67C9" w14:textId="5767D6A9" w:rsidTr="00A875C2">
            <w:trPr>
              <w:trHeight w:val="283"/>
            </w:trPr>
            <w:tc>
              <w:tcPr>
                <w:tcW w:w="1250" w:type="pct"/>
                <w:shd w:val="clear" w:color="auto" w:fill="FFFFFF" w:themeFill="background2"/>
                <w:tcMar>
                  <w:top w:w="60" w:type="dxa"/>
                  <w:left w:w="114" w:type="dxa"/>
                  <w:bottom w:w="60" w:type="dxa"/>
                  <w:right w:w="114" w:type="dxa"/>
                </w:tcMar>
                <w:vAlign w:val="center"/>
              </w:tcPr>
              <w:p w14:paraId="0E6754FC" w14:textId="38B0D12E" w:rsidR="00611B39" w:rsidRPr="00611B39" w:rsidRDefault="00611B39" w:rsidP="00103A4B">
                <w:pPr>
                  <w:spacing w:before="0" w:line="240" w:lineRule="auto"/>
                  <w:jc w:val="left"/>
                  <w:rPr>
                    <w:rFonts w:eastAsia="Times New Roman" w:cs="Segoe UI"/>
                    <w:sz w:val="14"/>
                    <w:szCs w:val="22"/>
                    <w:lang w:val="en-GB" w:eastAsia="it-IT"/>
                  </w:rPr>
                </w:pPr>
                <w:r w:rsidRPr="00611B39">
                  <w:rPr>
                    <w:rFonts w:eastAsia="Times New Roman" w:cs="Segoe UI"/>
                    <w:sz w:val="14"/>
                    <w:szCs w:val="22"/>
                    <w:lang w:val="en-GB" w:eastAsia="it-IT"/>
                  </w:rPr>
                  <w:t>2010</w:t>
                </w:r>
              </w:p>
            </w:tc>
            <w:tc>
              <w:tcPr>
                <w:tcW w:w="1250" w:type="pct"/>
                <w:shd w:val="clear" w:color="auto" w:fill="FFFFFF" w:themeFill="background2"/>
                <w:tcMar>
                  <w:top w:w="60" w:type="dxa"/>
                  <w:left w:w="114" w:type="dxa"/>
                  <w:bottom w:w="60" w:type="dxa"/>
                  <w:right w:w="114" w:type="dxa"/>
                </w:tcMar>
                <w:vAlign w:val="center"/>
              </w:tcPr>
              <w:p w14:paraId="2D33FEEC" w14:textId="33CDB219" w:rsidR="00611B39" w:rsidRPr="00611B39" w:rsidRDefault="00611B39" w:rsidP="006C2C95">
                <w:pPr>
                  <w:spacing w:before="0" w:line="240" w:lineRule="auto"/>
                  <w:jc w:val="center"/>
                  <w:rPr>
                    <w:rFonts w:eastAsia="Times New Roman" w:cs="Segoe UI"/>
                    <w:sz w:val="14"/>
                    <w:szCs w:val="22"/>
                    <w:lang w:val="en-GB" w:eastAsia="it-IT"/>
                  </w:rPr>
                </w:pPr>
                <w:r w:rsidRPr="00611B39">
                  <w:rPr>
                    <w:rFonts w:eastAsia="Times New Roman" w:cs="Segoe UI"/>
                    <w:sz w:val="14"/>
                    <w:szCs w:val="22"/>
                    <w:lang w:val="en-GB" w:eastAsia="it-IT"/>
                  </w:rPr>
                  <w:t>84</w:t>
                </w:r>
                <w:r w:rsidR="004C3636">
                  <w:rPr>
                    <w:rFonts w:eastAsia="Times New Roman" w:cs="Segoe UI"/>
                    <w:sz w:val="14"/>
                    <w:szCs w:val="22"/>
                    <w:lang w:val="en-GB" w:eastAsia="it-IT"/>
                  </w:rPr>
                  <w:t>,</w:t>
                </w:r>
                <w:r w:rsidRPr="00611B39">
                  <w:rPr>
                    <w:rFonts w:eastAsia="Times New Roman" w:cs="Segoe UI"/>
                    <w:sz w:val="14"/>
                    <w:szCs w:val="22"/>
                    <w:lang w:val="en-GB" w:eastAsia="it-IT"/>
                  </w:rPr>
                  <w:t>302</w:t>
                </w:r>
              </w:p>
            </w:tc>
            <w:tc>
              <w:tcPr>
                <w:tcW w:w="1250" w:type="pct"/>
                <w:shd w:val="clear" w:color="auto" w:fill="FFFFFF" w:themeFill="background2"/>
                <w:tcMar>
                  <w:top w:w="60" w:type="dxa"/>
                  <w:left w:w="114" w:type="dxa"/>
                  <w:bottom w:w="60" w:type="dxa"/>
                  <w:right w:w="114" w:type="dxa"/>
                </w:tcMar>
                <w:vAlign w:val="center"/>
              </w:tcPr>
              <w:p w14:paraId="3EC76021" w14:textId="1FFB7DC9" w:rsidR="00611B39" w:rsidRPr="00611B39" w:rsidRDefault="00611B39" w:rsidP="006C2C95">
                <w:pPr>
                  <w:spacing w:before="0" w:line="240" w:lineRule="auto"/>
                  <w:jc w:val="center"/>
                  <w:rPr>
                    <w:rFonts w:eastAsia="Times New Roman" w:cs="Segoe UI"/>
                    <w:sz w:val="14"/>
                    <w:szCs w:val="22"/>
                    <w:lang w:val="en-GB" w:eastAsia="it-IT"/>
                  </w:rPr>
                </w:pPr>
                <w:r w:rsidRPr="00611B39">
                  <w:rPr>
                    <w:rFonts w:eastAsia="Times New Roman" w:cs="Segoe UI"/>
                    <w:sz w:val="14"/>
                    <w:szCs w:val="22"/>
                    <w:lang w:val="en-GB" w:eastAsia="it-IT"/>
                  </w:rPr>
                  <w:t>3</w:t>
                </w:r>
                <w:r w:rsidR="004C3636">
                  <w:rPr>
                    <w:rFonts w:eastAsia="Times New Roman" w:cs="Segoe UI"/>
                    <w:sz w:val="14"/>
                    <w:szCs w:val="22"/>
                    <w:lang w:val="en-GB" w:eastAsia="it-IT"/>
                  </w:rPr>
                  <w:t>,</w:t>
                </w:r>
                <w:r w:rsidRPr="00611B39">
                  <w:rPr>
                    <w:rFonts w:eastAsia="Times New Roman" w:cs="Segoe UI"/>
                    <w:sz w:val="14"/>
                    <w:szCs w:val="22"/>
                    <w:lang w:val="en-GB" w:eastAsia="it-IT"/>
                  </w:rPr>
                  <w:t>727</w:t>
                </w:r>
              </w:p>
            </w:tc>
            <w:tc>
              <w:tcPr>
                <w:tcW w:w="1250" w:type="pct"/>
                <w:shd w:val="clear" w:color="auto" w:fill="FFFFFF" w:themeFill="background2"/>
                <w:vAlign w:val="center"/>
              </w:tcPr>
              <w:p w14:paraId="01BF94E7" w14:textId="44146F10" w:rsidR="00611B39" w:rsidRPr="00611B39" w:rsidRDefault="00611B39" w:rsidP="006C2C95">
                <w:pPr>
                  <w:spacing w:before="0" w:line="240" w:lineRule="auto"/>
                  <w:jc w:val="center"/>
                  <w:rPr>
                    <w:rFonts w:eastAsia="Times New Roman" w:cs="Segoe UI"/>
                    <w:sz w:val="14"/>
                    <w:szCs w:val="22"/>
                    <w:lang w:val="en-GB" w:eastAsia="it-IT"/>
                  </w:rPr>
                </w:pPr>
                <w:r w:rsidRPr="00611B39">
                  <w:rPr>
                    <w:rFonts w:eastAsia="Times New Roman" w:cs="Segoe UI"/>
                    <w:sz w:val="14"/>
                    <w:szCs w:val="22"/>
                    <w:lang w:val="en-GB" w:eastAsia="it-IT"/>
                  </w:rPr>
                  <w:t>4</w:t>
                </w:r>
                <w:r w:rsidR="003C43EA">
                  <w:rPr>
                    <w:rFonts w:eastAsia="Times New Roman" w:cs="Segoe UI"/>
                    <w:sz w:val="14"/>
                    <w:szCs w:val="22"/>
                    <w:lang w:val="en-GB" w:eastAsia="it-IT"/>
                  </w:rPr>
                  <w:t>.</w:t>
                </w:r>
                <w:r w:rsidRPr="00611B39">
                  <w:rPr>
                    <w:rFonts w:eastAsia="Times New Roman" w:cs="Segoe UI"/>
                    <w:sz w:val="14"/>
                    <w:szCs w:val="22"/>
                    <w:lang w:val="en-GB" w:eastAsia="it-IT"/>
                  </w:rPr>
                  <w:t>42%</w:t>
                </w:r>
              </w:p>
            </w:tc>
          </w:tr>
          <w:tr w:rsidR="00611B39" w:rsidRPr="00ED33EF" w14:paraId="5CDC42E5" w14:textId="398EFD2A" w:rsidTr="00A875C2">
            <w:trPr>
              <w:trHeight w:val="283"/>
            </w:trPr>
            <w:tc>
              <w:tcPr>
                <w:tcW w:w="1250" w:type="pct"/>
                <w:shd w:val="clear" w:color="auto" w:fill="FFFFFF" w:themeFill="background2"/>
                <w:tcMar>
                  <w:top w:w="60" w:type="dxa"/>
                  <w:left w:w="114" w:type="dxa"/>
                  <w:bottom w:w="60" w:type="dxa"/>
                  <w:right w:w="114" w:type="dxa"/>
                </w:tcMar>
                <w:vAlign w:val="center"/>
              </w:tcPr>
              <w:p w14:paraId="3BAD6FB3" w14:textId="0B32D3CC" w:rsidR="00611B39" w:rsidRPr="00611B39" w:rsidRDefault="00611B39" w:rsidP="00103A4B">
                <w:pPr>
                  <w:spacing w:before="0" w:line="240" w:lineRule="auto"/>
                  <w:jc w:val="left"/>
                  <w:rPr>
                    <w:rFonts w:eastAsia="Times New Roman" w:cs="Segoe UI"/>
                    <w:sz w:val="14"/>
                    <w:szCs w:val="22"/>
                    <w:lang w:val="en-GB" w:eastAsia="it-IT"/>
                  </w:rPr>
                </w:pPr>
                <w:r w:rsidRPr="00611B39">
                  <w:rPr>
                    <w:rFonts w:eastAsia="Times New Roman" w:cs="Segoe UI"/>
                    <w:sz w:val="14"/>
                    <w:szCs w:val="22"/>
                    <w:lang w:val="en-GB" w:eastAsia="it-IT"/>
                  </w:rPr>
                  <w:t>2011</w:t>
                </w:r>
              </w:p>
            </w:tc>
            <w:tc>
              <w:tcPr>
                <w:tcW w:w="1250" w:type="pct"/>
                <w:shd w:val="clear" w:color="auto" w:fill="FFFFFF" w:themeFill="background2"/>
                <w:tcMar>
                  <w:top w:w="60" w:type="dxa"/>
                  <w:left w:w="114" w:type="dxa"/>
                  <w:bottom w:w="60" w:type="dxa"/>
                  <w:right w:w="114" w:type="dxa"/>
                </w:tcMar>
                <w:vAlign w:val="center"/>
              </w:tcPr>
              <w:p w14:paraId="07A2EC2A" w14:textId="75362B8A" w:rsidR="00611B39" w:rsidRPr="00611B39" w:rsidRDefault="00611B39" w:rsidP="006C2C95">
                <w:pPr>
                  <w:spacing w:before="0" w:line="240" w:lineRule="auto"/>
                  <w:jc w:val="center"/>
                  <w:rPr>
                    <w:rFonts w:eastAsia="Times New Roman" w:cs="Segoe UI"/>
                    <w:sz w:val="14"/>
                    <w:szCs w:val="22"/>
                    <w:lang w:val="en-GB" w:eastAsia="it-IT"/>
                  </w:rPr>
                </w:pPr>
                <w:r w:rsidRPr="00611B39">
                  <w:rPr>
                    <w:rFonts w:eastAsia="Times New Roman" w:cs="Segoe UI"/>
                    <w:sz w:val="14"/>
                    <w:szCs w:val="22"/>
                    <w:lang w:val="en-GB" w:eastAsia="it-IT"/>
                  </w:rPr>
                  <w:t>74</w:t>
                </w:r>
                <w:r w:rsidR="004C3636">
                  <w:rPr>
                    <w:rFonts w:eastAsia="Times New Roman" w:cs="Segoe UI"/>
                    <w:sz w:val="14"/>
                    <w:szCs w:val="22"/>
                    <w:lang w:val="en-GB" w:eastAsia="it-IT"/>
                  </w:rPr>
                  <w:t>,</w:t>
                </w:r>
                <w:r w:rsidRPr="00611B39">
                  <w:rPr>
                    <w:rFonts w:eastAsia="Times New Roman" w:cs="Segoe UI"/>
                    <w:sz w:val="14"/>
                    <w:szCs w:val="22"/>
                    <w:lang w:val="en-GB" w:eastAsia="it-IT"/>
                  </w:rPr>
                  <w:t>783</w:t>
                </w:r>
              </w:p>
            </w:tc>
            <w:tc>
              <w:tcPr>
                <w:tcW w:w="1250" w:type="pct"/>
                <w:shd w:val="clear" w:color="auto" w:fill="FFFFFF" w:themeFill="background2"/>
                <w:tcMar>
                  <w:top w:w="60" w:type="dxa"/>
                  <w:left w:w="114" w:type="dxa"/>
                  <w:bottom w:w="60" w:type="dxa"/>
                  <w:right w:w="114" w:type="dxa"/>
                </w:tcMar>
                <w:vAlign w:val="center"/>
              </w:tcPr>
              <w:p w14:paraId="104ABB56" w14:textId="0E15464A" w:rsidR="00611B39" w:rsidRPr="00611B39" w:rsidRDefault="00611B39" w:rsidP="006C2C95">
                <w:pPr>
                  <w:spacing w:before="0" w:line="240" w:lineRule="auto"/>
                  <w:jc w:val="center"/>
                  <w:rPr>
                    <w:rFonts w:eastAsia="Times New Roman" w:cs="Segoe UI"/>
                    <w:sz w:val="14"/>
                    <w:szCs w:val="22"/>
                    <w:lang w:val="en-GB" w:eastAsia="it-IT"/>
                  </w:rPr>
                </w:pPr>
                <w:r w:rsidRPr="00611B39">
                  <w:rPr>
                    <w:rFonts w:eastAsia="Times New Roman" w:cs="Segoe UI"/>
                    <w:sz w:val="14"/>
                    <w:szCs w:val="22"/>
                    <w:lang w:val="en-GB" w:eastAsia="it-IT"/>
                  </w:rPr>
                  <w:t>2</w:t>
                </w:r>
                <w:r w:rsidR="004C3636">
                  <w:rPr>
                    <w:rFonts w:eastAsia="Times New Roman" w:cs="Segoe UI"/>
                    <w:sz w:val="14"/>
                    <w:szCs w:val="22"/>
                    <w:lang w:val="en-GB" w:eastAsia="it-IT"/>
                  </w:rPr>
                  <w:t>,</w:t>
                </w:r>
                <w:r w:rsidRPr="00611B39">
                  <w:rPr>
                    <w:rFonts w:eastAsia="Times New Roman" w:cs="Segoe UI"/>
                    <w:sz w:val="14"/>
                    <w:szCs w:val="22"/>
                    <w:lang w:val="en-GB" w:eastAsia="it-IT"/>
                  </w:rPr>
                  <w:t>768</w:t>
                </w:r>
              </w:p>
            </w:tc>
            <w:tc>
              <w:tcPr>
                <w:tcW w:w="1250" w:type="pct"/>
                <w:shd w:val="clear" w:color="auto" w:fill="FFFFFF" w:themeFill="background2"/>
                <w:vAlign w:val="center"/>
              </w:tcPr>
              <w:p w14:paraId="1E018EF0" w14:textId="0DBD25B5" w:rsidR="00611B39" w:rsidRPr="00611B39" w:rsidRDefault="00611B39" w:rsidP="006C2C95">
                <w:pPr>
                  <w:spacing w:before="0" w:line="240" w:lineRule="auto"/>
                  <w:jc w:val="center"/>
                  <w:rPr>
                    <w:rFonts w:eastAsia="Times New Roman" w:cs="Segoe UI"/>
                    <w:sz w:val="14"/>
                    <w:szCs w:val="22"/>
                    <w:lang w:val="en-GB" w:eastAsia="it-IT"/>
                  </w:rPr>
                </w:pPr>
                <w:r w:rsidRPr="00611B39">
                  <w:rPr>
                    <w:rFonts w:eastAsia="Times New Roman" w:cs="Segoe UI"/>
                    <w:sz w:val="14"/>
                    <w:szCs w:val="22"/>
                    <w:lang w:val="en-GB" w:eastAsia="it-IT"/>
                  </w:rPr>
                  <w:t>3</w:t>
                </w:r>
                <w:r w:rsidR="003C43EA">
                  <w:rPr>
                    <w:rFonts w:eastAsia="Times New Roman" w:cs="Segoe UI"/>
                    <w:sz w:val="14"/>
                    <w:szCs w:val="22"/>
                    <w:lang w:val="en-GB" w:eastAsia="it-IT"/>
                  </w:rPr>
                  <w:t>.</w:t>
                </w:r>
                <w:r w:rsidRPr="00611B39">
                  <w:rPr>
                    <w:rFonts w:eastAsia="Times New Roman" w:cs="Segoe UI"/>
                    <w:sz w:val="14"/>
                    <w:szCs w:val="22"/>
                    <w:lang w:val="en-GB" w:eastAsia="it-IT"/>
                  </w:rPr>
                  <w:t>70%</w:t>
                </w:r>
              </w:p>
            </w:tc>
          </w:tr>
          <w:tr w:rsidR="00611B39" w:rsidRPr="00ED33EF" w14:paraId="4A768D44" w14:textId="44DC4AE6" w:rsidTr="00A875C2">
            <w:trPr>
              <w:trHeight w:val="283"/>
            </w:trPr>
            <w:tc>
              <w:tcPr>
                <w:tcW w:w="1250" w:type="pct"/>
                <w:shd w:val="clear" w:color="auto" w:fill="FFFFFF" w:themeFill="background2"/>
                <w:tcMar>
                  <w:top w:w="60" w:type="dxa"/>
                  <w:left w:w="114" w:type="dxa"/>
                  <w:bottom w:w="60" w:type="dxa"/>
                  <w:right w:w="114" w:type="dxa"/>
                </w:tcMar>
                <w:vAlign w:val="center"/>
              </w:tcPr>
              <w:p w14:paraId="4453E693" w14:textId="1DE3F411" w:rsidR="00611B39" w:rsidRPr="00611B39" w:rsidRDefault="00611B39" w:rsidP="00103A4B">
                <w:pPr>
                  <w:spacing w:before="0" w:line="240" w:lineRule="auto"/>
                  <w:jc w:val="left"/>
                  <w:rPr>
                    <w:rFonts w:eastAsia="Times New Roman" w:cs="Segoe UI"/>
                    <w:sz w:val="14"/>
                    <w:szCs w:val="22"/>
                    <w:lang w:val="en-GB" w:eastAsia="it-IT"/>
                  </w:rPr>
                </w:pPr>
                <w:r w:rsidRPr="00611B39">
                  <w:rPr>
                    <w:rFonts w:eastAsia="Times New Roman" w:cs="Segoe UI"/>
                    <w:sz w:val="14"/>
                    <w:szCs w:val="22"/>
                    <w:lang w:val="en-GB" w:eastAsia="it-IT"/>
                  </w:rPr>
                  <w:t>2012</w:t>
                </w:r>
              </w:p>
            </w:tc>
            <w:tc>
              <w:tcPr>
                <w:tcW w:w="1250" w:type="pct"/>
                <w:shd w:val="clear" w:color="auto" w:fill="FFFFFF" w:themeFill="background2"/>
                <w:tcMar>
                  <w:top w:w="60" w:type="dxa"/>
                  <w:left w:w="114" w:type="dxa"/>
                  <w:bottom w:w="60" w:type="dxa"/>
                  <w:right w:w="114" w:type="dxa"/>
                </w:tcMar>
                <w:vAlign w:val="center"/>
              </w:tcPr>
              <w:p w14:paraId="61C16B58" w14:textId="3A3151C2" w:rsidR="00611B39" w:rsidRPr="00611B39" w:rsidRDefault="00611B39" w:rsidP="006C2C95">
                <w:pPr>
                  <w:spacing w:before="0" w:line="240" w:lineRule="auto"/>
                  <w:jc w:val="center"/>
                  <w:rPr>
                    <w:rFonts w:eastAsia="Times New Roman" w:cs="Segoe UI"/>
                    <w:sz w:val="14"/>
                    <w:szCs w:val="22"/>
                    <w:lang w:val="en-GB" w:eastAsia="it-IT"/>
                  </w:rPr>
                </w:pPr>
                <w:r w:rsidRPr="00611B39">
                  <w:rPr>
                    <w:rFonts w:eastAsia="Times New Roman" w:cs="Segoe UI"/>
                    <w:sz w:val="14"/>
                    <w:szCs w:val="22"/>
                    <w:lang w:val="en-GB" w:eastAsia="it-IT"/>
                  </w:rPr>
                  <w:t>40</w:t>
                </w:r>
                <w:r w:rsidR="004C3636">
                  <w:rPr>
                    <w:rFonts w:eastAsia="Times New Roman" w:cs="Segoe UI"/>
                    <w:sz w:val="14"/>
                    <w:szCs w:val="22"/>
                    <w:lang w:val="en-GB" w:eastAsia="it-IT"/>
                  </w:rPr>
                  <w:t>,</w:t>
                </w:r>
                <w:r w:rsidRPr="00611B39">
                  <w:rPr>
                    <w:rFonts w:eastAsia="Times New Roman" w:cs="Segoe UI"/>
                    <w:sz w:val="14"/>
                    <w:szCs w:val="22"/>
                    <w:lang w:val="en-GB" w:eastAsia="it-IT"/>
                  </w:rPr>
                  <w:t>043</w:t>
                </w:r>
              </w:p>
            </w:tc>
            <w:tc>
              <w:tcPr>
                <w:tcW w:w="1250" w:type="pct"/>
                <w:shd w:val="clear" w:color="auto" w:fill="FFFFFF" w:themeFill="background2"/>
                <w:tcMar>
                  <w:top w:w="60" w:type="dxa"/>
                  <w:left w:w="114" w:type="dxa"/>
                  <w:bottom w:w="60" w:type="dxa"/>
                  <w:right w:w="114" w:type="dxa"/>
                </w:tcMar>
                <w:vAlign w:val="center"/>
              </w:tcPr>
              <w:p w14:paraId="543FF5EB" w14:textId="6136362F" w:rsidR="00611B39" w:rsidRPr="00611B39" w:rsidRDefault="00611B39" w:rsidP="006C2C95">
                <w:pPr>
                  <w:spacing w:before="0" w:line="240" w:lineRule="auto"/>
                  <w:jc w:val="center"/>
                  <w:rPr>
                    <w:rFonts w:eastAsia="Times New Roman" w:cs="Segoe UI"/>
                    <w:sz w:val="14"/>
                    <w:szCs w:val="22"/>
                    <w:lang w:val="en-GB" w:eastAsia="it-IT"/>
                  </w:rPr>
                </w:pPr>
                <w:r w:rsidRPr="00611B39">
                  <w:rPr>
                    <w:rFonts w:eastAsia="Times New Roman" w:cs="Segoe UI"/>
                    <w:sz w:val="14"/>
                    <w:szCs w:val="22"/>
                    <w:lang w:val="en-GB" w:eastAsia="it-IT"/>
                  </w:rPr>
                  <w:t>1</w:t>
                </w:r>
                <w:r w:rsidR="004C3636">
                  <w:rPr>
                    <w:rFonts w:eastAsia="Times New Roman" w:cs="Segoe UI"/>
                    <w:sz w:val="14"/>
                    <w:szCs w:val="22"/>
                    <w:lang w:val="en-GB" w:eastAsia="it-IT"/>
                  </w:rPr>
                  <w:t>,</w:t>
                </w:r>
                <w:r w:rsidRPr="00611B39">
                  <w:rPr>
                    <w:rFonts w:eastAsia="Times New Roman" w:cs="Segoe UI"/>
                    <w:sz w:val="14"/>
                    <w:szCs w:val="22"/>
                    <w:lang w:val="en-GB" w:eastAsia="it-IT"/>
                  </w:rPr>
                  <w:t>705</w:t>
                </w:r>
              </w:p>
            </w:tc>
            <w:tc>
              <w:tcPr>
                <w:tcW w:w="1250" w:type="pct"/>
                <w:shd w:val="clear" w:color="auto" w:fill="FFFFFF" w:themeFill="background2"/>
                <w:vAlign w:val="center"/>
              </w:tcPr>
              <w:p w14:paraId="34CA283D" w14:textId="69706B96" w:rsidR="00611B39" w:rsidRPr="00611B39" w:rsidRDefault="00611B39" w:rsidP="006C2C95">
                <w:pPr>
                  <w:spacing w:before="0" w:line="240" w:lineRule="auto"/>
                  <w:jc w:val="center"/>
                  <w:rPr>
                    <w:rFonts w:eastAsia="Times New Roman" w:cs="Segoe UI"/>
                    <w:sz w:val="14"/>
                    <w:szCs w:val="22"/>
                    <w:lang w:val="en-GB" w:eastAsia="it-IT"/>
                  </w:rPr>
                </w:pPr>
                <w:r w:rsidRPr="00611B39">
                  <w:rPr>
                    <w:rFonts w:eastAsia="Times New Roman" w:cs="Segoe UI"/>
                    <w:sz w:val="14"/>
                    <w:szCs w:val="22"/>
                    <w:lang w:val="en-GB" w:eastAsia="it-IT"/>
                  </w:rPr>
                  <w:t>4</w:t>
                </w:r>
                <w:r w:rsidR="003C43EA">
                  <w:rPr>
                    <w:rFonts w:eastAsia="Times New Roman" w:cs="Segoe UI"/>
                    <w:sz w:val="14"/>
                    <w:szCs w:val="22"/>
                    <w:lang w:val="en-GB" w:eastAsia="it-IT"/>
                  </w:rPr>
                  <w:t>.</w:t>
                </w:r>
                <w:r w:rsidRPr="00611B39">
                  <w:rPr>
                    <w:rFonts w:eastAsia="Times New Roman" w:cs="Segoe UI"/>
                    <w:sz w:val="14"/>
                    <w:szCs w:val="22"/>
                    <w:lang w:val="en-GB" w:eastAsia="it-IT"/>
                  </w:rPr>
                  <w:t>26%</w:t>
                </w:r>
              </w:p>
            </w:tc>
          </w:tr>
          <w:tr w:rsidR="00611B39" w:rsidRPr="00ED33EF" w14:paraId="5A3D5CEE" w14:textId="0218C03A" w:rsidTr="00A875C2">
            <w:trPr>
              <w:trHeight w:val="283"/>
            </w:trPr>
            <w:tc>
              <w:tcPr>
                <w:tcW w:w="1250" w:type="pct"/>
                <w:shd w:val="clear" w:color="auto" w:fill="FFFFFF" w:themeFill="background2"/>
                <w:tcMar>
                  <w:top w:w="60" w:type="dxa"/>
                  <w:left w:w="114" w:type="dxa"/>
                  <w:bottom w:w="60" w:type="dxa"/>
                  <w:right w:w="114" w:type="dxa"/>
                </w:tcMar>
                <w:vAlign w:val="center"/>
              </w:tcPr>
              <w:p w14:paraId="41165321" w14:textId="7B2EE9F3" w:rsidR="00611B39" w:rsidRPr="00611B39" w:rsidRDefault="00611B39" w:rsidP="00103A4B">
                <w:pPr>
                  <w:spacing w:before="0" w:line="240" w:lineRule="auto"/>
                  <w:jc w:val="left"/>
                  <w:rPr>
                    <w:rFonts w:eastAsia="Times New Roman" w:cs="Segoe UI"/>
                    <w:sz w:val="14"/>
                    <w:szCs w:val="22"/>
                    <w:lang w:val="en-GB" w:eastAsia="it-IT"/>
                  </w:rPr>
                </w:pPr>
                <w:r w:rsidRPr="00611B39">
                  <w:rPr>
                    <w:rFonts w:eastAsia="Times New Roman" w:cs="Segoe UI"/>
                    <w:sz w:val="14"/>
                    <w:szCs w:val="22"/>
                    <w:lang w:val="en-GB" w:eastAsia="it-IT"/>
                  </w:rPr>
                  <w:t>2013</w:t>
                </w:r>
              </w:p>
            </w:tc>
            <w:tc>
              <w:tcPr>
                <w:tcW w:w="1250" w:type="pct"/>
                <w:shd w:val="clear" w:color="auto" w:fill="FFFFFF" w:themeFill="background2"/>
                <w:tcMar>
                  <w:top w:w="60" w:type="dxa"/>
                  <w:left w:w="114" w:type="dxa"/>
                  <w:bottom w:w="60" w:type="dxa"/>
                  <w:right w:w="114" w:type="dxa"/>
                </w:tcMar>
                <w:vAlign w:val="center"/>
              </w:tcPr>
              <w:p w14:paraId="107FE245" w14:textId="111A4670" w:rsidR="00611B39" w:rsidRPr="00611B39" w:rsidRDefault="00611B39" w:rsidP="006C2C95">
                <w:pPr>
                  <w:spacing w:before="0" w:line="240" w:lineRule="auto"/>
                  <w:jc w:val="center"/>
                  <w:rPr>
                    <w:rFonts w:eastAsia="Times New Roman" w:cs="Segoe UI"/>
                    <w:sz w:val="14"/>
                    <w:szCs w:val="22"/>
                    <w:lang w:val="en-GB" w:eastAsia="it-IT"/>
                  </w:rPr>
                </w:pPr>
                <w:r w:rsidRPr="00611B39">
                  <w:rPr>
                    <w:rFonts w:eastAsia="Times New Roman" w:cs="Segoe UI"/>
                    <w:sz w:val="14"/>
                    <w:szCs w:val="22"/>
                    <w:lang w:val="en-GB" w:eastAsia="it-IT"/>
                  </w:rPr>
                  <w:t>26</w:t>
                </w:r>
                <w:r w:rsidR="004C3636">
                  <w:rPr>
                    <w:rFonts w:eastAsia="Times New Roman" w:cs="Segoe UI"/>
                    <w:sz w:val="14"/>
                    <w:szCs w:val="22"/>
                    <w:lang w:val="en-GB" w:eastAsia="it-IT"/>
                  </w:rPr>
                  <w:t>,</w:t>
                </w:r>
                <w:r w:rsidRPr="00611B39">
                  <w:rPr>
                    <w:rFonts w:eastAsia="Times New Roman" w:cs="Segoe UI"/>
                    <w:sz w:val="14"/>
                    <w:szCs w:val="22"/>
                    <w:lang w:val="en-GB" w:eastAsia="it-IT"/>
                  </w:rPr>
                  <w:t>770</w:t>
                </w:r>
              </w:p>
            </w:tc>
            <w:tc>
              <w:tcPr>
                <w:tcW w:w="1250" w:type="pct"/>
                <w:shd w:val="clear" w:color="auto" w:fill="FFFFFF" w:themeFill="background2"/>
                <w:tcMar>
                  <w:top w:w="60" w:type="dxa"/>
                  <w:left w:w="114" w:type="dxa"/>
                  <w:bottom w:w="60" w:type="dxa"/>
                  <w:right w:w="114" w:type="dxa"/>
                </w:tcMar>
                <w:vAlign w:val="center"/>
              </w:tcPr>
              <w:p w14:paraId="15183D45" w14:textId="0457E009" w:rsidR="00611B39" w:rsidRPr="00611B39" w:rsidRDefault="00611B39" w:rsidP="006C2C95">
                <w:pPr>
                  <w:spacing w:before="0" w:line="240" w:lineRule="auto"/>
                  <w:jc w:val="center"/>
                  <w:rPr>
                    <w:rFonts w:eastAsia="Times New Roman" w:cs="Segoe UI"/>
                    <w:sz w:val="14"/>
                    <w:szCs w:val="22"/>
                    <w:lang w:val="en-GB" w:eastAsia="it-IT"/>
                  </w:rPr>
                </w:pPr>
                <w:r w:rsidRPr="00611B39">
                  <w:rPr>
                    <w:rFonts w:eastAsia="Times New Roman" w:cs="Segoe UI"/>
                    <w:sz w:val="14"/>
                    <w:szCs w:val="22"/>
                    <w:lang w:val="en-GB" w:eastAsia="it-IT"/>
                  </w:rPr>
                  <w:t>993</w:t>
                </w:r>
              </w:p>
            </w:tc>
            <w:tc>
              <w:tcPr>
                <w:tcW w:w="1250" w:type="pct"/>
                <w:shd w:val="clear" w:color="auto" w:fill="FFFFFF" w:themeFill="background2"/>
                <w:vAlign w:val="center"/>
              </w:tcPr>
              <w:p w14:paraId="5DF34F7D" w14:textId="5886920B" w:rsidR="00611B39" w:rsidRPr="00611B39" w:rsidRDefault="00611B39" w:rsidP="006C2C95">
                <w:pPr>
                  <w:spacing w:before="0" w:line="240" w:lineRule="auto"/>
                  <w:jc w:val="center"/>
                  <w:rPr>
                    <w:rFonts w:eastAsia="Times New Roman" w:cs="Segoe UI"/>
                    <w:sz w:val="14"/>
                    <w:szCs w:val="22"/>
                    <w:lang w:val="en-GB" w:eastAsia="it-IT"/>
                  </w:rPr>
                </w:pPr>
                <w:r w:rsidRPr="00611B39">
                  <w:rPr>
                    <w:rFonts w:eastAsia="Times New Roman" w:cs="Segoe UI"/>
                    <w:sz w:val="14"/>
                    <w:szCs w:val="22"/>
                    <w:lang w:val="en-GB" w:eastAsia="it-IT"/>
                  </w:rPr>
                  <w:t>3</w:t>
                </w:r>
                <w:r w:rsidR="003C43EA">
                  <w:rPr>
                    <w:rFonts w:eastAsia="Times New Roman" w:cs="Segoe UI"/>
                    <w:sz w:val="14"/>
                    <w:szCs w:val="22"/>
                    <w:lang w:val="en-GB" w:eastAsia="it-IT"/>
                  </w:rPr>
                  <w:t>.</w:t>
                </w:r>
                <w:r w:rsidRPr="00611B39">
                  <w:rPr>
                    <w:rFonts w:eastAsia="Times New Roman" w:cs="Segoe UI"/>
                    <w:sz w:val="14"/>
                    <w:szCs w:val="22"/>
                    <w:lang w:val="en-GB" w:eastAsia="it-IT"/>
                  </w:rPr>
                  <w:t>71%</w:t>
                </w:r>
              </w:p>
            </w:tc>
          </w:tr>
          <w:tr w:rsidR="00611B39" w:rsidRPr="00ED33EF" w14:paraId="41304432" w14:textId="5FD160E3" w:rsidTr="00A875C2">
            <w:trPr>
              <w:trHeight w:val="283"/>
            </w:trPr>
            <w:tc>
              <w:tcPr>
                <w:tcW w:w="1250" w:type="pct"/>
                <w:shd w:val="clear" w:color="auto" w:fill="FFFFFF" w:themeFill="background2"/>
                <w:tcMar>
                  <w:top w:w="60" w:type="dxa"/>
                  <w:left w:w="114" w:type="dxa"/>
                  <w:bottom w:w="60" w:type="dxa"/>
                  <w:right w:w="114" w:type="dxa"/>
                </w:tcMar>
                <w:vAlign w:val="center"/>
              </w:tcPr>
              <w:p w14:paraId="7F22ED39" w14:textId="6EBE094E" w:rsidR="00611B39" w:rsidRPr="00611B39" w:rsidRDefault="00611B39" w:rsidP="00103A4B">
                <w:pPr>
                  <w:spacing w:before="0" w:line="240" w:lineRule="auto"/>
                  <w:jc w:val="left"/>
                  <w:rPr>
                    <w:rFonts w:eastAsia="Times New Roman" w:cs="Segoe UI"/>
                    <w:sz w:val="14"/>
                    <w:szCs w:val="22"/>
                    <w:lang w:val="en-GB" w:eastAsia="it-IT"/>
                  </w:rPr>
                </w:pPr>
                <w:r w:rsidRPr="00611B39">
                  <w:rPr>
                    <w:rFonts w:eastAsia="Times New Roman" w:cs="Segoe UI"/>
                    <w:sz w:val="14"/>
                    <w:szCs w:val="22"/>
                    <w:lang w:val="en-GB" w:eastAsia="it-IT"/>
                  </w:rPr>
                  <w:t>2014</w:t>
                </w:r>
              </w:p>
            </w:tc>
            <w:tc>
              <w:tcPr>
                <w:tcW w:w="1250" w:type="pct"/>
                <w:shd w:val="clear" w:color="auto" w:fill="FFFFFF" w:themeFill="background2"/>
                <w:tcMar>
                  <w:top w:w="60" w:type="dxa"/>
                  <w:left w:w="114" w:type="dxa"/>
                  <w:bottom w:w="60" w:type="dxa"/>
                  <w:right w:w="114" w:type="dxa"/>
                </w:tcMar>
                <w:vAlign w:val="center"/>
              </w:tcPr>
              <w:p w14:paraId="79F3B0F2" w14:textId="380CEAB0" w:rsidR="00611B39" w:rsidRPr="00611B39" w:rsidRDefault="00611B39" w:rsidP="006C2C95">
                <w:pPr>
                  <w:spacing w:before="0" w:line="240" w:lineRule="auto"/>
                  <w:jc w:val="center"/>
                  <w:rPr>
                    <w:rFonts w:eastAsia="Times New Roman" w:cs="Segoe UI"/>
                    <w:sz w:val="14"/>
                    <w:szCs w:val="22"/>
                    <w:lang w:val="en-GB" w:eastAsia="it-IT"/>
                  </w:rPr>
                </w:pPr>
                <w:r w:rsidRPr="00611B39">
                  <w:rPr>
                    <w:rFonts w:eastAsia="Times New Roman" w:cs="Segoe UI"/>
                    <w:sz w:val="14"/>
                    <w:szCs w:val="22"/>
                    <w:lang w:val="en-GB" w:eastAsia="it-IT"/>
                  </w:rPr>
                  <w:t>29</w:t>
                </w:r>
                <w:r w:rsidR="004C3636">
                  <w:rPr>
                    <w:rFonts w:eastAsia="Times New Roman" w:cs="Segoe UI"/>
                    <w:sz w:val="14"/>
                    <w:szCs w:val="22"/>
                    <w:lang w:val="en-GB" w:eastAsia="it-IT"/>
                  </w:rPr>
                  <w:t>,</w:t>
                </w:r>
                <w:r w:rsidRPr="00611B39">
                  <w:rPr>
                    <w:rFonts w:eastAsia="Times New Roman" w:cs="Segoe UI"/>
                    <w:sz w:val="14"/>
                    <w:szCs w:val="22"/>
                    <w:lang w:val="en-GB" w:eastAsia="it-IT"/>
                  </w:rPr>
                  <w:t>270</w:t>
                </w:r>
              </w:p>
            </w:tc>
            <w:tc>
              <w:tcPr>
                <w:tcW w:w="1250" w:type="pct"/>
                <w:shd w:val="clear" w:color="auto" w:fill="FFFFFF" w:themeFill="background2"/>
                <w:tcMar>
                  <w:top w:w="60" w:type="dxa"/>
                  <w:left w:w="114" w:type="dxa"/>
                  <w:bottom w:w="60" w:type="dxa"/>
                  <w:right w:w="114" w:type="dxa"/>
                </w:tcMar>
                <w:vAlign w:val="center"/>
              </w:tcPr>
              <w:p w14:paraId="14D81CE4" w14:textId="1358A95D" w:rsidR="00611B39" w:rsidRPr="00611B39" w:rsidRDefault="00611B39" w:rsidP="006C2C95">
                <w:pPr>
                  <w:spacing w:before="0" w:line="240" w:lineRule="auto"/>
                  <w:jc w:val="center"/>
                  <w:rPr>
                    <w:rFonts w:eastAsia="Times New Roman" w:cs="Segoe UI"/>
                    <w:sz w:val="14"/>
                    <w:szCs w:val="22"/>
                    <w:lang w:val="en-GB" w:eastAsia="it-IT"/>
                  </w:rPr>
                </w:pPr>
                <w:r w:rsidRPr="00611B39">
                  <w:rPr>
                    <w:rFonts w:eastAsia="Times New Roman" w:cs="Segoe UI"/>
                    <w:sz w:val="14"/>
                    <w:szCs w:val="22"/>
                    <w:lang w:val="en-GB" w:eastAsia="it-IT"/>
                  </w:rPr>
                  <w:t>946</w:t>
                </w:r>
              </w:p>
            </w:tc>
            <w:tc>
              <w:tcPr>
                <w:tcW w:w="1250" w:type="pct"/>
                <w:shd w:val="clear" w:color="auto" w:fill="FFFFFF" w:themeFill="background2"/>
                <w:vAlign w:val="center"/>
              </w:tcPr>
              <w:p w14:paraId="41D91CBD" w14:textId="5F3F2E1A" w:rsidR="00611B39" w:rsidRPr="00611B39" w:rsidRDefault="00611B39" w:rsidP="006C2C95">
                <w:pPr>
                  <w:spacing w:before="0" w:line="240" w:lineRule="auto"/>
                  <w:jc w:val="center"/>
                  <w:rPr>
                    <w:rFonts w:eastAsia="Times New Roman" w:cs="Segoe UI"/>
                    <w:sz w:val="14"/>
                    <w:szCs w:val="22"/>
                    <w:lang w:val="en-GB" w:eastAsia="it-IT"/>
                  </w:rPr>
                </w:pPr>
                <w:r w:rsidRPr="00611B39">
                  <w:rPr>
                    <w:rFonts w:eastAsia="Times New Roman" w:cs="Segoe UI"/>
                    <w:sz w:val="14"/>
                    <w:szCs w:val="22"/>
                    <w:lang w:val="en-GB" w:eastAsia="it-IT"/>
                  </w:rPr>
                  <w:t>3</w:t>
                </w:r>
                <w:r w:rsidR="003C43EA">
                  <w:rPr>
                    <w:rFonts w:eastAsia="Times New Roman" w:cs="Segoe UI"/>
                    <w:sz w:val="14"/>
                    <w:szCs w:val="22"/>
                    <w:lang w:val="en-GB" w:eastAsia="it-IT"/>
                  </w:rPr>
                  <w:t>.</w:t>
                </w:r>
                <w:r w:rsidRPr="00611B39">
                  <w:rPr>
                    <w:rFonts w:eastAsia="Times New Roman" w:cs="Segoe UI"/>
                    <w:sz w:val="14"/>
                    <w:szCs w:val="22"/>
                    <w:lang w:val="en-GB" w:eastAsia="it-IT"/>
                  </w:rPr>
                  <w:t>23%</w:t>
                </w:r>
              </w:p>
            </w:tc>
          </w:tr>
          <w:tr w:rsidR="00611B39" w:rsidRPr="00ED33EF" w14:paraId="5B624E1A" w14:textId="66C16BC9" w:rsidTr="00A875C2">
            <w:trPr>
              <w:trHeight w:val="283"/>
            </w:trPr>
            <w:tc>
              <w:tcPr>
                <w:tcW w:w="1250" w:type="pct"/>
                <w:shd w:val="clear" w:color="auto" w:fill="FFFFFF" w:themeFill="background2"/>
                <w:tcMar>
                  <w:top w:w="60" w:type="dxa"/>
                  <w:left w:w="114" w:type="dxa"/>
                  <w:bottom w:w="60" w:type="dxa"/>
                  <w:right w:w="114" w:type="dxa"/>
                </w:tcMar>
                <w:vAlign w:val="center"/>
              </w:tcPr>
              <w:p w14:paraId="1767EF1B" w14:textId="26434DE6" w:rsidR="00611B39" w:rsidRPr="00611B39" w:rsidRDefault="00611B39" w:rsidP="00103A4B">
                <w:pPr>
                  <w:spacing w:before="0" w:line="240" w:lineRule="auto"/>
                  <w:jc w:val="left"/>
                  <w:rPr>
                    <w:rFonts w:eastAsia="Times New Roman" w:cs="Segoe UI"/>
                    <w:sz w:val="14"/>
                    <w:szCs w:val="22"/>
                    <w:lang w:val="en-GB" w:eastAsia="it-IT"/>
                  </w:rPr>
                </w:pPr>
                <w:r w:rsidRPr="00611B39">
                  <w:rPr>
                    <w:rFonts w:eastAsia="Times New Roman" w:cs="Segoe UI"/>
                    <w:sz w:val="14"/>
                    <w:szCs w:val="22"/>
                    <w:lang w:val="en-GB" w:eastAsia="it-IT"/>
                  </w:rPr>
                  <w:t>2015</w:t>
                </w:r>
              </w:p>
            </w:tc>
            <w:tc>
              <w:tcPr>
                <w:tcW w:w="1250" w:type="pct"/>
                <w:shd w:val="clear" w:color="auto" w:fill="FFFFFF" w:themeFill="background2"/>
                <w:tcMar>
                  <w:top w:w="60" w:type="dxa"/>
                  <w:left w:w="114" w:type="dxa"/>
                  <w:bottom w:w="60" w:type="dxa"/>
                  <w:right w:w="114" w:type="dxa"/>
                </w:tcMar>
                <w:vAlign w:val="center"/>
              </w:tcPr>
              <w:p w14:paraId="094CAF83" w14:textId="62943E06" w:rsidR="00611B39" w:rsidRPr="00611B39" w:rsidRDefault="00611B39" w:rsidP="006C2C95">
                <w:pPr>
                  <w:spacing w:before="0" w:line="240" w:lineRule="auto"/>
                  <w:jc w:val="center"/>
                  <w:rPr>
                    <w:rFonts w:eastAsia="Times New Roman" w:cs="Segoe UI"/>
                    <w:sz w:val="14"/>
                    <w:szCs w:val="22"/>
                    <w:lang w:val="en-GB" w:eastAsia="it-IT"/>
                  </w:rPr>
                </w:pPr>
                <w:r w:rsidRPr="00611B39">
                  <w:rPr>
                    <w:rFonts w:eastAsia="Times New Roman" w:cs="Segoe UI"/>
                    <w:sz w:val="14"/>
                    <w:szCs w:val="22"/>
                    <w:lang w:val="en-GB" w:eastAsia="it-IT"/>
                  </w:rPr>
                  <w:t>29</w:t>
                </w:r>
                <w:r w:rsidR="004C3636">
                  <w:rPr>
                    <w:rFonts w:eastAsia="Times New Roman" w:cs="Segoe UI"/>
                    <w:sz w:val="14"/>
                    <w:szCs w:val="22"/>
                    <w:lang w:val="en-GB" w:eastAsia="it-IT"/>
                  </w:rPr>
                  <w:t>,</w:t>
                </w:r>
                <w:r w:rsidRPr="00611B39">
                  <w:rPr>
                    <w:rFonts w:eastAsia="Times New Roman" w:cs="Segoe UI"/>
                    <w:sz w:val="14"/>
                    <w:szCs w:val="22"/>
                    <w:lang w:val="en-GB" w:eastAsia="it-IT"/>
                  </w:rPr>
                  <w:t>408</w:t>
                </w:r>
              </w:p>
            </w:tc>
            <w:tc>
              <w:tcPr>
                <w:tcW w:w="1250" w:type="pct"/>
                <w:shd w:val="clear" w:color="auto" w:fill="FFFFFF" w:themeFill="background2"/>
                <w:tcMar>
                  <w:top w:w="60" w:type="dxa"/>
                  <w:left w:w="114" w:type="dxa"/>
                  <w:bottom w:w="60" w:type="dxa"/>
                  <w:right w:w="114" w:type="dxa"/>
                </w:tcMar>
                <w:vAlign w:val="center"/>
              </w:tcPr>
              <w:p w14:paraId="5DF5D9C1" w14:textId="2CD24F95" w:rsidR="00611B39" w:rsidRPr="00611B39" w:rsidRDefault="00611B39" w:rsidP="006C2C95">
                <w:pPr>
                  <w:spacing w:before="0" w:line="240" w:lineRule="auto"/>
                  <w:jc w:val="center"/>
                  <w:rPr>
                    <w:rFonts w:eastAsia="Times New Roman" w:cs="Segoe UI"/>
                    <w:sz w:val="14"/>
                    <w:szCs w:val="22"/>
                    <w:lang w:val="en-GB" w:eastAsia="it-IT"/>
                  </w:rPr>
                </w:pPr>
                <w:r w:rsidRPr="00611B39">
                  <w:rPr>
                    <w:rFonts w:eastAsia="Times New Roman" w:cs="Segoe UI"/>
                    <w:sz w:val="14"/>
                    <w:szCs w:val="22"/>
                    <w:lang w:val="en-GB" w:eastAsia="it-IT"/>
                  </w:rPr>
                  <w:t>896</w:t>
                </w:r>
              </w:p>
            </w:tc>
            <w:tc>
              <w:tcPr>
                <w:tcW w:w="1250" w:type="pct"/>
                <w:shd w:val="clear" w:color="auto" w:fill="FFFFFF" w:themeFill="background2"/>
                <w:vAlign w:val="center"/>
              </w:tcPr>
              <w:p w14:paraId="3BAF9E8D" w14:textId="303453DC" w:rsidR="00611B39" w:rsidRPr="00611B39" w:rsidRDefault="00611B39" w:rsidP="006C2C95">
                <w:pPr>
                  <w:spacing w:before="0" w:line="240" w:lineRule="auto"/>
                  <w:jc w:val="center"/>
                  <w:rPr>
                    <w:rFonts w:eastAsia="Times New Roman" w:cs="Segoe UI"/>
                    <w:sz w:val="14"/>
                    <w:szCs w:val="22"/>
                    <w:lang w:val="en-GB" w:eastAsia="it-IT"/>
                  </w:rPr>
                </w:pPr>
                <w:r w:rsidRPr="00611B39">
                  <w:rPr>
                    <w:rFonts w:eastAsia="Times New Roman" w:cs="Segoe UI"/>
                    <w:sz w:val="14"/>
                    <w:szCs w:val="22"/>
                    <w:lang w:val="en-GB" w:eastAsia="it-IT"/>
                  </w:rPr>
                  <w:t>3</w:t>
                </w:r>
                <w:r w:rsidR="003C43EA">
                  <w:rPr>
                    <w:rFonts w:eastAsia="Times New Roman" w:cs="Segoe UI"/>
                    <w:sz w:val="14"/>
                    <w:szCs w:val="22"/>
                    <w:lang w:val="en-GB" w:eastAsia="it-IT"/>
                  </w:rPr>
                  <w:t>.</w:t>
                </w:r>
                <w:r w:rsidRPr="00611B39">
                  <w:rPr>
                    <w:rFonts w:eastAsia="Times New Roman" w:cs="Segoe UI"/>
                    <w:sz w:val="14"/>
                    <w:szCs w:val="22"/>
                    <w:lang w:val="en-GB" w:eastAsia="it-IT"/>
                  </w:rPr>
                  <w:t>05%</w:t>
                </w:r>
              </w:p>
            </w:tc>
          </w:tr>
          <w:tr w:rsidR="00611B39" w:rsidRPr="00ED33EF" w14:paraId="328A516F" w14:textId="738E1A3B" w:rsidTr="00A875C2">
            <w:trPr>
              <w:trHeight w:val="283"/>
            </w:trPr>
            <w:tc>
              <w:tcPr>
                <w:tcW w:w="1250" w:type="pct"/>
                <w:shd w:val="clear" w:color="auto" w:fill="FFFFFF" w:themeFill="background2"/>
                <w:tcMar>
                  <w:top w:w="60" w:type="dxa"/>
                  <w:left w:w="114" w:type="dxa"/>
                  <w:bottom w:w="60" w:type="dxa"/>
                  <w:right w:w="114" w:type="dxa"/>
                </w:tcMar>
                <w:vAlign w:val="center"/>
              </w:tcPr>
              <w:p w14:paraId="655B3534" w14:textId="15BE5FE8" w:rsidR="00611B39" w:rsidRPr="00611B39" w:rsidRDefault="00611B39" w:rsidP="00103A4B">
                <w:pPr>
                  <w:spacing w:before="0" w:line="240" w:lineRule="auto"/>
                  <w:jc w:val="left"/>
                  <w:rPr>
                    <w:rFonts w:eastAsia="Times New Roman" w:cs="Segoe UI"/>
                    <w:sz w:val="14"/>
                    <w:szCs w:val="22"/>
                    <w:lang w:val="en-GB" w:eastAsia="it-IT"/>
                  </w:rPr>
                </w:pPr>
                <w:r w:rsidRPr="00611B39">
                  <w:rPr>
                    <w:rFonts w:eastAsia="Times New Roman" w:cs="Segoe UI"/>
                    <w:sz w:val="14"/>
                    <w:szCs w:val="22"/>
                    <w:lang w:val="en-GB" w:eastAsia="it-IT"/>
                  </w:rPr>
                  <w:t>2016</w:t>
                </w:r>
              </w:p>
            </w:tc>
            <w:tc>
              <w:tcPr>
                <w:tcW w:w="1250" w:type="pct"/>
                <w:shd w:val="clear" w:color="auto" w:fill="FFFFFF" w:themeFill="background2"/>
                <w:tcMar>
                  <w:top w:w="60" w:type="dxa"/>
                  <w:left w:w="114" w:type="dxa"/>
                  <w:bottom w:w="60" w:type="dxa"/>
                  <w:right w:w="114" w:type="dxa"/>
                </w:tcMar>
                <w:vAlign w:val="center"/>
              </w:tcPr>
              <w:p w14:paraId="7714EC18" w14:textId="6C1C4F15" w:rsidR="00611B39" w:rsidRPr="00611B39" w:rsidRDefault="00611B39" w:rsidP="006C2C95">
                <w:pPr>
                  <w:spacing w:before="0" w:line="240" w:lineRule="auto"/>
                  <w:jc w:val="center"/>
                  <w:rPr>
                    <w:rFonts w:eastAsia="Times New Roman" w:cs="Segoe UI"/>
                    <w:sz w:val="14"/>
                    <w:szCs w:val="22"/>
                    <w:lang w:val="en-GB" w:eastAsia="it-IT"/>
                  </w:rPr>
                </w:pPr>
                <w:r w:rsidRPr="00611B39">
                  <w:rPr>
                    <w:rFonts w:eastAsia="Times New Roman" w:cs="Segoe UI"/>
                    <w:sz w:val="14"/>
                    <w:szCs w:val="22"/>
                    <w:lang w:val="en-GB" w:eastAsia="it-IT"/>
                  </w:rPr>
                  <w:t>19</w:t>
                </w:r>
                <w:r w:rsidR="004C3636">
                  <w:rPr>
                    <w:rFonts w:eastAsia="Times New Roman" w:cs="Segoe UI"/>
                    <w:sz w:val="14"/>
                    <w:szCs w:val="22"/>
                    <w:lang w:val="en-GB" w:eastAsia="it-IT"/>
                  </w:rPr>
                  <w:t>,</w:t>
                </w:r>
                <w:r w:rsidRPr="00611B39">
                  <w:rPr>
                    <w:rFonts w:eastAsia="Times New Roman" w:cs="Segoe UI"/>
                    <w:sz w:val="14"/>
                    <w:szCs w:val="22"/>
                    <w:lang w:val="en-GB" w:eastAsia="it-IT"/>
                  </w:rPr>
                  <w:t>714</w:t>
                </w:r>
              </w:p>
            </w:tc>
            <w:tc>
              <w:tcPr>
                <w:tcW w:w="1250" w:type="pct"/>
                <w:shd w:val="clear" w:color="auto" w:fill="FFFFFF" w:themeFill="background2"/>
                <w:tcMar>
                  <w:top w:w="60" w:type="dxa"/>
                  <w:left w:w="114" w:type="dxa"/>
                  <w:bottom w:w="60" w:type="dxa"/>
                  <w:right w:w="114" w:type="dxa"/>
                </w:tcMar>
                <w:vAlign w:val="center"/>
              </w:tcPr>
              <w:p w14:paraId="78B25D9C" w14:textId="092059F6" w:rsidR="00611B39" w:rsidRPr="00611B39" w:rsidRDefault="00611B39" w:rsidP="006C2C95">
                <w:pPr>
                  <w:spacing w:before="0" w:line="240" w:lineRule="auto"/>
                  <w:jc w:val="center"/>
                  <w:rPr>
                    <w:rFonts w:eastAsia="Times New Roman" w:cs="Segoe UI"/>
                    <w:sz w:val="14"/>
                    <w:szCs w:val="22"/>
                    <w:lang w:val="en-GB" w:eastAsia="it-IT"/>
                  </w:rPr>
                </w:pPr>
                <w:r w:rsidRPr="00611B39">
                  <w:rPr>
                    <w:rFonts w:eastAsia="Times New Roman" w:cs="Segoe UI"/>
                    <w:sz w:val="14"/>
                    <w:szCs w:val="22"/>
                    <w:lang w:val="en-GB" w:eastAsia="it-IT"/>
                  </w:rPr>
                  <w:t>468</w:t>
                </w:r>
              </w:p>
            </w:tc>
            <w:tc>
              <w:tcPr>
                <w:tcW w:w="1250" w:type="pct"/>
                <w:shd w:val="clear" w:color="auto" w:fill="FFFFFF" w:themeFill="background2"/>
                <w:vAlign w:val="center"/>
              </w:tcPr>
              <w:p w14:paraId="6DBE247A" w14:textId="2D4E383D" w:rsidR="00611B39" w:rsidRPr="00611B39" w:rsidRDefault="00611B39" w:rsidP="006C2C95">
                <w:pPr>
                  <w:spacing w:before="0" w:line="240" w:lineRule="auto"/>
                  <w:jc w:val="center"/>
                  <w:rPr>
                    <w:rFonts w:eastAsia="Times New Roman" w:cs="Segoe UI"/>
                    <w:sz w:val="14"/>
                    <w:szCs w:val="22"/>
                    <w:lang w:val="en-GB" w:eastAsia="it-IT"/>
                  </w:rPr>
                </w:pPr>
                <w:r w:rsidRPr="00611B39">
                  <w:rPr>
                    <w:rFonts w:eastAsia="Times New Roman" w:cs="Segoe UI"/>
                    <w:sz w:val="14"/>
                    <w:szCs w:val="22"/>
                    <w:lang w:val="en-GB" w:eastAsia="it-IT"/>
                  </w:rPr>
                  <w:t>2</w:t>
                </w:r>
                <w:r w:rsidR="003C43EA">
                  <w:rPr>
                    <w:rFonts w:eastAsia="Times New Roman" w:cs="Segoe UI"/>
                    <w:sz w:val="14"/>
                    <w:szCs w:val="22"/>
                    <w:lang w:val="en-GB" w:eastAsia="it-IT"/>
                  </w:rPr>
                  <w:t>.</w:t>
                </w:r>
                <w:r w:rsidRPr="00611B39">
                  <w:rPr>
                    <w:rFonts w:eastAsia="Times New Roman" w:cs="Segoe UI"/>
                    <w:sz w:val="14"/>
                    <w:szCs w:val="22"/>
                    <w:lang w:val="en-GB" w:eastAsia="it-IT"/>
                  </w:rPr>
                  <w:t>37%</w:t>
                </w:r>
              </w:p>
            </w:tc>
          </w:tr>
          <w:tr w:rsidR="00611B39" w:rsidRPr="00ED33EF" w14:paraId="34890235" w14:textId="56563B6D" w:rsidTr="00A875C2">
            <w:trPr>
              <w:trHeight w:val="283"/>
            </w:trPr>
            <w:tc>
              <w:tcPr>
                <w:tcW w:w="1250" w:type="pct"/>
                <w:shd w:val="clear" w:color="auto" w:fill="FFFFFF" w:themeFill="background2"/>
                <w:tcMar>
                  <w:top w:w="60" w:type="dxa"/>
                  <w:left w:w="114" w:type="dxa"/>
                  <w:bottom w:w="60" w:type="dxa"/>
                  <w:right w:w="114" w:type="dxa"/>
                </w:tcMar>
                <w:vAlign w:val="center"/>
              </w:tcPr>
              <w:p w14:paraId="7F62E590" w14:textId="4830FD98" w:rsidR="00611B39" w:rsidRPr="00611B39" w:rsidRDefault="00611B39" w:rsidP="00103A4B">
                <w:pPr>
                  <w:spacing w:before="0" w:line="240" w:lineRule="auto"/>
                  <w:jc w:val="left"/>
                  <w:rPr>
                    <w:rFonts w:eastAsia="Times New Roman" w:cs="Segoe UI"/>
                    <w:sz w:val="14"/>
                    <w:szCs w:val="22"/>
                    <w:lang w:val="en-GB" w:eastAsia="it-IT"/>
                  </w:rPr>
                </w:pPr>
                <w:r w:rsidRPr="00611B39">
                  <w:rPr>
                    <w:rFonts w:eastAsia="Times New Roman" w:cs="Segoe UI"/>
                    <w:sz w:val="14"/>
                    <w:szCs w:val="22"/>
                    <w:lang w:val="en-GB" w:eastAsia="it-IT"/>
                  </w:rPr>
                  <w:t>2017</w:t>
                </w:r>
              </w:p>
            </w:tc>
            <w:tc>
              <w:tcPr>
                <w:tcW w:w="1250" w:type="pct"/>
                <w:shd w:val="clear" w:color="auto" w:fill="FFFFFF" w:themeFill="background2"/>
                <w:tcMar>
                  <w:top w:w="60" w:type="dxa"/>
                  <w:left w:w="114" w:type="dxa"/>
                  <w:bottom w:w="60" w:type="dxa"/>
                  <w:right w:w="114" w:type="dxa"/>
                </w:tcMar>
                <w:vAlign w:val="center"/>
              </w:tcPr>
              <w:p w14:paraId="100DC824" w14:textId="1512CFD8" w:rsidR="00611B39" w:rsidRPr="00611B39" w:rsidRDefault="00611B39" w:rsidP="006C2C95">
                <w:pPr>
                  <w:spacing w:before="0" w:line="240" w:lineRule="auto"/>
                  <w:jc w:val="center"/>
                  <w:rPr>
                    <w:rFonts w:eastAsia="Times New Roman" w:cs="Segoe UI"/>
                    <w:sz w:val="14"/>
                    <w:szCs w:val="22"/>
                    <w:lang w:val="en-GB" w:eastAsia="it-IT"/>
                  </w:rPr>
                </w:pPr>
                <w:r w:rsidRPr="00611B39">
                  <w:rPr>
                    <w:rFonts w:eastAsia="Times New Roman" w:cs="Segoe UI"/>
                    <w:sz w:val="14"/>
                    <w:szCs w:val="22"/>
                    <w:lang w:val="en-GB" w:eastAsia="it-IT"/>
                  </w:rPr>
                  <w:t>25</w:t>
                </w:r>
                <w:r w:rsidR="004C3636">
                  <w:rPr>
                    <w:rFonts w:eastAsia="Times New Roman" w:cs="Segoe UI"/>
                    <w:sz w:val="14"/>
                    <w:szCs w:val="22"/>
                    <w:lang w:val="en-GB" w:eastAsia="it-IT"/>
                  </w:rPr>
                  <w:t>,</w:t>
                </w:r>
                <w:r w:rsidRPr="00611B39">
                  <w:rPr>
                    <w:rFonts w:eastAsia="Times New Roman" w:cs="Segoe UI"/>
                    <w:sz w:val="14"/>
                    <w:szCs w:val="22"/>
                    <w:lang w:val="en-GB" w:eastAsia="it-IT"/>
                  </w:rPr>
                  <w:t>286</w:t>
                </w:r>
              </w:p>
            </w:tc>
            <w:tc>
              <w:tcPr>
                <w:tcW w:w="1250" w:type="pct"/>
                <w:shd w:val="clear" w:color="auto" w:fill="FFFFFF" w:themeFill="background2"/>
                <w:tcMar>
                  <w:top w:w="60" w:type="dxa"/>
                  <w:left w:w="114" w:type="dxa"/>
                  <w:bottom w:w="60" w:type="dxa"/>
                  <w:right w:w="114" w:type="dxa"/>
                </w:tcMar>
                <w:vAlign w:val="center"/>
              </w:tcPr>
              <w:p w14:paraId="7BC3C63F" w14:textId="5AF88C35" w:rsidR="00611B39" w:rsidRPr="00611B39" w:rsidRDefault="00611B39" w:rsidP="006C2C95">
                <w:pPr>
                  <w:spacing w:before="0" w:line="240" w:lineRule="auto"/>
                  <w:jc w:val="center"/>
                  <w:rPr>
                    <w:rFonts w:eastAsia="Times New Roman" w:cs="Segoe UI"/>
                    <w:sz w:val="14"/>
                    <w:szCs w:val="22"/>
                    <w:lang w:val="en-GB" w:eastAsia="it-IT"/>
                  </w:rPr>
                </w:pPr>
                <w:r w:rsidRPr="00611B39">
                  <w:rPr>
                    <w:rFonts w:eastAsia="Times New Roman" w:cs="Segoe UI"/>
                    <w:sz w:val="14"/>
                    <w:szCs w:val="22"/>
                    <w:lang w:val="en-GB" w:eastAsia="it-IT"/>
                  </w:rPr>
                  <w:t>399</w:t>
                </w:r>
              </w:p>
            </w:tc>
            <w:tc>
              <w:tcPr>
                <w:tcW w:w="1250" w:type="pct"/>
                <w:shd w:val="clear" w:color="auto" w:fill="FFFFFF" w:themeFill="background2"/>
                <w:vAlign w:val="center"/>
              </w:tcPr>
              <w:p w14:paraId="20994F6E" w14:textId="4FB3CD58" w:rsidR="00611B39" w:rsidRPr="00611B39" w:rsidRDefault="00611B39" w:rsidP="006C2C95">
                <w:pPr>
                  <w:spacing w:before="0" w:line="240" w:lineRule="auto"/>
                  <w:jc w:val="center"/>
                  <w:rPr>
                    <w:rFonts w:eastAsia="Times New Roman" w:cs="Segoe UI"/>
                    <w:sz w:val="14"/>
                    <w:szCs w:val="22"/>
                    <w:lang w:val="en-GB" w:eastAsia="it-IT"/>
                  </w:rPr>
                </w:pPr>
                <w:r w:rsidRPr="00611B39">
                  <w:rPr>
                    <w:rFonts w:eastAsia="Times New Roman" w:cs="Segoe UI"/>
                    <w:sz w:val="14"/>
                    <w:szCs w:val="22"/>
                    <w:lang w:val="en-GB" w:eastAsia="it-IT"/>
                  </w:rPr>
                  <w:t>1</w:t>
                </w:r>
                <w:r w:rsidR="003C43EA">
                  <w:rPr>
                    <w:rFonts w:eastAsia="Times New Roman" w:cs="Segoe UI"/>
                    <w:sz w:val="14"/>
                    <w:szCs w:val="22"/>
                    <w:lang w:val="en-GB" w:eastAsia="it-IT"/>
                  </w:rPr>
                  <w:t>.</w:t>
                </w:r>
                <w:r w:rsidRPr="00611B39">
                  <w:rPr>
                    <w:rFonts w:eastAsia="Times New Roman" w:cs="Segoe UI"/>
                    <w:sz w:val="14"/>
                    <w:szCs w:val="22"/>
                    <w:lang w:val="en-GB" w:eastAsia="it-IT"/>
                  </w:rPr>
                  <w:t>58%</w:t>
                </w:r>
              </w:p>
            </w:tc>
          </w:tr>
          <w:tr w:rsidR="00611B39" w:rsidRPr="00ED33EF" w14:paraId="7E420EEF" w14:textId="70A679D9" w:rsidTr="00A875C2">
            <w:trPr>
              <w:trHeight w:val="283"/>
            </w:trPr>
            <w:tc>
              <w:tcPr>
                <w:tcW w:w="1250" w:type="pct"/>
                <w:shd w:val="clear" w:color="auto" w:fill="FFFFFF" w:themeFill="background2"/>
                <w:tcMar>
                  <w:top w:w="60" w:type="dxa"/>
                  <w:left w:w="114" w:type="dxa"/>
                  <w:bottom w:w="60" w:type="dxa"/>
                  <w:right w:w="114" w:type="dxa"/>
                </w:tcMar>
                <w:vAlign w:val="center"/>
              </w:tcPr>
              <w:p w14:paraId="47DEA706" w14:textId="6D04DE8E" w:rsidR="00611B39" w:rsidRPr="00611B39" w:rsidRDefault="00611B39" w:rsidP="00103A4B">
                <w:pPr>
                  <w:spacing w:before="0" w:line="240" w:lineRule="auto"/>
                  <w:jc w:val="left"/>
                  <w:rPr>
                    <w:rFonts w:eastAsia="Times New Roman" w:cs="Segoe UI"/>
                    <w:sz w:val="14"/>
                    <w:szCs w:val="22"/>
                    <w:lang w:val="en-GB" w:eastAsia="it-IT"/>
                  </w:rPr>
                </w:pPr>
                <w:r w:rsidRPr="00611B39">
                  <w:rPr>
                    <w:rFonts w:eastAsia="Times New Roman" w:cs="Segoe UI"/>
                    <w:sz w:val="14"/>
                    <w:szCs w:val="22"/>
                    <w:lang w:val="en-GB" w:eastAsia="it-IT"/>
                  </w:rPr>
                  <w:t>2018</w:t>
                </w:r>
              </w:p>
            </w:tc>
            <w:tc>
              <w:tcPr>
                <w:tcW w:w="1250" w:type="pct"/>
                <w:shd w:val="clear" w:color="auto" w:fill="FFFFFF" w:themeFill="background2"/>
                <w:tcMar>
                  <w:top w:w="60" w:type="dxa"/>
                  <w:left w:w="114" w:type="dxa"/>
                  <w:bottom w:w="60" w:type="dxa"/>
                  <w:right w:w="114" w:type="dxa"/>
                </w:tcMar>
                <w:vAlign w:val="center"/>
              </w:tcPr>
              <w:p w14:paraId="43BA66AC" w14:textId="4EFC6384" w:rsidR="00611B39" w:rsidRPr="00611B39" w:rsidRDefault="00611B39" w:rsidP="006C2C95">
                <w:pPr>
                  <w:spacing w:before="0" w:line="240" w:lineRule="auto"/>
                  <w:jc w:val="center"/>
                  <w:rPr>
                    <w:rFonts w:eastAsia="Times New Roman" w:cs="Segoe UI"/>
                    <w:sz w:val="14"/>
                    <w:szCs w:val="22"/>
                    <w:lang w:val="en-GB" w:eastAsia="it-IT"/>
                  </w:rPr>
                </w:pPr>
                <w:r w:rsidRPr="00611B39">
                  <w:rPr>
                    <w:rFonts w:eastAsia="Times New Roman" w:cs="Segoe UI"/>
                    <w:sz w:val="14"/>
                    <w:szCs w:val="22"/>
                    <w:lang w:val="en-GB" w:eastAsia="it-IT"/>
                  </w:rPr>
                  <w:t>24</w:t>
                </w:r>
                <w:r w:rsidR="004C3636">
                  <w:rPr>
                    <w:rFonts w:eastAsia="Times New Roman" w:cs="Segoe UI"/>
                    <w:sz w:val="14"/>
                    <w:szCs w:val="22"/>
                    <w:lang w:val="en-GB" w:eastAsia="it-IT"/>
                  </w:rPr>
                  <w:t>,</w:t>
                </w:r>
                <w:r w:rsidRPr="00611B39">
                  <w:rPr>
                    <w:rFonts w:eastAsia="Times New Roman" w:cs="Segoe UI"/>
                    <w:sz w:val="14"/>
                    <w:szCs w:val="22"/>
                    <w:lang w:val="en-GB" w:eastAsia="it-IT"/>
                  </w:rPr>
                  <w:t>669</w:t>
                </w:r>
              </w:p>
            </w:tc>
            <w:tc>
              <w:tcPr>
                <w:tcW w:w="1250" w:type="pct"/>
                <w:shd w:val="clear" w:color="auto" w:fill="FFFFFF" w:themeFill="background2"/>
                <w:tcMar>
                  <w:top w:w="60" w:type="dxa"/>
                  <w:left w:w="114" w:type="dxa"/>
                  <w:bottom w:w="60" w:type="dxa"/>
                  <w:right w:w="114" w:type="dxa"/>
                </w:tcMar>
                <w:vAlign w:val="center"/>
              </w:tcPr>
              <w:p w14:paraId="6101B7FD" w14:textId="5CAB151E" w:rsidR="00611B39" w:rsidRPr="00611B39" w:rsidRDefault="00611B39" w:rsidP="006C2C95">
                <w:pPr>
                  <w:spacing w:before="0" w:line="240" w:lineRule="auto"/>
                  <w:jc w:val="center"/>
                  <w:rPr>
                    <w:rFonts w:eastAsia="Times New Roman" w:cs="Segoe UI"/>
                    <w:sz w:val="14"/>
                    <w:szCs w:val="22"/>
                    <w:lang w:val="en-GB" w:eastAsia="it-IT"/>
                  </w:rPr>
                </w:pPr>
                <w:r w:rsidRPr="00611B39">
                  <w:rPr>
                    <w:rFonts w:eastAsia="Times New Roman" w:cs="Segoe UI"/>
                    <w:sz w:val="14"/>
                    <w:szCs w:val="22"/>
                    <w:lang w:val="en-GB" w:eastAsia="it-IT"/>
                  </w:rPr>
                  <w:t>341</w:t>
                </w:r>
              </w:p>
            </w:tc>
            <w:tc>
              <w:tcPr>
                <w:tcW w:w="1250" w:type="pct"/>
                <w:shd w:val="clear" w:color="auto" w:fill="FFFFFF" w:themeFill="background2"/>
                <w:vAlign w:val="center"/>
              </w:tcPr>
              <w:p w14:paraId="19FC4725" w14:textId="16CC8D41" w:rsidR="00611B39" w:rsidRPr="00611B39" w:rsidRDefault="00611B39" w:rsidP="006C2C95">
                <w:pPr>
                  <w:spacing w:before="0" w:line="240" w:lineRule="auto"/>
                  <w:jc w:val="center"/>
                  <w:rPr>
                    <w:rFonts w:eastAsia="Times New Roman" w:cs="Segoe UI"/>
                    <w:sz w:val="14"/>
                    <w:szCs w:val="22"/>
                    <w:lang w:val="en-GB" w:eastAsia="it-IT"/>
                  </w:rPr>
                </w:pPr>
                <w:r w:rsidRPr="00611B39">
                  <w:rPr>
                    <w:rFonts w:eastAsia="Times New Roman" w:cs="Segoe UI"/>
                    <w:sz w:val="14"/>
                    <w:szCs w:val="22"/>
                    <w:lang w:val="en-GB" w:eastAsia="it-IT"/>
                  </w:rPr>
                  <w:t>1</w:t>
                </w:r>
                <w:r w:rsidR="003C43EA">
                  <w:rPr>
                    <w:rFonts w:eastAsia="Times New Roman" w:cs="Segoe UI"/>
                    <w:sz w:val="14"/>
                    <w:szCs w:val="22"/>
                    <w:lang w:val="en-GB" w:eastAsia="it-IT"/>
                  </w:rPr>
                  <w:t>.</w:t>
                </w:r>
                <w:r w:rsidRPr="00611B39">
                  <w:rPr>
                    <w:rFonts w:eastAsia="Times New Roman" w:cs="Segoe UI"/>
                    <w:sz w:val="14"/>
                    <w:szCs w:val="22"/>
                    <w:lang w:val="en-GB" w:eastAsia="it-IT"/>
                  </w:rPr>
                  <w:t>38%</w:t>
                </w:r>
              </w:p>
            </w:tc>
          </w:tr>
          <w:tr w:rsidR="00611B39" w:rsidRPr="00ED33EF" w14:paraId="1E918A93" w14:textId="4C887724" w:rsidTr="00A875C2">
            <w:trPr>
              <w:trHeight w:val="283"/>
            </w:trPr>
            <w:tc>
              <w:tcPr>
                <w:tcW w:w="1250" w:type="pct"/>
                <w:shd w:val="clear" w:color="auto" w:fill="FFFFFF" w:themeFill="background2"/>
                <w:tcMar>
                  <w:top w:w="60" w:type="dxa"/>
                  <w:left w:w="114" w:type="dxa"/>
                  <w:bottom w:w="60" w:type="dxa"/>
                  <w:right w:w="114" w:type="dxa"/>
                </w:tcMar>
                <w:vAlign w:val="center"/>
              </w:tcPr>
              <w:p w14:paraId="4743E561" w14:textId="3EBF6051" w:rsidR="00611B39" w:rsidRPr="00611B39" w:rsidRDefault="00611B39" w:rsidP="00103A4B">
                <w:pPr>
                  <w:spacing w:before="0" w:line="240" w:lineRule="auto"/>
                  <w:jc w:val="left"/>
                  <w:rPr>
                    <w:rFonts w:eastAsia="Times New Roman" w:cs="Segoe UI"/>
                    <w:sz w:val="14"/>
                    <w:szCs w:val="22"/>
                    <w:lang w:val="en-GB" w:eastAsia="it-IT"/>
                  </w:rPr>
                </w:pPr>
                <w:r w:rsidRPr="00611B39">
                  <w:rPr>
                    <w:rFonts w:eastAsia="Times New Roman" w:cs="Segoe UI"/>
                    <w:sz w:val="14"/>
                    <w:szCs w:val="22"/>
                    <w:lang w:val="en-GB" w:eastAsia="it-IT"/>
                  </w:rPr>
                  <w:t>2019</w:t>
                </w:r>
              </w:p>
            </w:tc>
            <w:tc>
              <w:tcPr>
                <w:tcW w:w="1250" w:type="pct"/>
                <w:shd w:val="clear" w:color="auto" w:fill="FFFFFF" w:themeFill="background2"/>
                <w:tcMar>
                  <w:top w:w="60" w:type="dxa"/>
                  <w:left w:w="114" w:type="dxa"/>
                  <w:bottom w:w="60" w:type="dxa"/>
                  <w:right w:w="114" w:type="dxa"/>
                </w:tcMar>
                <w:vAlign w:val="center"/>
              </w:tcPr>
              <w:p w14:paraId="12C38C23" w14:textId="042C756C" w:rsidR="00611B39" w:rsidRPr="00611B39" w:rsidRDefault="00611B39" w:rsidP="006C2C95">
                <w:pPr>
                  <w:spacing w:before="0" w:line="240" w:lineRule="auto"/>
                  <w:jc w:val="center"/>
                  <w:rPr>
                    <w:rFonts w:eastAsia="Times New Roman" w:cs="Segoe UI"/>
                    <w:sz w:val="14"/>
                    <w:szCs w:val="22"/>
                    <w:lang w:val="en-GB" w:eastAsia="it-IT"/>
                  </w:rPr>
                </w:pPr>
                <w:r w:rsidRPr="00611B39">
                  <w:rPr>
                    <w:rFonts w:eastAsia="Times New Roman" w:cs="Segoe UI"/>
                    <w:sz w:val="14"/>
                    <w:szCs w:val="22"/>
                    <w:lang w:val="en-GB" w:eastAsia="it-IT"/>
                  </w:rPr>
                  <w:t>24</w:t>
                </w:r>
                <w:r w:rsidR="004C3636">
                  <w:rPr>
                    <w:rFonts w:eastAsia="Times New Roman" w:cs="Segoe UI"/>
                    <w:sz w:val="14"/>
                    <w:szCs w:val="22"/>
                    <w:lang w:val="en-GB" w:eastAsia="it-IT"/>
                  </w:rPr>
                  <w:t>,</w:t>
                </w:r>
                <w:r w:rsidRPr="00611B39">
                  <w:rPr>
                    <w:rFonts w:eastAsia="Times New Roman" w:cs="Segoe UI"/>
                    <w:sz w:val="14"/>
                    <w:szCs w:val="22"/>
                    <w:lang w:val="en-GB" w:eastAsia="it-IT"/>
                  </w:rPr>
                  <w:t>715</w:t>
                </w:r>
              </w:p>
            </w:tc>
            <w:tc>
              <w:tcPr>
                <w:tcW w:w="1250" w:type="pct"/>
                <w:shd w:val="clear" w:color="auto" w:fill="FFFFFF" w:themeFill="background2"/>
                <w:tcMar>
                  <w:top w:w="60" w:type="dxa"/>
                  <w:left w:w="114" w:type="dxa"/>
                  <w:bottom w:w="60" w:type="dxa"/>
                  <w:right w:w="114" w:type="dxa"/>
                </w:tcMar>
                <w:vAlign w:val="center"/>
              </w:tcPr>
              <w:p w14:paraId="72E3E2A5" w14:textId="55A4D957" w:rsidR="00611B39" w:rsidRPr="00611B39" w:rsidRDefault="00611B39" w:rsidP="006C2C95">
                <w:pPr>
                  <w:spacing w:before="0" w:line="240" w:lineRule="auto"/>
                  <w:jc w:val="center"/>
                  <w:rPr>
                    <w:rFonts w:eastAsia="Times New Roman" w:cs="Segoe UI"/>
                    <w:sz w:val="14"/>
                    <w:szCs w:val="22"/>
                    <w:lang w:val="en-GB" w:eastAsia="it-IT"/>
                  </w:rPr>
                </w:pPr>
                <w:r w:rsidRPr="00611B39">
                  <w:rPr>
                    <w:rFonts w:eastAsia="Times New Roman" w:cs="Segoe UI"/>
                    <w:sz w:val="14"/>
                    <w:szCs w:val="22"/>
                    <w:lang w:val="en-GB" w:eastAsia="it-IT"/>
                  </w:rPr>
                  <w:t>335</w:t>
                </w:r>
              </w:p>
            </w:tc>
            <w:tc>
              <w:tcPr>
                <w:tcW w:w="1250" w:type="pct"/>
                <w:shd w:val="clear" w:color="auto" w:fill="FFFFFF" w:themeFill="background2"/>
                <w:vAlign w:val="center"/>
              </w:tcPr>
              <w:p w14:paraId="2B7ABC2B" w14:textId="64944752" w:rsidR="00611B39" w:rsidRPr="00611B39" w:rsidRDefault="00611B39" w:rsidP="006C2C95">
                <w:pPr>
                  <w:spacing w:before="0" w:line="240" w:lineRule="auto"/>
                  <w:jc w:val="center"/>
                  <w:rPr>
                    <w:rFonts w:eastAsia="Times New Roman" w:cs="Segoe UI"/>
                    <w:sz w:val="14"/>
                    <w:szCs w:val="22"/>
                    <w:lang w:val="en-GB" w:eastAsia="it-IT"/>
                  </w:rPr>
                </w:pPr>
                <w:r w:rsidRPr="00611B39">
                  <w:rPr>
                    <w:rFonts w:eastAsia="Times New Roman" w:cs="Segoe UI"/>
                    <w:sz w:val="14"/>
                    <w:szCs w:val="22"/>
                    <w:lang w:val="en-GB" w:eastAsia="it-IT"/>
                  </w:rPr>
                  <w:t>1</w:t>
                </w:r>
                <w:r w:rsidR="003C43EA">
                  <w:rPr>
                    <w:rFonts w:eastAsia="Times New Roman" w:cs="Segoe UI"/>
                    <w:sz w:val="14"/>
                    <w:szCs w:val="22"/>
                    <w:lang w:val="en-GB" w:eastAsia="it-IT"/>
                  </w:rPr>
                  <w:t>.</w:t>
                </w:r>
                <w:r w:rsidRPr="00611B39">
                  <w:rPr>
                    <w:rFonts w:eastAsia="Times New Roman" w:cs="Segoe UI"/>
                    <w:sz w:val="14"/>
                    <w:szCs w:val="22"/>
                    <w:lang w:val="en-GB" w:eastAsia="it-IT"/>
                  </w:rPr>
                  <w:t>36%</w:t>
                </w:r>
              </w:p>
            </w:tc>
          </w:tr>
          <w:tr w:rsidR="00611B39" w:rsidRPr="00ED33EF" w14:paraId="58DEE156" w14:textId="1147B94E" w:rsidTr="00A875C2">
            <w:trPr>
              <w:trHeight w:val="283"/>
            </w:trPr>
            <w:tc>
              <w:tcPr>
                <w:tcW w:w="1250" w:type="pct"/>
                <w:shd w:val="clear" w:color="auto" w:fill="FFFFFF" w:themeFill="background2"/>
                <w:tcMar>
                  <w:top w:w="60" w:type="dxa"/>
                  <w:left w:w="114" w:type="dxa"/>
                  <w:bottom w:w="60" w:type="dxa"/>
                  <w:right w:w="114" w:type="dxa"/>
                </w:tcMar>
                <w:vAlign w:val="center"/>
              </w:tcPr>
              <w:p w14:paraId="507DF1C8" w14:textId="283ED808" w:rsidR="00611B39" w:rsidRPr="00611B39" w:rsidRDefault="00611B39" w:rsidP="00103A4B">
                <w:pPr>
                  <w:spacing w:before="0" w:line="240" w:lineRule="auto"/>
                  <w:jc w:val="left"/>
                  <w:rPr>
                    <w:rFonts w:eastAsia="Times New Roman" w:cs="Segoe UI"/>
                    <w:sz w:val="14"/>
                    <w:szCs w:val="22"/>
                    <w:lang w:val="en-GB" w:eastAsia="it-IT"/>
                  </w:rPr>
                </w:pPr>
                <w:r w:rsidRPr="00611B39">
                  <w:rPr>
                    <w:rFonts w:eastAsia="Times New Roman" w:cs="Segoe UI"/>
                    <w:sz w:val="14"/>
                    <w:szCs w:val="22"/>
                    <w:lang w:val="en-GB" w:eastAsia="it-IT"/>
                  </w:rPr>
                  <w:t>2020</w:t>
                </w:r>
              </w:p>
            </w:tc>
            <w:tc>
              <w:tcPr>
                <w:tcW w:w="1250" w:type="pct"/>
                <w:shd w:val="clear" w:color="auto" w:fill="FFFFFF" w:themeFill="background2"/>
                <w:tcMar>
                  <w:top w:w="60" w:type="dxa"/>
                  <w:left w:w="114" w:type="dxa"/>
                  <w:bottom w:w="60" w:type="dxa"/>
                  <w:right w:w="114" w:type="dxa"/>
                </w:tcMar>
                <w:vAlign w:val="center"/>
              </w:tcPr>
              <w:p w14:paraId="0AB17155" w14:textId="2269CF91" w:rsidR="00611B39" w:rsidRPr="00611B39" w:rsidRDefault="00611B39" w:rsidP="006C2C95">
                <w:pPr>
                  <w:spacing w:before="0" w:line="240" w:lineRule="auto"/>
                  <w:jc w:val="center"/>
                  <w:rPr>
                    <w:rFonts w:eastAsia="Times New Roman" w:cs="Segoe UI"/>
                    <w:sz w:val="14"/>
                    <w:szCs w:val="22"/>
                    <w:lang w:val="en-GB" w:eastAsia="it-IT"/>
                  </w:rPr>
                </w:pPr>
                <w:r w:rsidRPr="00611B39">
                  <w:rPr>
                    <w:rFonts w:eastAsia="Times New Roman" w:cs="Segoe UI"/>
                    <w:sz w:val="14"/>
                    <w:szCs w:val="22"/>
                    <w:lang w:val="en-GB" w:eastAsia="it-IT"/>
                  </w:rPr>
                  <w:t>27</w:t>
                </w:r>
                <w:r w:rsidR="004C3636">
                  <w:rPr>
                    <w:rFonts w:eastAsia="Times New Roman" w:cs="Segoe UI"/>
                    <w:sz w:val="14"/>
                    <w:szCs w:val="22"/>
                    <w:lang w:val="en-GB" w:eastAsia="it-IT"/>
                  </w:rPr>
                  <w:t>,</w:t>
                </w:r>
                <w:r w:rsidRPr="00611B39">
                  <w:rPr>
                    <w:rFonts w:eastAsia="Times New Roman" w:cs="Segoe UI"/>
                    <w:sz w:val="14"/>
                    <w:szCs w:val="22"/>
                    <w:lang w:val="en-GB" w:eastAsia="it-IT"/>
                  </w:rPr>
                  <w:t>188</w:t>
                </w:r>
              </w:p>
            </w:tc>
            <w:tc>
              <w:tcPr>
                <w:tcW w:w="1250" w:type="pct"/>
                <w:shd w:val="clear" w:color="auto" w:fill="FFFFFF" w:themeFill="background2"/>
                <w:tcMar>
                  <w:top w:w="60" w:type="dxa"/>
                  <w:left w:w="114" w:type="dxa"/>
                  <w:bottom w:w="60" w:type="dxa"/>
                  <w:right w:w="114" w:type="dxa"/>
                </w:tcMar>
                <w:vAlign w:val="center"/>
              </w:tcPr>
              <w:p w14:paraId="54557E07" w14:textId="29408310" w:rsidR="00611B39" w:rsidRPr="00611B39" w:rsidRDefault="00611B39" w:rsidP="006C2C95">
                <w:pPr>
                  <w:spacing w:before="0" w:line="240" w:lineRule="auto"/>
                  <w:jc w:val="center"/>
                  <w:rPr>
                    <w:rFonts w:eastAsia="Times New Roman" w:cs="Segoe UI"/>
                    <w:sz w:val="14"/>
                    <w:szCs w:val="22"/>
                    <w:lang w:val="en-GB" w:eastAsia="it-IT"/>
                  </w:rPr>
                </w:pPr>
                <w:r w:rsidRPr="00611B39">
                  <w:rPr>
                    <w:rFonts w:eastAsia="Times New Roman" w:cs="Segoe UI"/>
                    <w:sz w:val="14"/>
                    <w:szCs w:val="22"/>
                    <w:lang w:val="en-GB" w:eastAsia="it-IT"/>
                  </w:rPr>
                  <w:t>238</w:t>
                </w:r>
              </w:p>
            </w:tc>
            <w:tc>
              <w:tcPr>
                <w:tcW w:w="1250" w:type="pct"/>
                <w:shd w:val="clear" w:color="auto" w:fill="FFFFFF" w:themeFill="background2"/>
                <w:vAlign w:val="center"/>
              </w:tcPr>
              <w:p w14:paraId="6ED0BC90" w14:textId="18AB6406" w:rsidR="00611B39" w:rsidRPr="00611B39" w:rsidRDefault="00611B39" w:rsidP="006C2C95">
                <w:pPr>
                  <w:spacing w:before="0" w:line="240" w:lineRule="auto"/>
                  <w:jc w:val="center"/>
                  <w:rPr>
                    <w:rFonts w:eastAsia="Times New Roman" w:cs="Segoe UI"/>
                    <w:sz w:val="14"/>
                    <w:szCs w:val="22"/>
                    <w:lang w:val="en-GB" w:eastAsia="it-IT"/>
                  </w:rPr>
                </w:pPr>
                <w:r w:rsidRPr="00611B39">
                  <w:rPr>
                    <w:rFonts w:eastAsia="Times New Roman" w:cs="Segoe UI"/>
                    <w:sz w:val="14"/>
                    <w:szCs w:val="22"/>
                    <w:lang w:val="en-GB" w:eastAsia="it-IT"/>
                  </w:rPr>
                  <w:t>0</w:t>
                </w:r>
                <w:r w:rsidR="003C43EA">
                  <w:rPr>
                    <w:rFonts w:eastAsia="Times New Roman" w:cs="Segoe UI"/>
                    <w:sz w:val="14"/>
                    <w:szCs w:val="22"/>
                    <w:lang w:val="en-GB" w:eastAsia="it-IT"/>
                  </w:rPr>
                  <w:t>.</w:t>
                </w:r>
                <w:r w:rsidRPr="00611B39">
                  <w:rPr>
                    <w:rFonts w:eastAsia="Times New Roman" w:cs="Segoe UI"/>
                    <w:sz w:val="14"/>
                    <w:szCs w:val="22"/>
                    <w:lang w:val="en-GB" w:eastAsia="it-IT"/>
                  </w:rPr>
                  <w:t>88%</w:t>
                </w:r>
              </w:p>
            </w:tc>
          </w:tr>
          <w:tr w:rsidR="00611B39" w:rsidRPr="00ED33EF" w14:paraId="31D55853" w14:textId="4F9D9C1F" w:rsidTr="00A875C2">
            <w:trPr>
              <w:trHeight w:val="283"/>
            </w:trPr>
            <w:tc>
              <w:tcPr>
                <w:tcW w:w="1250" w:type="pct"/>
                <w:shd w:val="clear" w:color="auto" w:fill="FFFFFF" w:themeFill="background2"/>
                <w:tcMar>
                  <w:top w:w="60" w:type="dxa"/>
                  <w:left w:w="114" w:type="dxa"/>
                  <w:bottom w:w="60" w:type="dxa"/>
                  <w:right w:w="114" w:type="dxa"/>
                </w:tcMar>
                <w:vAlign w:val="center"/>
              </w:tcPr>
              <w:p w14:paraId="748101A4" w14:textId="73E35C49" w:rsidR="00611B39" w:rsidRPr="00611B39" w:rsidRDefault="00611B39" w:rsidP="00103A4B">
                <w:pPr>
                  <w:spacing w:before="0" w:line="240" w:lineRule="auto"/>
                  <w:jc w:val="left"/>
                  <w:rPr>
                    <w:rFonts w:eastAsia="Times New Roman" w:cs="Segoe UI"/>
                    <w:sz w:val="14"/>
                    <w:szCs w:val="22"/>
                    <w:lang w:val="en-GB" w:eastAsia="it-IT"/>
                  </w:rPr>
                </w:pPr>
                <w:r w:rsidRPr="00611B39">
                  <w:rPr>
                    <w:rFonts w:eastAsia="Times New Roman" w:cs="Segoe UI"/>
                    <w:sz w:val="14"/>
                    <w:szCs w:val="22"/>
                    <w:lang w:val="en-GB" w:eastAsia="it-IT"/>
                  </w:rPr>
                  <w:t>2021</w:t>
                </w:r>
              </w:p>
            </w:tc>
            <w:tc>
              <w:tcPr>
                <w:tcW w:w="1250" w:type="pct"/>
                <w:shd w:val="clear" w:color="auto" w:fill="FFFFFF" w:themeFill="background2"/>
                <w:tcMar>
                  <w:top w:w="60" w:type="dxa"/>
                  <w:left w:w="114" w:type="dxa"/>
                  <w:bottom w:w="60" w:type="dxa"/>
                  <w:right w:w="114" w:type="dxa"/>
                </w:tcMar>
                <w:vAlign w:val="center"/>
              </w:tcPr>
              <w:p w14:paraId="1428E6D1" w14:textId="2A727CF1" w:rsidR="00611B39" w:rsidRPr="00611B39" w:rsidRDefault="00611B39" w:rsidP="006C2C95">
                <w:pPr>
                  <w:spacing w:before="0" w:line="240" w:lineRule="auto"/>
                  <w:jc w:val="center"/>
                  <w:rPr>
                    <w:rFonts w:eastAsia="Times New Roman" w:cs="Segoe UI"/>
                    <w:sz w:val="14"/>
                    <w:szCs w:val="22"/>
                    <w:lang w:val="en-GB" w:eastAsia="it-IT"/>
                  </w:rPr>
                </w:pPr>
                <w:r w:rsidRPr="00611B39">
                  <w:rPr>
                    <w:rFonts w:eastAsia="Times New Roman" w:cs="Segoe UI"/>
                    <w:sz w:val="14"/>
                    <w:szCs w:val="22"/>
                    <w:lang w:val="en-GB" w:eastAsia="it-IT"/>
                  </w:rPr>
                  <w:t>26</w:t>
                </w:r>
                <w:r w:rsidR="004C3636">
                  <w:rPr>
                    <w:rFonts w:eastAsia="Times New Roman" w:cs="Segoe UI"/>
                    <w:sz w:val="14"/>
                    <w:szCs w:val="22"/>
                    <w:lang w:val="en-GB" w:eastAsia="it-IT"/>
                  </w:rPr>
                  <w:t>,</w:t>
                </w:r>
                <w:r w:rsidRPr="00611B39">
                  <w:rPr>
                    <w:rFonts w:eastAsia="Times New Roman" w:cs="Segoe UI"/>
                    <w:sz w:val="14"/>
                    <w:szCs w:val="22"/>
                    <w:lang w:val="en-GB" w:eastAsia="it-IT"/>
                  </w:rPr>
                  <w:t>044</w:t>
                </w:r>
              </w:p>
            </w:tc>
            <w:tc>
              <w:tcPr>
                <w:tcW w:w="1250" w:type="pct"/>
                <w:shd w:val="clear" w:color="auto" w:fill="FFFFFF" w:themeFill="background2"/>
                <w:tcMar>
                  <w:top w:w="60" w:type="dxa"/>
                  <w:left w:w="114" w:type="dxa"/>
                  <w:bottom w:w="60" w:type="dxa"/>
                  <w:right w:w="114" w:type="dxa"/>
                </w:tcMar>
                <w:vAlign w:val="center"/>
              </w:tcPr>
              <w:p w14:paraId="002BABAF" w14:textId="7C827B9B" w:rsidR="00611B39" w:rsidRPr="00611B39" w:rsidRDefault="00611B39" w:rsidP="006C2C95">
                <w:pPr>
                  <w:spacing w:before="0" w:line="240" w:lineRule="auto"/>
                  <w:jc w:val="center"/>
                  <w:rPr>
                    <w:rFonts w:eastAsia="Times New Roman" w:cs="Segoe UI"/>
                    <w:sz w:val="14"/>
                    <w:szCs w:val="22"/>
                    <w:lang w:val="en-GB" w:eastAsia="it-IT"/>
                  </w:rPr>
                </w:pPr>
                <w:r w:rsidRPr="00611B39">
                  <w:rPr>
                    <w:rFonts w:eastAsia="Times New Roman" w:cs="Segoe UI"/>
                    <w:sz w:val="14"/>
                    <w:szCs w:val="22"/>
                    <w:lang w:val="en-GB" w:eastAsia="it-IT"/>
                  </w:rPr>
                  <w:t>140</w:t>
                </w:r>
              </w:p>
            </w:tc>
            <w:tc>
              <w:tcPr>
                <w:tcW w:w="1250" w:type="pct"/>
                <w:shd w:val="clear" w:color="auto" w:fill="FFFFFF" w:themeFill="background2"/>
                <w:vAlign w:val="center"/>
              </w:tcPr>
              <w:p w14:paraId="2665FE31" w14:textId="7A5CB33B" w:rsidR="00611B39" w:rsidRPr="00611B39" w:rsidRDefault="00611B39" w:rsidP="006C2C95">
                <w:pPr>
                  <w:spacing w:before="0" w:line="240" w:lineRule="auto"/>
                  <w:jc w:val="center"/>
                  <w:rPr>
                    <w:rFonts w:eastAsia="Times New Roman" w:cs="Segoe UI"/>
                    <w:sz w:val="14"/>
                    <w:szCs w:val="22"/>
                    <w:lang w:val="en-GB" w:eastAsia="it-IT"/>
                  </w:rPr>
                </w:pPr>
                <w:r w:rsidRPr="00611B39">
                  <w:rPr>
                    <w:rFonts w:eastAsia="Times New Roman" w:cs="Segoe UI"/>
                    <w:sz w:val="14"/>
                    <w:szCs w:val="22"/>
                    <w:lang w:val="en-GB" w:eastAsia="it-IT"/>
                  </w:rPr>
                  <w:t>0</w:t>
                </w:r>
                <w:r w:rsidR="003C43EA">
                  <w:rPr>
                    <w:rFonts w:eastAsia="Times New Roman" w:cs="Segoe UI"/>
                    <w:sz w:val="14"/>
                    <w:szCs w:val="22"/>
                    <w:lang w:val="en-GB" w:eastAsia="it-IT"/>
                  </w:rPr>
                  <w:t>.</w:t>
                </w:r>
                <w:r w:rsidRPr="00611B39">
                  <w:rPr>
                    <w:rFonts w:eastAsia="Times New Roman" w:cs="Segoe UI"/>
                    <w:sz w:val="14"/>
                    <w:szCs w:val="22"/>
                    <w:lang w:val="en-GB" w:eastAsia="it-IT"/>
                  </w:rPr>
                  <w:t>54%</w:t>
                </w:r>
              </w:p>
            </w:tc>
          </w:tr>
          <w:tr w:rsidR="00611B39" w:rsidRPr="00ED33EF" w14:paraId="7AFE2F87" w14:textId="7EE822EC" w:rsidTr="00A875C2">
            <w:trPr>
              <w:trHeight w:val="283"/>
            </w:trPr>
            <w:tc>
              <w:tcPr>
                <w:tcW w:w="1250" w:type="pct"/>
                <w:shd w:val="clear" w:color="auto" w:fill="FFFFFF" w:themeFill="background2"/>
                <w:tcMar>
                  <w:top w:w="60" w:type="dxa"/>
                  <w:left w:w="114" w:type="dxa"/>
                  <w:bottom w:w="60" w:type="dxa"/>
                  <w:right w:w="114" w:type="dxa"/>
                </w:tcMar>
                <w:vAlign w:val="center"/>
              </w:tcPr>
              <w:p w14:paraId="60AA24B1" w14:textId="346095C0" w:rsidR="00611B39" w:rsidRPr="00611B39" w:rsidRDefault="00611B39" w:rsidP="00103A4B">
                <w:pPr>
                  <w:spacing w:before="0" w:line="240" w:lineRule="auto"/>
                  <w:jc w:val="left"/>
                  <w:rPr>
                    <w:rFonts w:eastAsia="Times New Roman" w:cs="Segoe UI"/>
                    <w:sz w:val="14"/>
                    <w:szCs w:val="22"/>
                    <w:lang w:val="en-GB" w:eastAsia="it-IT"/>
                  </w:rPr>
                </w:pPr>
                <w:r w:rsidRPr="00611B39">
                  <w:rPr>
                    <w:rFonts w:eastAsia="Times New Roman" w:cs="Segoe UI"/>
                    <w:sz w:val="14"/>
                    <w:szCs w:val="22"/>
                    <w:lang w:val="en-GB" w:eastAsia="it-IT"/>
                  </w:rPr>
                  <w:t>2022</w:t>
                </w:r>
              </w:p>
            </w:tc>
            <w:tc>
              <w:tcPr>
                <w:tcW w:w="1250" w:type="pct"/>
                <w:shd w:val="clear" w:color="auto" w:fill="FFFFFF" w:themeFill="background2"/>
                <w:tcMar>
                  <w:top w:w="60" w:type="dxa"/>
                  <w:left w:w="114" w:type="dxa"/>
                  <w:bottom w:w="60" w:type="dxa"/>
                  <w:right w:w="114" w:type="dxa"/>
                </w:tcMar>
                <w:vAlign w:val="center"/>
              </w:tcPr>
              <w:p w14:paraId="7A4E9182" w14:textId="194D5B10" w:rsidR="00611B39" w:rsidRPr="00611B39" w:rsidRDefault="00611B39" w:rsidP="006C2C95">
                <w:pPr>
                  <w:spacing w:before="0" w:line="240" w:lineRule="auto"/>
                  <w:jc w:val="center"/>
                  <w:rPr>
                    <w:rFonts w:eastAsia="Times New Roman" w:cs="Segoe UI"/>
                    <w:sz w:val="14"/>
                    <w:szCs w:val="22"/>
                    <w:lang w:val="en-GB" w:eastAsia="it-IT"/>
                  </w:rPr>
                </w:pPr>
                <w:r w:rsidRPr="00611B39">
                  <w:rPr>
                    <w:rFonts w:eastAsia="Times New Roman" w:cs="Segoe UI"/>
                    <w:sz w:val="14"/>
                    <w:szCs w:val="22"/>
                    <w:lang w:val="en-GB" w:eastAsia="it-IT"/>
                  </w:rPr>
                  <w:t>16</w:t>
                </w:r>
                <w:r w:rsidR="004C3636">
                  <w:rPr>
                    <w:rFonts w:eastAsia="Times New Roman" w:cs="Segoe UI"/>
                    <w:sz w:val="14"/>
                    <w:szCs w:val="22"/>
                    <w:lang w:val="en-GB" w:eastAsia="it-IT"/>
                  </w:rPr>
                  <w:t>,</w:t>
                </w:r>
                <w:r w:rsidRPr="00611B39">
                  <w:rPr>
                    <w:rFonts w:eastAsia="Times New Roman" w:cs="Segoe UI"/>
                    <w:sz w:val="14"/>
                    <w:szCs w:val="22"/>
                    <w:lang w:val="en-GB" w:eastAsia="it-IT"/>
                  </w:rPr>
                  <w:t>283</w:t>
                </w:r>
              </w:p>
            </w:tc>
            <w:tc>
              <w:tcPr>
                <w:tcW w:w="1250" w:type="pct"/>
                <w:shd w:val="clear" w:color="auto" w:fill="FFFFFF" w:themeFill="background2"/>
                <w:tcMar>
                  <w:top w:w="60" w:type="dxa"/>
                  <w:left w:w="114" w:type="dxa"/>
                  <w:bottom w:w="60" w:type="dxa"/>
                  <w:right w:w="114" w:type="dxa"/>
                </w:tcMar>
                <w:vAlign w:val="center"/>
              </w:tcPr>
              <w:p w14:paraId="3331280E" w14:textId="3FD1D11B" w:rsidR="00611B39" w:rsidRPr="00611B39" w:rsidRDefault="00611B39" w:rsidP="006C2C95">
                <w:pPr>
                  <w:spacing w:before="0" w:line="240" w:lineRule="auto"/>
                  <w:jc w:val="center"/>
                  <w:rPr>
                    <w:rFonts w:eastAsia="Times New Roman" w:cs="Segoe UI"/>
                    <w:sz w:val="14"/>
                    <w:szCs w:val="22"/>
                    <w:lang w:val="en-GB" w:eastAsia="it-IT"/>
                  </w:rPr>
                </w:pPr>
                <w:r w:rsidRPr="00611B39">
                  <w:rPr>
                    <w:rFonts w:eastAsia="Times New Roman" w:cs="Segoe UI"/>
                    <w:sz w:val="14"/>
                    <w:szCs w:val="22"/>
                    <w:lang w:val="en-GB" w:eastAsia="it-IT"/>
                  </w:rPr>
                  <w:t>69</w:t>
                </w:r>
              </w:p>
            </w:tc>
            <w:tc>
              <w:tcPr>
                <w:tcW w:w="1250" w:type="pct"/>
                <w:shd w:val="clear" w:color="auto" w:fill="FFFFFF" w:themeFill="background2"/>
                <w:vAlign w:val="center"/>
              </w:tcPr>
              <w:p w14:paraId="7FDA766D" w14:textId="3E2D9011" w:rsidR="00611B39" w:rsidRPr="00611B39" w:rsidRDefault="00611B39" w:rsidP="006C2C95">
                <w:pPr>
                  <w:spacing w:before="0" w:line="240" w:lineRule="auto"/>
                  <w:jc w:val="center"/>
                  <w:rPr>
                    <w:rFonts w:eastAsia="Times New Roman" w:cs="Segoe UI"/>
                    <w:sz w:val="14"/>
                    <w:szCs w:val="22"/>
                    <w:lang w:val="en-GB" w:eastAsia="it-IT"/>
                  </w:rPr>
                </w:pPr>
                <w:r w:rsidRPr="00611B39">
                  <w:rPr>
                    <w:rFonts w:eastAsia="Times New Roman" w:cs="Segoe UI"/>
                    <w:sz w:val="14"/>
                    <w:szCs w:val="22"/>
                    <w:lang w:val="en-GB" w:eastAsia="it-IT"/>
                  </w:rPr>
                  <w:t>0</w:t>
                </w:r>
                <w:r w:rsidR="003C43EA">
                  <w:rPr>
                    <w:rFonts w:eastAsia="Times New Roman" w:cs="Segoe UI"/>
                    <w:sz w:val="14"/>
                    <w:szCs w:val="22"/>
                    <w:lang w:val="en-GB" w:eastAsia="it-IT"/>
                  </w:rPr>
                  <w:t>.</w:t>
                </w:r>
                <w:r w:rsidRPr="00611B39">
                  <w:rPr>
                    <w:rFonts w:eastAsia="Times New Roman" w:cs="Segoe UI"/>
                    <w:sz w:val="14"/>
                    <w:szCs w:val="22"/>
                    <w:lang w:val="en-GB" w:eastAsia="it-IT"/>
                  </w:rPr>
                  <w:t>42%</w:t>
                </w:r>
              </w:p>
            </w:tc>
          </w:tr>
          <w:tr w:rsidR="00AD0101" w:rsidRPr="00ED33EF" w14:paraId="63674931" w14:textId="1FC41FF2" w:rsidTr="00A875C2">
            <w:trPr>
              <w:trHeight w:val="283"/>
            </w:trPr>
            <w:tc>
              <w:tcPr>
                <w:tcW w:w="1250" w:type="pct"/>
                <w:shd w:val="clear" w:color="auto" w:fill="FFFFFF" w:themeFill="background2"/>
                <w:tcMar>
                  <w:top w:w="60" w:type="dxa"/>
                  <w:left w:w="114" w:type="dxa"/>
                  <w:bottom w:w="60" w:type="dxa"/>
                  <w:right w:w="114" w:type="dxa"/>
                </w:tcMar>
                <w:vAlign w:val="center"/>
              </w:tcPr>
              <w:p w14:paraId="1CDB8F11" w14:textId="5EAE01CF" w:rsidR="00AD0101" w:rsidRPr="00AD0101" w:rsidRDefault="00AD0101" w:rsidP="00103A4B">
                <w:pPr>
                  <w:spacing w:before="0" w:line="240" w:lineRule="auto"/>
                  <w:jc w:val="left"/>
                  <w:rPr>
                    <w:rFonts w:eastAsia="Times New Roman" w:cs="Segoe UI"/>
                    <w:sz w:val="14"/>
                    <w:szCs w:val="22"/>
                    <w:lang w:val="en-GB" w:eastAsia="it-IT"/>
                  </w:rPr>
                </w:pPr>
                <w:r w:rsidRPr="00AD0101">
                  <w:rPr>
                    <w:rFonts w:eastAsia="Times New Roman" w:cs="Segoe UI"/>
                    <w:sz w:val="14"/>
                    <w:szCs w:val="22"/>
                    <w:lang w:val="en-GB" w:eastAsia="it-IT"/>
                  </w:rPr>
                  <w:t>2023</w:t>
                </w:r>
              </w:p>
            </w:tc>
            <w:tc>
              <w:tcPr>
                <w:tcW w:w="1250" w:type="pct"/>
                <w:shd w:val="clear" w:color="auto" w:fill="FFFFFF" w:themeFill="background2"/>
                <w:tcMar>
                  <w:top w:w="60" w:type="dxa"/>
                  <w:left w:w="114" w:type="dxa"/>
                  <w:bottom w:w="60" w:type="dxa"/>
                  <w:right w:w="114" w:type="dxa"/>
                </w:tcMar>
                <w:vAlign w:val="center"/>
              </w:tcPr>
              <w:p w14:paraId="2E0C3BA5" w14:textId="0B9477CD" w:rsidR="00AD0101" w:rsidRPr="00AD0101" w:rsidRDefault="00AD0101" w:rsidP="006C2C95">
                <w:pPr>
                  <w:spacing w:before="0" w:line="240" w:lineRule="auto"/>
                  <w:jc w:val="center"/>
                  <w:rPr>
                    <w:rFonts w:eastAsia="Times New Roman" w:cs="Segoe UI"/>
                    <w:sz w:val="14"/>
                    <w:szCs w:val="22"/>
                    <w:lang w:val="en-GB" w:eastAsia="it-IT"/>
                  </w:rPr>
                </w:pPr>
                <w:r w:rsidRPr="00AD0101">
                  <w:rPr>
                    <w:rFonts w:eastAsia="Times New Roman" w:cs="Segoe UI"/>
                    <w:sz w:val="14"/>
                    <w:szCs w:val="22"/>
                    <w:lang w:val="en-GB" w:eastAsia="it-IT"/>
                  </w:rPr>
                  <w:t>16</w:t>
                </w:r>
                <w:r w:rsidR="004C3636">
                  <w:rPr>
                    <w:rFonts w:eastAsia="Times New Roman" w:cs="Segoe UI"/>
                    <w:sz w:val="14"/>
                    <w:szCs w:val="22"/>
                    <w:lang w:val="en-GB" w:eastAsia="it-IT"/>
                  </w:rPr>
                  <w:t>,</w:t>
                </w:r>
                <w:r w:rsidRPr="00AD0101">
                  <w:rPr>
                    <w:rFonts w:eastAsia="Times New Roman" w:cs="Segoe UI"/>
                    <w:sz w:val="14"/>
                    <w:szCs w:val="22"/>
                    <w:lang w:val="en-GB" w:eastAsia="it-IT"/>
                  </w:rPr>
                  <w:t>745</w:t>
                </w:r>
              </w:p>
            </w:tc>
            <w:tc>
              <w:tcPr>
                <w:tcW w:w="1250" w:type="pct"/>
                <w:shd w:val="clear" w:color="auto" w:fill="FFFFFF" w:themeFill="background2"/>
                <w:tcMar>
                  <w:top w:w="60" w:type="dxa"/>
                  <w:left w:w="114" w:type="dxa"/>
                  <w:bottom w:w="60" w:type="dxa"/>
                  <w:right w:w="114" w:type="dxa"/>
                </w:tcMar>
                <w:vAlign w:val="center"/>
              </w:tcPr>
              <w:p w14:paraId="2658F2D3" w14:textId="0965BDF4" w:rsidR="00AD0101" w:rsidRPr="00AD0101" w:rsidRDefault="00AD0101" w:rsidP="006C2C95">
                <w:pPr>
                  <w:spacing w:before="0" w:line="240" w:lineRule="auto"/>
                  <w:jc w:val="center"/>
                  <w:rPr>
                    <w:rFonts w:eastAsia="Times New Roman" w:cs="Segoe UI"/>
                    <w:sz w:val="14"/>
                    <w:szCs w:val="22"/>
                    <w:lang w:val="en-GB" w:eastAsia="it-IT"/>
                  </w:rPr>
                </w:pPr>
                <w:r w:rsidRPr="00AD0101">
                  <w:rPr>
                    <w:rFonts w:eastAsia="Times New Roman" w:cs="Segoe UI"/>
                    <w:sz w:val="14"/>
                    <w:szCs w:val="22"/>
                    <w:lang w:val="en-GB" w:eastAsia="it-IT"/>
                  </w:rPr>
                  <w:t>104</w:t>
                </w:r>
              </w:p>
            </w:tc>
            <w:tc>
              <w:tcPr>
                <w:tcW w:w="1250" w:type="pct"/>
                <w:shd w:val="clear" w:color="auto" w:fill="FFFFFF" w:themeFill="background2"/>
                <w:vAlign w:val="center"/>
              </w:tcPr>
              <w:p w14:paraId="3D683FE0" w14:textId="1B0E0997" w:rsidR="00AD0101" w:rsidRPr="00AD0101" w:rsidRDefault="00AD0101" w:rsidP="006C2C95">
                <w:pPr>
                  <w:spacing w:before="0" w:line="240" w:lineRule="auto"/>
                  <w:jc w:val="center"/>
                  <w:rPr>
                    <w:rFonts w:eastAsia="Times New Roman" w:cs="Segoe UI"/>
                    <w:sz w:val="14"/>
                    <w:szCs w:val="22"/>
                    <w:lang w:val="en-GB" w:eastAsia="it-IT"/>
                  </w:rPr>
                </w:pPr>
                <w:r w:rsidRPr="00AD0101">
                  <w:rPr>
                    <w:rFonts w:eastAsia="Times New Roman" w:cs="Segoe UI"/>
                    <w:sz w:val="14"/>
                    <w:szCs w:val="22"/>
                    <w:lang w:val="en-GB" w:eastAsia="it-IT"/>
                  </w:rPr>
                  <w:t>0</w:t>
                </w:r>
                <w:r w:rsidR="003C43EA">
                  <w:rPr>
                    <w:rFonts w:eastAsia="Times New Roman" w:cs="Segoe UI"/>
                    <w:sz w:val="14"/>
                    <w:szCs w:val="22"/>
                    <w:lang w:val="en-GB" w:eastAsia="it-IT"/>
                  </w:rPr>
                  <w:t>.</w:t>
                </w:r>
                <w:r w:rsidRPr="00AD0101">
                  <w:rPr>
                    <w:rFonts w:eastAsia="Times New Roman" w:cs="Segoe UI"/>
                    <w:sz w:val="14"/>
                    <w:szCs w:val="22"/>
                    <w:lang w:val="en-GB" w:eastAsia="it-IT"/>
                  </w:rPr>
                  <w:t>62%</w:t>
                </w:r>
              </w:p>
            </w:tc>
          </w:tr>
          <w:tr w:rsidR="004C3636" w:rsidRPr="00ED33EF" w14:paraId="3B941668" w14:textId="77777777" w:rsidTr="00A875C2">
            <w:trPr>
              <w:trHeight w:val="283"/>
            </w:trPr>
            <w:tc>
              <w:tcPr>
                <w:tcW w:w="1250" w:type="pct"/>
                <w:shd w:val="clear" w:color="auto" w:fill="FFFFFF" w:themeFill="background2"/>
                <w:tcMar>
                  <w:top w:w="60" w:type="dxa"/>
                  <w:left w:w="114" w:type="dxa"/>
                  <w:bottom w:w="60" w:type="dxa"/>
                  <w:right w:w="114" w:type="dxa"/>
                </w:tcMar>
                <w:vAlign w:val="center"/>
              </w:tcPr>
              <w:p w14:paraId="063AD3BC" w14:textId="2C81810E" w:rsidR="004C3636" w:rsidRPr="006D7621" w:rsidRDefault="004C3636" w:rsidP="006C2C95">
                <w:pPr>
                  <w:spacing w:before="0" w:line="240" w:lineRule="auto"/>
                  <w:jc w:val="center"/>
                  <w:rPr>
                    <w:rFonts w:eastAsia="Times New Roman" w:cs="Segoe UI"/>
                    <w:b/>
                    <w:bCs/>
                    <w:sz w:val="14"/>
                    <w:szCs w:val="22"/>
                    <w:lang w:val="en-GB" w:eastAsia="it-IT"/>
                  </w:rPr>
                </w:pPr>
                <w:r w:rsidRPr="006D7621">
                  <w:rPr>
                    <w:rFonts w:eastAsia="Times New Roman" w:cs="Segoe UI"/>
                    <w:b/>
                    <w:bCs/>
                    <w:sz w:val="14"/>
                    <w:szCs w:val="22"/>
                    <w:lang w:val="en-GB" w:eastAsia="it-IT"/>
                  </w:rPr>
                  <w:t>Total</w:t>
                </w:r>
              </w:p>
            </w:tc>
            <w:tc>
              <w:tcPr>
                <w:tcW w:w="1250" w:type="pct"/>
                <w:shd w:val="clear" w:color="auto" w:fill="FFFFFF" w:themeFill="background2"/>
                <w:tcMar>
                  <w:top w:w="60" w:type="dxa"/>
                  <w:left w:w="114" w:type="dxa"/>
                  <w:bottom w:w="60" w:type="dxa"/>
                  <w:right w:w="114" w:type="dxa"/>
                </w:tcMar>
                <w:vAlign w:val="center"/>
              </w:tcPr>
              <w:p w14:paraId="19D98FFE" w14:textId="684B49B0" w:rsidR="004C3636" w:rsidRPr="006D7621" w:rsidRDefault="004C3636" w:rsidP="006C2C95">
                <w:pPr>
                  <w:spacing w:before="0" w:line="240" w:lineRule="auto"/>
                  <w:jc w:val="center"/>
                  <w:rPr>
                    <w:rFonts w:eastAsia="Times New Roman" w:cs="Segoe UI"/>
                    <w:b/>
                    <w:bCs/>
                    <w:sz w:val="14"/>
                    <w:szCs w:val="22"/>
                    <w:lang w:val="en-GB" w:eastAsia="it-IT"/>
                  </w:rPr>
                </w:pPr>
                <w:r w:rsidRPr="006D7621">
                  <w:rPr>
                    <w:rFonts w:eastAsia="Times New Roman" w:cs="Segoe UI"/>
                    <w:b/>
                    <w:bCs/>
                    <w:sz w:val="14"/>
                    <w:szCs w:val="22"/>
                    <w:lang w:val="en-GB" w:eastAsia="it-IT"/>
                  </w:rPr>
                  <w:t>529,990</w:t>
                </w:r>
              </w:p>
            </w:tc>
            <w:tc>
              <w:tcPr>
                <w:tcW w:w="1250" w:type="pct"/>
                <w:shd w:val="clear" w:color="auto" w:fill="FFFFFF" w:themeFill="background2"/>
                <w:tcMar>
                  <w:top w:w="60" w:type="dxa"/>
                  <w:left w:w="114" w:type="dxa"/>
                  <w:bottom w:w="60" w:type="dxa"/>
                  <w:right w:w="114" w:type="dxa"/>
                </w:tcMar>
                <w:vAlign w:val="center"/>
              </w:tcPr>
              <w:p w14:paraId="4A75BBB2" w14:textId="3E53F6C1" w:rsidR="004C3636" w:rsidRPr="006D7621" w:rsidRDefault="004C3636" w:rsidP="006C2C95">
                <w:pPr>
                  <w:spacing w:before="0" w:line="240" w:lineRule="auto"/>
                  <w:jc w:val="center"/>
                  <w:rPr>
                    <w:rFonts w:eastAsia="Times New Roman" w:cs="Segoe UI"/>
                    <w:b/>
                    <w:bCs/>
                    <w:sz w:val="14"/>
                    <w:szCs w:val="22"/>
                    <w:lang w:val="en-GB" w:eastAsia="it-IT"/>
                  </w:rPr>
                </w:pPr>
                <w:r w:rsidRPr="006D7621">
                  <w:rPr>
                    <w:rFonts w:eastAsia="Times New Roman" w:cs="Segoe UI"/>
                    <w:b/>
                    <w:bCs/>
                    <w:sz w:val="14"/>
                    <w:szCs w:val="22"/>
                    <w:lang w:val="en-GB" w:eastAsia="it-IT"/>
                  </w:rPr>
                  <w:t>16,624</w:t>
                </w:r>
              </w:p>
            </w:tc>
            <w:tc>
              <w:tcPr>
                <w:tcW w:w="1250" w:type="pct"/>
                <w:shd w:val="clear" w:color="auto" w:fill="FFFFFF" w:themeFill="background2"/>
                <w:vAlign w:val="center"/>
              </w:tcPr>
              <w:p w14:paraId="21AE6CE3" w14:textId="06CC26A9" w:rsidR="004C3636" w:rsidRPr="006D7621" w:rsidRDefault="004C3636" w:rsidP="006C2C95">
                <w:pPr>
                  <w:spacing w:before="0" w:line="240" w:lineRule="auto"/>
                  <w:jc w:val="center"/>
                  <w:rPr>
                    <w:rFonts w:ascii="Calibri" w:hAnsi="Calibri" w:cs="Calibri"/>
                    <w:b/>
                    <w:bCs/>
                    <w:color w:val="353B4A"/>
                  </w:rPr>
                </w:pPr>
                <w:r w:rsidRPr="006D7621">
                  <w:rPr>
                    <w:rFonts w:eastAsia="Times New Roman" w:cs="Segoe UI"/>
                    <w:b/>
                    <w:bCs/>
                    <w:sz w:val="14"/>
                    <w:szCs w:val="22"/>
                    <w:lang w:val="en-GB" w:eastAsia="it-IT"/>
                  </w:rPr>
                  <w:t>3</w:t>
                </w:r>
                <w:r w:rsidR="003C43EA" w:rsidRPr="006D7621">
                  <w:rPr>
                    <w:rFonts w:eastAsia="Times New Roman" w:cs="Segoe UI"/>
                    <w:b/>
                    <w:bCs/>
                    <w:sz w:val="14"/>
                    <w:szCs w:val="22"/>
                    <w:lang w:val="en-GB" w:eastAsia="it-IT"/>
                  </w:rPr>
                  <w:t>.</w:t>
                </w:r>
                <w:r w:rsidRPr="006D7621">
                  <w:rPr>
                    <w:rFonts w:eastAsia="Times New Roman" w:cs="Segoe UI"/>
                    <w:b/>
                    <w:bCs/>
                    <w:sz w:val="14"/>
                    <w:szCs w:val="22"/>
                    <w:lang w:val="en-GB" w:eastAsia="it-IT"/>
                  </w:rPr>
                  <w:t>14%</w:t>
                </w:r>
              </w:p>
            </w:tc>
          </w:tr>
        </w:tbl>
        <w:p w14:paraId="1A139A32" w14:textId="77777777" w:rsidR="00D95877" w:rsidRDefault="00D95877" w:rsidP="004101BF">
          <w:pPr>
            <w:rPr>
              <w:rFonts w:cs="Segoe UI"/>
              <w:lang w:val="en-GB"/>
            </w:rPr>
          </w:pPr>
        </w:p>
        <w:p w14:paraId="72850D41" w14:textId="70DBD980" w:rsidR="004101BF" w:rsidRPr="0032337D" w:rsidRDefault="00C111FF" w:rsidP="004101BF">
          <w:pPr>
            <w:rPr>
              <w:rFonts w:cs="Segoe UI"/>
              <w:lang w:val="en-GB"/>
            </w:rPr>
          </w:pPr>
          <w:r>
            <w:rPr>
              <w:rFonts w:cs="Segoe UI"/>
              <w:lang w:val="en-GB"/>
            </w:rPr>
            <w:t xml:space="preserve">Exhibit 13 </w:t>
          </w:r>
          <w:r w:rsidR="00D93041">
            <w:rPr>
              <w:rFonts w:cs="Segoe UI"/>
              <w:lang w:val="en-GB"/>
            </w:rPr>
            <w:t>displays t</w:t>
          </w:r>
          <w:r w:rsidR="004101BF" w:rsidRPr="0032337D">
            <w:rPr>
              <w:rFonts w:cs="Segoe UI"/>
              <w:lang w:val="en-GB"/>
            </w:rPr>
            <w:t>he average 1-y</w:t>
          </w:r>
          <w:r w:rsidR="00D93041">
            <w:rPr>
              <w:rFonts w:cs="Segoe UI"/>
              <w:lang w:val="en-GB"/>
            </w:rPr>
            <w:t>ear</w:t>
          </w:r>
          <w:r w:rsidR="004101BF" w:rsidRPr="0032337D">
            <w:rPr>
              <w:rFonts w:cs="Segoe UI"/>
              <w:lang w:val="en-GB"/>
            </w:rPr>
            <w:t xml:space="preserve"> default rate on rated entities.</w:t>
          </w:r>
          <w:r w:rsidR="00D93041">
            <w:rPr>
              <w:rFonts w:cs="Segoe UI"/>
              <w:lang w:val="en-GB"/>
            </w:rPr>
            <w:t xml:space="preserve"> After three years of c</w:t>
          </w:r>
          <w:r w:rsidR="0010079E">
            <w:rPr>
              <w:rFonts w:cs="Segoe UI"/>
              <w:lang w:val="en-GB"/>
            </w:rPr>
            <w:t xml:space="preserve">onsecutive </w:t>
          </w:r>
          <w:r w:rsidR="007F4124">
            <w:rPr>
              <w:rFonts w:cs="Segoe UI"/>
              <w:lang w:val="en-GB"/>
            </w:rPr>
            <w:t>decrease</w:t>
          </w:r>
          <w:r w:rsidR="0010079E">
            <w:rPr>
              <w:rFonts w:cs="Segoe UI"/>
              <w:lang w:val="en-GB"/>
            </w:rPr>
            <w:t xml:space="preserve">, in 2023 the </w:t>
          </w:r>
          <w:r w:rsidR="001154FF">
            <w:rPr>
              <w:rFonts w:cs="Segoe UI"/>
              <w:lang w:val="en-GB"/>
            </w:rPr>
            <w:t>default rate</w:t>
          </w:r>
          <w:r w:rsidR="0010079E">
            <w:rPr>
              <w:rFonts w:cs="Segoe UI"/>
              <w:lang w:val="en-GB"/>
            </w:rPr>
            <w:t xml:space="preserve"> increases </w:t>
          </w:r>
          <w:r w:rsidR="00BF1082">
            <w:rPr>
              <w:rFonts w:cs="Segoe UI"/>
              <w:lang w:val="en-GB"/>
            </w:rPr>
            <w:t>to reach the highest value since 2020.</w:t>
          </w:r>
        </w:p>
        <w:p w14:paraId="755A5EC3" w14:textId="76CDE3AD" w:rsidR="004101BF" w:rsidRPr="0032337D" w:rsidRDefault="004101BF" w:rsidP="004101BF">
          <w:pPr>
            <w:pStyle w:val="Didascalia"/>
            <w:rPr>
              <w:rFonts w:ascii="Segoe UI" w:hAnsi="Segoe UI" w:cs="Segoe UI"/>
              <w:i/>
              <w:sz w:val="14"/>
              <w:lang w:val="en-GB"/>
            </w:rPr>
          </w:pPr>
          <w:bookmarkStart w:id="57" w:name="_Toc130806314"/>
          <w:bookmarkStart w:id="58" w:name="_Toc166675654"/>
          <w:bookmarkStart w:id="59" w:name="_Toc167131781"/>
          <w:r w:rsidRPr="0032337D">
            <w:rPr>
              <w:rFonts w:ascii="Segoe UI" w:hAnsi="Segoe UI" w:cs="Segoe UI"/>
              <w:i/>
              <w:sz w:val="14"/>
              <w:lang w:val="en-GB"/>
            </w:rPr>
            <w:lastRenderedPageBreak/>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13</w:t>
          </w:r>
          <w:r>
            <w:rPr>
              <w:rFonts w:ascii="Segoe UI" w:hAnsi="Segoe UI" w:cs="Segoe UI"/>
              <w:i/>
              <w:sz w:val="14"/>
              <w:lang w:val="en-GB"/>
            </w:rPr>
            <w:fldChar w:fldCharType="end"/>
          </w:r>
          <w:r w:rsidRPr="0032337D">
            <w:rPr>
              <w:rFonts w:ascii="Segoe UI" w:hAnsi="Segoe UI" w:cs="Segoe UI"/>
              <w:i/>
              <w:sz w:val="14"/>
              <w:lang w:val="en-GB"/>
            </w:rPr>
            <w:t>: Average 1-year default rate</w:t>
          </w:r>
          <w:bookmarkEnd w:id="57"/>
          <w:bookmarkEnd w:id="58"/>
          <w:bookmarkEnd w:id="59"/>
        </w:p>
        <w:p w14:paraId="6368C170" w14:textId="5EB4E068" w:rsidR="006264BC" w:rsidRDefault="006264BC" w:rsidP="004101BF">
          <w:pPr>
            <w:rPr>
              <w:rFonts w:cs="Segoe UI"/>
              <w:lang w:val="en-GB"/>
            </w:rPr>
          </w:pPr>
          <w:r>
            <w:rPr>
              <w:noProof/>
            </w:rPr>
            <w:drawing>
              <wp:inline distT="0" distB="0" distL="0" distR="0" wp14:anchorId="5C11ED5E" wp14:editId="5A3A72B8">
                <wp:extent cx="6570980" cy="2336800"/>
                <wp:effectExtent l="0" t="0" r="1270" b="6350"/>
                <wp:docPr id="1630245036" name="Grafico 1">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424F176" w14:textId="7573266A" w:rsidR="001B26A7" w:rsidRDefault="001B26A7" w:rsidP="001B26A7">
          <w:pPr>
            <w:rPr>
              <w:rFonts w:cs="Segoe UI"/>
              <w:lang w:val="en-GB"/>
            </w:rPr>
          </w:pPr>
          <w:r w:rsidRPr="0032337D">
            <w:rPr>
              <w:rFonts w:cs="Segoe UI"/>
              <w:lang w:val="en-GB"/>
            </w:rPr>
            <w:t>The</w:t>
          </w:r>
          <w:r w:rsidR="00E30D34">
            <w:rPr>
              <w:rFonts w:cs="Segoe UI"/>
              <w:lang w:val="en-GB"/>
            </w:rPr>
            <w:t xml:space="preserve"> overall</w:t>
          </w:r>
          <w:r w:rsidRPr="0032337D">
            <w:rPr>
              <w:rFonts w:cs="Segoe UI"/>
              <w:lang w:val="en-GB"/>
            </w:rPr>
            <w:t xml:space="preserve"> 1-year </w:t>
          </w:r>
          <w:r w:rsidR="00E30D34">
            <w:rPr>
              <w:rFonts w:cs="Segoe UI"/>
              <w:lang w:val="en-GB"/>
            </w:rPr>
            <w:t>default</w:t>
          </w:r>
          <w:r w:rsidR="00AC674E">
            <w:rPr>
              <w:rFonts w:cs="Segoe UI"/>
              <w:lang w:val="en-GB"/>
            </w:rPr>
            <w:t xml:space="preserve"> rate</w:t>
          </w:r>
          <w:r w:rsidR="00E30D34">
            <w:rPr>
              <w:rFonts w:cs="Segoe UI"/>
              <w:lang w:val="en-GB"/>
            </w:rPr>
            <w:t xml:space="preserve"> </w:t>
          </w:r>
          <w:r w:rsidRPr="0032337D">
            <w:rPr>
              <w:rFonts w:cs="Segoe UI"/>
              <w:lang w:val="en-GB"/>
            </w:rPr>
            <w:t xml:space="preserve">average </w:t>
          </w:r>
          <w:r w:rsidR="00AC674E">
            <w:rPr>
              <w:rFonts w:cs="Segoe UI"/>
              <w:lang w:val="en-GB"/>
            </w:rPr>
            <w:t xml:space="preserve">in the 15 years which go from 2009 to 2023 </w:t>
          </w:r>
          <w:r w:rsidRPr="0032337D">
            <w:rPr>
              <w:rFonts w:cs="Segoe UI"/>
              <w:lang w:val="en-GB"/>
            </w:rPr>
            <w:t>is 3.</w:t>
          </w:r>
          <w:r w:rsidR="009B1B20">
            <w:rPr>
              <w:rFonts w:cs="Segoe UI"/>
              <w:lang w:val="en-GB"/>
            </w:rPr>
            <w:t>14</w:t>
          </w:r>
          <w:r w:rsidRPr="0032337D">
            <w:rPr>
              <w:rFonts w:cs="Segoe UI"/>
              <w:lang w:val="en-GB"/>
            </w:rPr>
            <w:t>%</w:t>
          </w:r>
          <w:r w:rsidR="00AC674E">
            <w:rPr>
              <w:rFonts w:cs="Segoe UI"/>
              <w:lang w:val="en-GB"/>
            </w:rPr>
            <w:t xml:space="preserve">. </w:t>
          </w:r>
          <w:r w:rsidRPr="0032337D">
            <w:rPr>
              <w:rFonts w:cs="Segoe UI"/>
              <w:lang w:val="en-GB"/>
            </w:rPr>
            <w:t>Exhibit 14 shows the breakdown of the default rate by company size</w:t>
          </w:r>
          <w:r w:rsidR="00AC674E">
            <w:rPr>
              <w:rFonts w:cs="Segoe UI"/>
              <w:lang w:val="en-GB"/>
            </w:rPr>
            <w:t xml:space="preserve">, displaying how large companies have the lowest </w:t>
          </w:r>
          <w:r w:rsidR="00E52B81">
            <w:rPr>
              <w:rFonts w:cs="Segoe UI"/>
              <w:lang w:val="en-GB"/>
            </w:rPr>
            <w:t>average default rate (1</w:t>
          </w:r>
          <w:r w:rsidR="00D058C1">
            <w:rPr>
              <w:rFonts w:cs="Segoe UI"/>
              <w:lang w:val="en-GB"/>
            </w:rPr>
            <w:t>.</w:t>
          </w:r>
          <w:r w:rsidR="00E52B81">
            <w:rPr>
              <w:rFonts w:cs="Segoe UI"/>
              <w:lang w:val="en-GB"/>
            </w:rPr>
            <w:t>24%)</w:t>
          </w:r>
          <w:r w:rsidR="00B51A42">
            <w:rPr>
              <w:rFonts w:cs="Segoe UI"/>
              <w:lang w:val="en-GB"/>
            </w:rPr>
            <w:t>, whereas micro enterprises, as expected, show the highest value at 4</w:t>
          </w:r>
          <w:r w:rsidR="00D058C1">
            <w:rPr>
              <w:rFonts w:cs="Segoe UI"/>
              <w:lang w:val="en-GB"/>
            </w:rPr>
            <w:t>.</w:t>
          </w:r>
          <w:r w:rsidR="00B51A42">
            <w:rPr>
              <w:rFonts w:cs="Segoe UI"/>
              <w:lang w:val="en-GB"/>
            </w:rPr>
            <w:t>52%. SMEs display an average of 2</w:t>
          </w:r>
          <w:r w:rsidR="00D058C1">
            <w:rPr>
              <w:rFonts w:cs="Segoe UI"/>
              <w:lang w:val="en-GB"/>
            </w:rPr>
            <w:t>.</w:t>
          </w:r>
          <w:r w:rsidR="00B51A42">
            <w:rPr>
              <w:rFonts w:cs="Segoe UI"/>
              <w:lang w:val="en-GB"/>
            </w:rPr>
            <w:t>72%.</w:t>
          </w:r>
        </w:p>
        <w:p w14:paraId="13C9FD0F" w14:textId="3DA15858" w:rsidR="00E51AEC" w:rsidRDefault="004101BF" w:rsidP="004101BF">
          <w:pPr>
            <w:pStyle w:val="Didascalia"/>
            <w:rPr>
              <w:rFonts w:ascii="Segoe UI" w:hAnsi="Segoe UI" w:cs="Segoe UI"/>
              <w:i/>
              <w:sz w:val="14"/>
              <w:lang w:val="en-GB"/>
            </w:rPr>
          </w:pPr>
          <w:bookmarkStart w:id="60" w:name="_Toc130806315"/>
          <w:bookmarkStart w:id="61" w:name="_Toc166675655"/>
          <w:bookmarkStart w:id="62" w:name="_Toc167131782"/>
          <w:r w:rsidRPr="0032337D">
            <w:rPr>
              <w:rFonts w:ascii="Segoe UI" w:hAnsi="Segoe UI" w:cs="Segoe UI"/>
              <w:i/>
              <w:sz w:val="14"/>
              <w:lang w:val="en-GB"/>
            </w:rPr>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14</w:t>
          </w:r>
          <w:r>
            <w:rPr>
              <w:rFonts w:ascii="Segoe UI" w:hAnsi="Segoe UI" w:cs="Segoe UI"/>
              <w:i/>
              <w:sz w:val="14"/>
              <w:lang w:val="en-GB"/>
            </w:rPr>
            <w:fldChar w:fldCharType="end"/>
          </w:r>
          <w:r w:rsidRPr="0032337D">
            <w:rPr>
              <w:rFonts w:ascii="Segoe UI" w:hAnsi="Segoe UI" w:cs="Segoe UI"/>
              <w:i/>
              <w:sz w:val="14"/>
              <w:lang w:val="en-GB"/>
            </w:rPr>
            <w:t>: Average 1-year default rates by company size</w:t>
          </w:r>
          <w:r>
            <w:rPr>
              <w:rFonts w:ascii="Segoe UI" w:hAnsi="Segoe UI" w:cs="Segoe UI"/>
              <w:i/>
              <w:sz w:val="14"/>
              <w:lang w:val="en-GB"/>
            </w:rPr>
            <w:t xml:space="preserve"> (table)</w:t>
          </w:r>
          <w:bookmarkStart w:id="63" w:name="_Toc130806316"/>
          <w:bookmarkEnd w:id="60"/>
          <w:bookmarkEnd w:id="61"/>
          <w:bookmarkEnd w:id="62"/>
        </w:p>
        <w:tbl>
          <w:tblPr>
            <w:tblW w:w="5011" w:type="pct"/>
            <w:tblBorders>
              <w:top w:val="single" w:sz="4" w:space="0" w:color="AFAFB4" w:themeColor="accent4"/>
              <w:bottom w:val="single" w:sz="4" w:space="0" w:color="AFAFB4" w:themeColor="accent4"/>
              <w:insideH w:val="single" w:sz="4" w:space="0" w:color="AFAFB4" w:themeColor="accent4"/>
            </w:tblBorders>
            <w:shd w:val="clear" w:color="auto" w:fill="FFFFFF" w:themeFill="background2"/>
            <w:tblCellMar>
              <w:left w:w="0" w:type="dxa"/>
              <w:right w:w="0" w:type="dxa"/>
            </w:tblCellMar>
            <w:tblLook w:val="0620" w:firstRow="1" w:lastRow="0" w:firstColumn="0" w:lastColumn="0" w:noHBand="1" w:noVBand="1"/>
            <w:tblDescription w:val="{&quot;Ott&quot;:{&quot;FirstRow&quot;:{&quot;BackgroundColor&quot;:{&quot;Key&quot;:&quot;Light2&quot;},&quot;Font&quot;:{&quot;Name&quot;:&quot;Source Sans Pro&quot;,&quot;Size&quot;:14.0,&quot;Bold&quot;:false,&quot;Italic&quot;:false,&quot;Color&quot;:{&quot;Key&quot;:&quot;Dark2&quot;}},&quot;ExcelCellFormatting&quot;:&quot;General&quot;,&quot;Alignment&quot;:{&quot;Horizontal&quot;:&quot;Left&quot;,&quot;Vertical&quot;:&quot;Bottom&quot;},&quot;Borders&quot;:{&quot;Vertical&quot;:{&quot;Visible&quot;:false},&quot;Left&quot;:{&quot;Visible&quot;:false},&quot;Top&quot;:{&quot;Visible&quot;:false},&quot;Right&quot;:{&quot;Visible&quot;:false},&quot;Bottom&quot;:{&quot;Color&quot;:{&quot;Key&quot;:&quot;Accent4&quot;},&quot;BorderWeight&quot;:&quot;Pt1_5&quot;,&quot;Type&quot;:&quot;Solid&quot;,&quot;Visible&quot;:true}}},&quot;FitRowHeightPp&quot;:true,&quot;ZeroMarginsWord&quot;:true,&quot;BackgroundColor&quot;:{&quot;Key&quot;:&quot;Light2&quot;},&quot;Font&quot;:{&quot;Name&quot;:&quot;Source Sans Pro&quot;,&quot;Size&quot;:11.0,&quot;Bold&quot;:false,&quot;Italic&quot;:false,&quot;Color&quot;:{&quot;Key&quot;:&quot;Dark2&quot;}},&quot;LineSpacing&quot;:{&quot;Rule&quot;:&quot;Single&quot;},&quot;Alignment&quot;:{&quot;Horizontal&quot;:&quot;Left&quot;,&quot;Vertical&quot;:&quot;Top&quot;},&quot;Margin&quot;:{&quot;Left&quot;:5.7,&quot;Top&quot;:3.0,&quot;Right&quot;:5.7,&quot;Bottom&quot;:3.0},&quot;Borders&quot;:{&quot;Vertical&quot;:{&quot;Visible&quot;:false},&quot;Horizontal&quot;:{&quot;Color&quot;:{&quot;Key&quot;:&quot;Accent4&quot;},&quot;BorderWeight&quot;:&quot;Pt0_5&quot;,&quot;Type&quot;:&quot;Solid&quot;,&quot;Visible&quot;:true}},&quot;ParagraphSpacing&quot;:{&quot;SpaceBefore&quot;:2.0,&quot;SpaceAfter&quot;:2.0},&quot;ExcelWrapText&quot;:true},&quot;Ccs&quot;:{&quot;DarkBlue&quot;:&quot;0, 20, 55&quot;,&quot;Turquoise&quot;:&quot;0, 164, 230&quot;,&quot;Red&quot;:&quot;214, 70, 65&quot;,&quot;LightGrey&quot;:&quot;174, 174, 180&quot;,&quot;BlueGrey&quot;:&quot;77, 91, 115&quot;,&quot;IceBlue&quot;:&quot;178, 184, 195&quot;,&quot;Grey&quot;:&quot;145, 147, 153&quot;,&quot;Background&quot;:&quot;0, 0, 0, 0&quot;,&quot;White&quot;:&quot;White&quot;,&quot;Accent1&quot;:&quot;1, 1, 1, 1&quot;,&quot;Accent2&quot;:&quot;1, 1, 1, 2&quot;,&quot;Accent3&quot;:&quot;1, 1, 1, 3&quot;,&quot;Accent4&quot;:&quot;1, 1, 1, 4&quot;,&quot;Accent5&quot;:&quot;1, 1, 1, 5&quot;,&quot;Accent6&quot;:&quot;1, 1, 1, 6&quot;,&quot;Dark1&quot;:&quot;1, 1, 1, 7&quot;,&quot;Dark2&quot;:&quot;1, 1, 1, 9&quot;,&quot;Light1&quot;:&quot;1, 1, 1, 8&quot;,&quot;Light2&quot;:&quot;1, 1, 1, 10&quot;},&quot;Cop&quot;:{&quot;FirstRow&quot;:true,&quot;LastRow&quot;:false,&quot;FirstColumn&quot;:false,&quot;LastColumn&quot;:false,&quot;BandedRows&quot;:false,&quot;BandedColumns&quot;:false},&quot;Aaf&quot;:false}"/>
          </w:tblPr>
          <w:tblGrid>
            <w:gridCol w:w="1360"/>
            <w:gridCol w:w="1335"/>
            <w:gridCol w:w="1280"/>
            <w:gridCol w:w="1280"/>
            <w:gridCol w:w="1280"/>
            <w:gridCol w:w="1280"/>
            <w:gridCol w:w="1280"/>
            <w:gridCol w:w="1276"/>
          </w:tblGrid>
          <w:tr w:rsidR="003C4467" w:rsidRPr="00ED33EF" w14:paraId="27523227" w14:textId="77777777" w:rsidTr="00A875C2">
            <w:trPr>
              <w:trHeight w:val="283"/>
              <w:tblHeader/>
            </w:trPr>
            <w:tc>
              <w:tcPr>
                <w:tcW w:w="656"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4FCEEBE0" w14:textId="4AED836B" w:rsidR="005E1BB7" w:rsidRPr="00ED33EF" w:rsidRDefault="00EC12A9" w:rsidP="0028096E">
                <w:pPr>
                  <w:spacing w:before="0" w:line="240" w:lineRule="auto"/>
                  <w:jc w:val="center"/>
                  <w:rPr>
                    <w:b/>
                    <w:color w:val="33A1AB" w:themeColor="accent2"/>
                    <w:sz w:val="14"/>
                    <w:szCs w:val="14"/>
                  </w:rPr>
                </w:pPr>
                <w:r>
                  <w:rPr>
                    <w:b/>
                    <w:color w:val="33A1AB" w:themeColor="accent2"/>
                    <w:sz w:val="14"/>
                    <w:szCs w:val="14"/>
                  </w:rPr>
                  <w:t>Year of pool</w:t>
                </w:r>
              </w:p>
            </w:tc>
            <w:tc>
              <w:tcPr>
                <w:tcW w:w="644"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503BCF29" w14:textId="006AB080" w:rsidR="005E1BB7" w:rsidRPr="00ED33EF" w:rsidRDefault="00EC12A9" w:rsidP="0028096E">
                <w:pPr>
                  <w:spacing w:before="0" w:line="240" w:lineRule="auto"/>
                  <w:jc w:val="center"/>
                  <w:rPr>
                    <w:b/>
                    <w:color w:val="33A1AB" w:themeColor="accent2"/>
                    <w:sz w:val="14"/>
                    <w:szCs w:val="14"/>
                  </w:rPr>
                </w:pPr>
                <w:r>
                  <w:rPr>
                    <w:b/>
                    <w:color w:val="33A1AB" w:themeColor="accent2"/>
                    <w:sz w:val="14"/>
                    <w:szCs w:val="14"/>
                  </w:rPr>
                  <w:t>Year of default</w:t>
                </w:r>
              </w:p>
            </w:tc>
            <w:tc>
              <w:tcPr>
                <w:tcW w:w="617"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2187291E" w14:textId="5DBA63A3" w:rsidR="005E1BB7" w:rsidRPr="00ED33EF" w:rsidRDefault="00EC12A9" w:rsidP="0028096E">
                <w:pPr>
                  <w:spacing w:before="0" w:line="240" w:lineRule="auto"/>
                  <w:jc w:val="center"/>
                  <w:rPr>
                    <w:b/>
                    <w:color w:val="33A1AB" w:themeColor="accent2"/>
                    <w:sz w:val="14"/>
                    <w:szCs w:val="14"/>
                  </w:rPr>
                </w:pPr>
                <w:r>
                  <w:rPr>
                    <w:b/>
                    <w:color w:val="33A1AB" w:themeColor="accent2"/>
                    <w:sz w:val="14"/>
                    <w:szCs w:val="14"/>
                  </w:rPr>
                  <w:t>Micro</w:t>
                </w:r>
              </w:p>
            </w:tc>
            <w:tc>
              <w:tcPr>
                <w:tcW w:w="617" w:type="pct"/>
                <w:tcBorders>
                  <w:top w:val="single" w:sz="12" w:space="0" w:color="AFAFB4" w:themeColor="accent4"/>
                </w:tcBorders>
                <w:shd w:val="clear" w:color="auto" w:fill="FFFFFF" w:themeFill="background2"/>
                <w:vAlign w:val="center"/>
              </w:tcPr>
              <w:p w14:paraId="594139D7" w14:textId="082A7786" w:rsidR="005E1BB7" w:rsidRPr="00ED33EF" w:rsidRDefault="00EC12A9" w:rsidP="0028096E">
                <w:pPr>
                  <w:spacing w:before="0" w:line="240" w:lineRule="auto"/>
                  <w:jc w:val="center"/>
                  <w:rPr>
                    <w:b/>
                    <w:color w:val="33A1AB" w:themeColor="accent2"/>
                    <w:sz w:val="14"/>
                    <w:szCs w:val="14"/>
                  </w:rPr>
                </w:pPr>
                <w:r>
                  <w:rPr>
                    <w:b/>
                    <w:color w:val="33A1AB" w:themeColor="accent2"/>
                    <w:sz w:val="14"/>
                    <w:szCs w:val="14"/>
                  </w:rPr>
                  <w:t>Small</w:t>
                </w:r>
              </w:p>
            </w:tc>
            <w:tc>
              <w:tcPr>
                <w:tcW w:w="617" w:type="pct"/>
                <w:tcBorders>
                  <w:top w:val="single" w:sz="12" w:space="0" w:color="AFAFB4" w:themeColor="accent4"/>
                </w:tcBorders>
                <w:shd w:val="clear" w:color="auto" w:fill="FFFFFF" w:themeFill="background2"/>
                <w:vAlign w:val="center"/>
              </w:tcPr>
              <w:p w14:paraId="3654D40F" w14:textId="20FE2829" w:rsidR="005E1BB7" w:rsidRPr="00ED33EF" w:rsidRDefault="00EC12A9" w:rsidP="0028096E">
                <w:pPr>
                  <w:spacing w:before="0" w:line="240" w:lineRule="auto"/>
                  <w:jc w:val="center"/>
                  <w:rPr>
                    <w:b/>
                    <w:color w:val="33A1AB" w:themeColor="accent2"/>
                    <w:sz w:val="14"/>
                    <w:szCs w:val="14"/>
                  </w:rPr>
                </w:pPr>
                <w:r>
                  <w:rPr>
                    <w:b/>
                    <w:color w:val="33A1AB" w:themeColor="accent2"/>
                    <w:sz w:val="14"/>
                    <w:szCs w:val="14"/>
                  </w:rPr>
                  <w:t>Medium</w:t>
                </w:r>
              </w:p>
            </w:tc>
            <w:tc>
              <w:tcPr>
                <w:tcW w:w="617" w:type="pct"/>
                <w:tcBorders>
                  <w:top w:val="single" w:sz="12" w:space="0" w:color="AFAFB4" w:themeColor="accent4"/>
                </w:tcBorders>
                <w:shd w:val="clear" w:color="auto" w:fill="FFFFFF" w:themeFill="background2"/>
                <w:vAlign w:val="center"/>
              </w:tcPr>
              <w:p w14:paraId="6F580CF4" w14:textId="3BB26869" w:rsidR="005E1BB7" w:rsidRPr="00ED33EF" w:rsidRDefault="00EC12A9" w:rsidP="0028096E">
                <w:pPr>
                  <w:spacing w:before="0" w:line="240" w:lineRule="auto"/>
                  <w:jc w:val="center"/>
                  <w:rPr>
                    <w:b/>
                    <w:color w:val="33A1AB" w:themeColor="accent2"/>
                    <w:sz w:val="14"/>
                    <w:szCs w:val="14"/>
                  </w:rPr>
                </w:pPr>
                <w:r>
                  <w:rPr>
                    <w:b/>
                    <w:color w:val="33A1AB" w:themeColor="accent2"/>
                    <w:sz w:val="14"/>
                    <w:szCs w:val="14"/>
                  </w:rPr>
                  <w:t>Large</w:t>
                </w:r>
              </w:p>
            </w:tc>
            <w:tc>
              <w:tcPr>
                <w:tcW w:w="617" w:type="pct"/>
                <w:tcBorders>
                  <w:top w:val="single" w:sz="12" w:space="0" w:color="AFAFB4" w:themeColor="accent4"/>
                </w:tcBorders>
                <w:shd w:val="clear" w:color="auto" w:fill="FFFFFF" w:themeFill="background2"/>
                <w:vAlign w:val="center"/>
              </w:tcPr>
              <w:p w14:paraId="1FF5CDC0" w14:textId="222F1432" w:rsidR="005E1BB7" w:rsidRPr="00ED33EF" w:rsidRDefault="00EC12A9" w:rsidP="0028096E">
                <w:pPr>
                  <w:spacing w:before="0" w:line="240" w:lineRule="auto"/>
                  <w:jc w:val="center"/>
                  <w:rPr>
                    <w:b/>
                    <w:color w:val="33A1AB" w:themeColor="accent2"/>
                    <w:sz w:val="14"/>
                    <w:szCs w:val="14"/>
                  </w:rPr>
                </w:pPr>
                <w:r>
                  <w:rPr>
                    <w:b/>
                    <w:color w:val="33A1AB" w:themeColor="accent2"/>
                    <w:sz w:val="14"/>
                    <w:szCs w:val="14"/>
                  </w:rPr>
                  <w:t>SMEs</w:t>
                </w:r>
              </w:p>
            </w:tc>
            <w:tc>
              <w:tcPr>
                <w:tcW w:w="617" w:type="pct"/>
                <w:tcBorders>
                  <w:top w:val="single" w:sz="12" w:space="0" w:color="AFAFB4" w:themeColor="accent4"/>
                </w:tcBorders>
                <w:shd w:val="clear" w:color="auto" w:fill="FFFFFF" w:themeFill="background2"/>
                <w:vAlign w:val="center"/>
              </w:tcPr>
              <w:p w14:paraId="33E301D0" w14:textId="33BEEA70" w:rsidR="005E1BB7" w:rsidRPr="00ED33EF" w:rsidRDefault="00EC12A9" w:rsidP="0028096E">
                <w:pPr>
                  <w:spacing w:before="0" w:line="240" w:lineRule="auto"/>
                  <w:jc w:val="center"/>
                  <w:rPr>
                    <w:b/>
                    <w:color w:val="33A1AB" w:themeColor="accent2"/>
                    <w:sz w:val="14"/>
                    <w:szCs w:val="14"/>
                  </w:rPr>
                </w:pPr>
                <w:r>
                  <w:rPr>
                    <w:b/>
                    <w:color w:val="33A1AB" w:themeColor="accent2"/>
                    <w:sz w:val="14"/>
                    <w:szCs w:val="14"/>
                  </w:rPr>
                  <w:t>Total</w:t>
                </w:r>
              </w:p>
            </w:tc>
          </w:tr>
          <w:tr w:rsidR="003C4467" w:rsidRPr="003A089A" w14:paraId="262483B5" w14:textId="77777777" w:rsidTr="00A875C2">
            <w:trPr>
              <w:trHeight w:val="283"/>
            </w:trPr>
            <w:tc>
              <w:tcPr>
                <w:tcW w:w="656" w:type="pct"/>
                <w:shd w:val="clear" w:color="auto" w:fill="FFFFFF" w:themeFill="background2"/>
                <w:tcMar>
                  <w:top w:w="60" w:type="dxa"/>
                  <w:left w:w="114" w:type="dxa"/>
                  <w:bottom w:w="60" w:type="dxa"/>
                  <w:right w:w="114" w:type="dxa"/>
                </w:tcMar>
                <w:vAlign w:val="center"/>
              </w:tcPr>
              <w:p w14:paraId="175ADC03" w14:textId="32E15AEA" w:rsidR="00FF727D" w:rsidRPr="00FF727D" w:rsidRDefault="00FF727D" w:rsidP="003C4467">
                <w:pPr>
                  <w:spacing w:before="0" w:line="240" w:lineRule="auto"/>
                  <w:jc w:val="left"/>
                  <w:rPr>
                    <w:rFonts w:eastAsia="Times New Roman" w:cs="Segoe UI"/>
                    <w:b/>
                    <w:bCs/>
                    <w:sz w:val="14"/>
                    <w:szCs w:val="22"/>
                    <w:lang w:val="en-GB" w:eastAsia="it-IT"/>
                  </w:rPr>
                </w:pPr>
                <w:r w:rsidRPr="00FF727D">
                  <w:rPr>
                    <w:rFonts w:eastAsia="Times New Roman" w:cs="Segoe UI"/>
                    <w:b/>
                    <w:bCs/>
                    <w:sz w:val="14"/>
                    <w:szCs w:val="22"/>
                    <w:lang w:val="en-GB" w:eastAsia="it-IT"/>
                  </w:rPr>
                  <w:t>31 December 2008</w:t>
                </w:r>
              </w:p>
            </w:tc>
            <w:tc>
              <w:tcPr>
                <w:tcW w:w="644" w:type="pct"/>
                <w:shd w:val="clear" w:color="auto" w:fill="FFFFFF" w:themeFill="background2"/>
                <w:tcMar>
                  <w:top w:w="60" w:type="dxa"/>
                  <w:left w:w="114" w:type="dxa"/>
                  <w:bottom w:w="60" w:type="dxa"/>
                  <w:right w:w="114" w:type="dxa"/>
                </w:tcMar>
                <w:vAlign w:val="center"/>
              </w:tcPr>
              <w:p w14:paraId="13B70A67" w14:textId="0A699A9A"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Defaults 2009</w:t>
                </w:r>
              </w:p>
            </w:tc>
            <w:tc>
              <w:tcPr>
                <w:tcW w:w="617" w:type="pct"/>
                <w:shd w:val="clear" w:color="auto" w:fill="FFFFFF" w:themeFill="background2"/>
                <w:tcMar>
                  <w:top w:w="60" w:type="dxa"/>
                  <w:left w:w="114" w:type="dxa"/>
                  <w:bottom w:w="60" w:type="dxa"/>
                  <w:right w:w="114" w:type="dxa"/>
                </w:tcMar>
                <w:vAlign w:val="center"/>
              </w:tcPr>
              <w:p w14:paraId="7016C471" w14:textId="6CCD3F14"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7</w:t>
                </w:r>
                <w:r w:rsidR="00D058C1">
                  <w:rPr>
                    <w:rFonts w:eastAsia="Times New Roman" w:cs="Segoe UI"/>
                    <w:sz w:val="14"/>
                    <w:szCs w:val="22"/>
                    <w:lang w:val="en-GB" w:eastAsia="it-IT"/>
                  </w:rPr>
                  <w:t>.</w:t>
                </w:r>
                <w:r w:rsidRPr="00FF727D">
                  <w:rPr>
                    <w:rFonts w:eastAsia="Times New Roman" w:cs="Segoe UI"/>
                    <w:sz w:val="14"/>
                    <w:szCs w:val="22"/>
                    <w:lang w:val="en-GB" w:eastAsia="it-IT"/>
                  </w:rPr>
                  <w:t>77%</w:t>
                </w:r>
              </w:p>
            </w:tc>
            <w:tc>
              <w:tcPr>
                <w:tcW w:w="617" w:type="pct"/>
                <w:shd w:val="clear" w:color="auto" w:fill="FFFFFF" w:themeFill="background2"/>
                <w:vAlign w:val="center"/>
              </w:tcPr>
              <w:p w14:paraId="347B17A4" w14:textId="44E50DC1"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4</w:t>
                </w:r>
                <w:r w:rsidR="00D058C1">
                  <w:rPr>
                    <w:rFonts w:eastAsia="Times New Roman" w:cs="Segoe UI"/>
                    <w:sz w:val="14"/>
                    <w:szCs w:val="22"/>
                    <w:lang w:val="en-GB" w:eastAsia="it-IT"/>
                  </w:rPr>
                  <w:t>.</w:t>
                </w:r>
                <w:r w:rsidRPr="00FF727D">
                  <w:rPr>
                    <w:rFonts w:eastAsia="Times New Roman" w:cs="Segoe UI"/>
                    <w:sz w:val="14"/>
                    <w:szCs w:val="22"/>
                    <w:lang w:val="en-GB" w:eastAsia="it-IT"/>
                  </w:rPr>
                  <w:t>66%</w:t>
                </w:r>
              </w:p>
            </w:tc>
            <w:tc>
              <w:tcPr>
                <w:tcW w:w="617" w:type="pct"/>
                <w:shd w:val="clear" w:color="auto" w:fill="FFFFFF" w:themeFill="background2"/>
                <w:vAlign w:val="center"/>
              </w:tcPr>
              <w:p w14:paraId="7146BA54" w14:textId="0FD5E1CB"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2</w:t>
                </w:r>
                <w:r w:rsidR="00D058C1">
                  <w:rPr>
                    <w:rFonts w:eastAsia="Times New Roman" w:cs="Segoe UI"/>
                    <w:sz w:val="14"/>
                    <w:szCs w:val="22"/>
                    <w:lang w:val="en-GB" w:eastAsia="it-IT"/>
                  </w:rPr>
                  <w:t>.</w:t>
                </w:r>
                <w:r w:rsidRPr="00FF727D">
                  <w:rPr>
                    <w:rFonts w:eastAsia="Times New Roman" w:cs="Segoe UI"/>
                    <w:sz w:val="14"/>
                    <w:szCs w:val="22"/>
                    <w:lang w:val="en-GB" w:eastAsia="it-IT"/>
                  </w:rPr>
                  <w:t>94%</w:t>
                </w:r>
              </w:p>
            </w:tc>
            <w:tc>
              <w:tcPr>
                <w:tcW w:w="617" w:type="pct"/>
                <w:shd w:val="clear" w:color="auto" w:fill="FFFFFF" w:themeFill="background2"/>
                <w:vAlign w:val="center"/>
              </w:tcPr>
              <w:p w14:paraId="41671ADB" w14:textId="16419E6C"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1</w:t>
                </w:r>
                <w:r w:rsidR="00D058C1">
                  <w:rPr>
                    <w:rFonts w:eastAsia="Times New Roman" w:cs="Segoe UI"/>
                    <w:sz w:val="14"/>
                    <w:szCs w:val="22"/>
                    <w:lang w:val="en-GB" w:eastAsia="it-IT"/>
                  </w:rPr>
                  <w:t>.</w:t>
                </w:r>
                <w:r w:rsidRPr="00FF727D">
                  <w:rPr>
                    <w:rFonts w:eastAsia="Times New Roman" w:cs="Segoe UI"/>
                    <w:sz w:val="14"/>
                    <w:szCs w:val="22"/>
                    <w:lang w:val="en-GB" w:eastAsia="it-IT"/>
                  </w:rPr>
                  <w:t>43%</w:t>
                </w:r>
              </w:p>
            </w:tc>
            <w:tc>
              <w:tcPr>
                <w:tcW w:w="617" w:type="pct"/>
                <w:shd w:val="clear" w:color="auto" w:fill="FFFFFF" w:themeFill="background2"/>
                <w:vAlign w:val="center"/>
              </w:tcPr>
              <w:p w14:paraId="2B7E2498" w14:textId="0F7C3054"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4</w:t>
                </w:r>
                <w:r w:rsidR="00D058C1">
                  <w:rPr>
                    <w:rFonts w:eastAsia="Times New Roman" w:cs="Segoe UI"/>
                    <w:sz w:val="14"/>
                    <w:szCs w:val="22"/>
                    <w:lang w:val="en-GB" w:eastAsia="it-IT"/>
                  </w:rPr>
                  <w:t>.</w:t>
                </w:r>
                <w:r w:rsidRPr="00FF727D">
                  <w:rPr>
                    <w:rFonts w:eastAsia="Times New Roman" w:cs="Segoe UI"/>
                    <w:sz w:val="14"/>
                    <w:szCs w:val="22"/>
                    <w:lang w:val="en-GB" w:eastAsia="it-IT"/>
                  </w:rPr>
                  <w:t>01%</w:t>
                </w:r>
              </w:p>
            </w:tc>
            <w:tc>
              <w:tcPr>
                <w:tcW w:w="617" w:type="pct"/>
                <w:shd w:val="clear" w:color="auto" w:fill="FFFFFF" w:themeFill="background2"/>
                <w:vAlign w:val="center"/>
              </w:tcPr>
              <w:p w14:paraId="214E9750" w14:textId="5F6BB170" w:rsidR="00FF727D" w:rsidRPr="00FF727D" w:rsidRDefault="00FF727D" w:rsidP="0028096E">
                <w:pPr>
                  <w:spacing w:before="0" w:line="240" w:lineRule="auto"/>
                  <w:jc w:val="center"/>
                  <w:rPr>
                    <w:rFonts w:eastAsia="Times New Roman" w:cs="Segoe UI"/>
                    <w:b/>
                    <w:bCs/>
                    <w:sz w:val="14"/>
                    <w:szCs w:val="22"/>
                    <w:lang w:val="en-GB" w:eastAsia="it-IT"/>
                  </w:rPr>
                </w:pPr>
                <w:r w:rsidRPr="00FF727D">
                  <w:rPr>
                    <w:rFonts w:eastAsia="Times New Roman" w:cs="Segoe UI"/>
                    <w:b/>
                    <w:bCs/>
                    <w:sz w:val="14"/>
                    <w:szCs w:val="22"/>
                    <w:lang w:val="en-GB" w:eastAsia="it-IT"/>
                  </w:rPr>
                  <w:t>5</w:t>
                </w:r>
                <w:r w:rsidR="00D058C1">
                  <w:rPr>
                    <w:rFonts w:eastAsia="Times New Roman" w:cs="Segoe UI"/>
                    <w:b/>
                    <w:bCs/>
                    <w:sz w:val="14"/>
                    <w:szCs w:val="22"/>
                    <w:lang w:val="en-GB" w:eastAsia="it-IT"/>
                  </w:rPr>
                  <w:t>.</w:t>
                </w:r>
                <w:r w:rsidRPr="00FF727D">
                  <w:rPr>
                    <w:rFonts w:eastAsia="Times New Roman" w:cs="Segoe UI"/>
                    <w:b/>
                    <w:bCs/>
                    <w:sz w:val="14"/>
                    <w:szCs w:val="22"/>
                    <w:lang w:val="en-GB" w:eastAsia="it-IT"/>
                  </w:rPr>
                  <w:t>40%</w:t>
                </w:r>
              </w:p>
            </w:tc>
          </w:tr>
          <w:tr w:rsidR="003C4467" w:rsidRPr="003A089A" w14:paraId="39E9AA05" w14:textId="77777777" w:rsidTr="00A875C2">
            <w:trPr>
              <w:trHeight w:val="283"/>
            </w:trPr>
            <w:tc>
              <w:tcPr>
                <w:tcW w:w="656" w:type="pct"/>
                <w:shd w:val="clear" w:color="auto" w:fill="FFFFFF" w:themeFill="background2"/>
                <w:tcMar>
                  <w:top w:w="60" w:type="dxa"/>
                  <w:left w:w="114" w:type="dxa"/>
                  <w:bottom w:w="60" w:type="dxa"/>
                  <w:right w:w="114" w:type="dxa"/>
                </w:tcMar>
                <w:vAlign w:val="center"/>
              </w:tcPr>
              <w:p w14:paraId="61DD7D7C" w14:textId="2DAABE84" w:rsidR="00FF727D" w:rsidRPr="00FF727D" w:rsidRDefault="00FF727D" w:rsidP="003C4467">
                <w:pPr>
                  <w:spacing w:before="0" w:line="240" w:lineRule="auto"/>
                  <w:jc w:val="left"/>
                  <w:rPr>
                    <w:rFonts w:eastAsia="Times New Roman" w:cs="Segoe UI"/>
                    <w:b/>
                    <w:bCs/>
                    <w:sz w:val="14"/>
                    <w:szCs w:val="22"/>
                    <w:lang w:val="en-GB" w:eastAsia="it-IT"/>
                  </w:rPr>
                </w:pPr>
                <w:r w:rsidRPr="00FF727D">
                  <w:rPr>
                    <w:rFonts w:eastAsia="Times New Roman" w:cs="Segoe UI"/>
                    <w:b/>
                    <w:bCs/>
                    <w:sz w:val="14"/>
                    <w:szCs w:val="22"/>
                    <w:lang w:val="en-GB" w:eastAsia="it-IT"/>
                  </w:rPr>
                  <w:t>31 December 2009</w:t>
                </w:r>
              </w:p>
            </w:tc>
            <w:tc>
              <w:tcPr>
                <w:tcW w:w="644" w:type="pct"/>
                <w:shd w:val="clear" w:color="auto" w:fill="FFFFFF" w:themeFill="background2"/>
                <w:tcMar>
                  <w:top w:w="60" w:type="dxa"/>
                  <w:left w:w="114" w:type="dxa"/>
                  <w:bottom w:w="60" w:type="dxa"/>
                  <w:right w:w="114" w:type="dxa"/>
                </w:tcMar>
                <w:vAlign w:val="center"/>
              </w:tcPr>
              <w:p w14:paraId="0923E9DF" w14:textId="0A5B931E"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Defaults 2010</w:t>
                </w:r>
              </w:p>
            </w:tc>
            <w:tc>
              <w:tcPr>
                <w:tcW w:w="617" w:type="pct"/>
                <w:shd w:val="clear" w:color="auto" w:fill="FFFFFF" w:themeFill="background2"/>
                <w:tcMar>
                  <w:top w:w="60" w:type="dxa"/>
                  <w:left w:w="114" w:type="dxa"/>
                  <w:bottom w:w="60" w:type="dxa"/>
                  <w:right w:w="114" w:type="dxa"/>
                </w:tcMar>
                <w:vAlign w:val="center"/>
              </w:tcPr>
              <w:p w14:paraId="41CFD219" w14:textId="5BFA285D"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6</w:t>
                </w:r>
                <w:r w:rsidR="00D058C1">
                  <w:rPr>
                    <w:rFonts w:eastAsia="Times New Roman" w:cs="Segoe UI"/>
                    <w:sz w:val="14"/>
                    <w:szCs w:val="22"/>
                    <w:lang w:val="en-GB" w:eastAsia="it-IT"/>
                  </w:rPr>
                  <w:t>.</w:t>
                </w:r>
                <w:r w:rsidRPr="00FF727D">
                  <w:rPr>
                    <w:rFonts w:eastAsia="Times New Roman" w:cs="Segoe UI"/>
                    <w:sz w:val="14"/>
                    <w:szCs w:val="22"/>
                    <w:lang w:val="en-GB" w:eastAsia="it-IT"/>
                  </w:rPr>
                  <w:t>03%</w:t>
                </w:r>
              </w:p>
            </w:tc>
            <w:tc>
              <w:tcPr>
                <w:tcW w:w="617" w:type="pct"/>
                <w:shd w:val="clear" w:color="auto" w:fill="FFFFFF" w:themeFill="background2"/>
                <w:vAlign w:val="center"/>
              </w:tcPr>
              <w:p w14:paraId="5CBBEADD" w14:textId="2CB87806"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3</w:t>
                </w:r>
                <w:r w:rsidR="00D058C1">
                  <w:rPr>
                    <w:rFonts w:eastAsia="Times New Roman" w:cs="Segoe UI"/>
                    <w:sz w:val="14"/>
                    <w:szCs w:val="22"/>
                    <w:lang w:val="en-GB" w:eastAsia="it-IT"/>
                  </w:rPr>
                  <w:t>.</w:t>
                </w:r>
                <w:r w:rsidRPr="00FF727D">
                  <w:rPr>
                    <w:rFonts w:eastAsia="Times New Roman" w:cs="Segoe UI"/>
                    <w:sz w:val="14"/>
                    <w:szCs w:val="22"/>
                    <w:lang w:val="en-GB" w:eastAsia="it-IT"/>
                  </w:rPr>
                  <w:t>62%</w:t>
                </w:r>
              </w:p>
            </w:tc>
            <w:tc>
              <w:tcPr>
                <w:tcW w:w="617" w:type="pct"/>
                <w:shd w:val="clear" w:color="auto" w:fill="FFFFFF" w:themeFill="background2"/>
                <w:vAlign w:val="center"/>
              </w:tcPr>
              <w:p w14:paraId="302DFBB3" w14:textId="4B34B4F1"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2</w:t>
                </w:r>
                <w:r w:rsidR="00D058C1">
                  <w:rPr>
                    <w:rFonts w:eastAsia="Times New Roman" w:cs="Segoe UI"/>
                    <w:sz w:val="14"/>
                    <w:szCs w:val="22"/>
                    <w:lang w:val="en-GB" w:eastAsia="it-IT"/>
                  </w:rPr>
                  <w:t>.</w:t>
                </w:r>
                <w:r w:rsidRPr="00FF727D">
                  <w:rPr>
                    <w:rFonts w:eastAsia="Times New Roman" w:cs="Segoe UI"/>
                    <w:sz w:val="14"/>
                    <w:szCs w:val="22"/>
                    <w:lang w:val="en-GB" w:eastAsia="it-IT"/>
                  </w:rPr>
                  <w:t>53%</w:t>
                </w:r>
              </w:p>
            </w:tc>
            <w:tc>
              <w:tcPr>
                <w:tcW w:w="617" w:type="pct"/>
                <w:shd w:val="clear" w:color="auto" w:fill="FFFFFF" w:themeFill="background2"/>
                <w:vAlign w:val="center"/>
              </w:tcPr>
              <w:p w14:paraId="6F1DCC94" w14:textId="024D9793"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1</w:t>
                </w:r>
                <w:r w:rsidR="00D058C1">
                  <w:rPr>
                    <w:rFonts w:eastAsia="Times New Roman" w:cs="Segoe UI"/>
                    <w:sz w:val="14"/>
                    <w:szCs w:val="22"/>
                    <w:lang w:val="en-GB" w:eastAsia="it-IT"/>
                  </w:rPr>
                  <w:t>.</w:t>
                </w:r>
                <w:r w:rsidRPr="00FF727D">
                  <w:rPr>
                    <w:rFonts w:eastAsia="Times New Roman" w:cs="Segoe UI"/>
                    <w:sz w:val="14"/>
                    <w:szCs w:val="22"/>
                    <w:lang w:val="en-GB" w:eastAsia="it-IT"/>
                  </w:rPr>
                  <w:t>57%</w:t>
                </w:r>
              </w:p>
            </w:tc>
            <w:tc>
              <w:tcPr>
                <w:tcW w:w="617" w:type="pct"/>
                <w:shd w:val="clear" w:color="auto" w:fill="FFFFFF" w:themeFill="background2"/>
                <w:vAlign w:val="center"/>
              </w:tcPr>
              <w:p w14:paraId="653E3FB3" w14:textId="5BCC4D12"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3</w:t>
                </w:r>
                <w:r w:rsidR="00D058C1">
                  <w:rPr>
                    <w:rFonts w:eastAsia="Times New Roman" w:cs="Segoe UI"/>
                    <w:sz w:val="14"/>
                    <w:szCs w:val="22"/>
                    <w:lang w:val="en-GB" w:eastAsia="it-IT"/>
                  </w:rPr>
                  <w:t>.</w:t>
                </w:r>
                <w:r w:rsidRPr="00FF727D">
                  <w:rPr>
                    <w:rFonts w:eastAsia="Times New Roman" w:cs="Segoe UI"/>
                    <w:sz w:val="14"/>
                    <w:szCs w:val="22"/>
                    <w:lang w:val="en-GB" w:eastAsia="it-IT"/>
                  </w:rPr>
                  <w:t>22%</w:t>
                </w:r>
              </w:p>
            </w:tc>
            <w:tc>
              <w:tcPr>
                <w:tcW w:w="617" w:type="pct"/>
                <w:shd w:val="clear" w:color="auto" w:fill="FFFFFF" w:themeFill="background2"/>
                <w:vAlign w:val="center"/>
              </w:tcPr>
              <w:p w14:paraId="201EB2A3" w14:textId="1BF852D3" w:rsidR="00FF727D" w:rsidRPr="00FF727D" w:rsidRDefault="00FF727D" w:rsidP="0028096E">
                <w:pPr>
                  <w:spacing w:before="0" w:line="240" w:lineRule="auto"/>
                  <w:jc w:val="center"/>
                  <w:rPr>
                    <w:rFonts w:eastAsia="Times New Roman" w:cs="Segoe UI"/>
                    <w:b/>
                    <w:bCs/>
                    <w:sz w:val="14"/>
                    <w:szCs w:val="22"/>
                    <w:lang w:val="en-GB" w:eastAsia="it-IT"/>
                  </w:rPr>
                </w:pPr>
                <w:r w:rsidRPr="00FF727D">
                  <w:rPr>
                    <w:rFonts w:eastAsia="Times New Roman" w:cs="Segoe UI"/>
                    <w:b/>
                    <w:bCs/>
                    <w:sz w:val="14"/>
                    <w:szCs w:val="22"/>
                    <w:lang w:val="en-GB" w:eastAsia="it-IT"/>
                  </w:rPr>
                  <w:t>4</w:t>
                </w:r>
                <w:r w:rsidR="00D058C1">
                  <w:rPr>
                    <w:rFonts w:eastAsia="Times New Roman" w:cs="Segoe UI"/>
                    <w:b/>
                    <w:bCs/>
                    <w:sz w:val="14"/>
                    <w:szCs w:val="22"/>
                    <w:lang w:val="en-GB" w:eastAsia="it-IT"/>
                  </w:rPr>
                  <w:t>.</w:t>
                </w:r>
                <w:r w:rsidRPr="00FF727D">
                  <w:rPr>
                    <w:rFonts w:eastAsia="Times New Roman" w:cs="Segoe UI"/>
                    <w:b/>
                    <w:bCs/>
                    <w:sz w:val="14"/>
                    <w:szCs w:val="22"/>
                    <w:lang w:val="en-GB" w:eastAsia="it-IT"/>
                  </w:rPr>
                  <w:t>42%</w:t>
                </w:r>
              </w:p>
            </w:tc>
          </w:tr>
          <w:tr w:rsidR="003C4467" w:rsidRPr="003A089A" w14:paraId="05D6BC86" w14:textId="77777777" w:rsidTr="00A875C2">
            <w:trPr>
              <w:trHeight w:val="283"/>
            </w:trPr>
            <w:tc>
              <w:tcPr>
                <w:tcW w:w="656" w:type="pct"/>
                <w:shd w:val="clear" w:color="auto" w:fill="FFFFFF" w:themeFill="background2"/>
                <w:tcMar>
                  <w:top w:w="60" w:type="dxa"/>
                  <w:left w:w="114" w:type="dxa"/>
                  <w:bottom w:w="60" w:type="dxa"/>
                  <w:right w:w="114" w:type="dxa"/>
                </w:tcMar>
                <w:vAlign w:val="center"/>
              </w:tcPr>
              <w:p w14:paraId="542C52F6" w14:textId="7E76FEA6" w:rsidR="00FF727D" w:rsidRPr="00FF727D" w:rsidRDefault="00FF727D" w:rsidP="003C4467">
                <w:pPr>
                  <w:spacing w:before="0" w:line="240" w:lineRule="auto"/>
                  <w:jc w:val="left"/>
                  <w:rPr>
                    <w:rFonts w:eastAsia="Times New Roman" w:cs="Segoe UI"/>
                    <w:b/>
                    <w:bCs/>
                    <w:sz w:val="14"/>
                    <w:szCs w:val="22"/>
                    <w:lang w:val="en-GB" w:eastAsia="it-IT"/>
                  </w:rPr>
                </w:pPr>
                <w:r w:rsidRPr="00FF727D">
                  <w:rPr>
                    <w:rFonts w:eastAsia="Times New Roman" w:cs="Segoe UI"/>
                    <w:b/>
                    <w:bCs/>
                    <w:sz w:val="14"/>
                    <w:szCs w:val="22"/>
                    <w:lang w:val="en-GB" w:eastAsia="it-IT"/>
                  </w:rPr>
                  <w:t>31 December 2010</w:t>
                </w:r>
              </w:p>
            </w:tc>
            <w:tc>
              <w:tcPr>
                <w:tcW w:w="644" w:type="pct"/>
                <w:shd w:val="clear" w:color="auto" w:fill="FFFFFF" w:themeFill="background2"/>
                <w:tcMar>
                  <w:top w:w="60" w:type="dxa"/>
                  <w:left w:w="114" w:type="dxa"/>
                  <w:bottom w:w="60" w:type="dxa"/>
                  <w:right w:w="114" w:type="dxa"/>
                </w:tcMar>
                <w:vAlign w:val="center"/>
              </w:tcPr>
              <w:p w14:paraId="43779CB4" w14:textId="361415CD"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Defaults 2011</w:t>
                </w:r>
              </w:p>
            </w:tc>
            <w:tc>
              <w:tcPr>
                <w:tcW w:w="617" w:type="pct"/>
                <w:shd w:val="clear" w:color="auto" w:fill="FFFFFF" w:themeFill="background2"/>
                <w:tcMar>
                  <w:top w:w="60" w:type="dxa"/>
                  <w:left w:w="114" w:type="dxa"/>
                  <w:bottom w:w="60" w:type="dxa"/>
                  <w:right w:w="114" w:type="dxa"/>
                </w:tcMar>
                <w:vAlign w:val="center"/>
              </w:tcPr>
              <w:p w14:paraId="5EC39076" w14:textId="07B465D6"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4</w:t>
                </w:r>
                <w:r w:rsidR="00D058C1">
                  <w:rPr>
                    <w:rFonts w:eastAsia="Times New Roman" w:cs="Segoe UI"/>
                    <w:sz w:val="14"/>
                    <w:szCs w:val="22"/>
                    <w:lang w:val="en-GB" w:eastAsia="it-IT"/>
                  </w:rPr>
                  <w:t>.</w:t>
                </w:r>
                <w:r w:rsidRPr="00FF727D">
                  <w:rPr>
                    <w:rFonts w:eastAsia="Times New Roman" w:cs="Segoe UI"/>
                    <w:sz w:val="14"/>
                    <w:szCs w:val="22"/>
                    <w:lang w:val="en-GB" w:eastAsia="it-IT"/>
                  </w:rPr>
                  <w:t>98%</w:t>
                </w:r>
              </w:p>
            </w:tc>
            <w:tc>
              <w:tcPr>
                <w:tcW w:w="617" w:type="pct"/>
                <w:shd w:val="clear" w:color="auto" w:fill="FFFFFF" w:themeFill="background2"/>
                <w:vAlign w:val="center"/>
              </w:tcPr>
              <w:p w14:paraId="0F89EE5D" w14:textId="34C85FA8"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3</w:t>
                </w:r>
                <w:r w:rsidR="00D058C1">
                  <w:rPr>
                    <w:rFonts w:eastAsia="Times New Roman" w:cs="Segoe UI"/>
                    <w:sz w:val="14"/>
                    <w:szCs w:val="22"/>
                    <w:lang w:val="en-GB" w:eastAsia="it-IT"/>
                  </w:rPr>
                  <w:t>.</w:t>
                </w:r>
                <w:r w:rsidRPr="00FF727D">
                  <w:rPr>
                    <w:rFonts w:eastAsia="Times New Roman" w:cs="Segoe UI"/>
                    <w:sz w:val="14"/>
                    <w:szCs w:val="22"/>
                    <w:lang w:val="en-GB" w:eastAsia="it-IT"/>
                  </w:rPr>
                  <w:t>21%</w:t>
                </w:r>
              </w:p>
            </w:tc>
            <w:tc>
              <w:tcPr>
                <w:tcW w:w="617" w:type="pct"/>
                <w:shd w:val="clear" w:color="auto" w:fill="FFFFFF" w:themeFill="background2"/>
                <w:vAlign w:val="center"/>
              </w:tcPr>
              <w:p w14:paraId="398A240D" w14:textId="5B5E1872"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2</w:t>
                </w:r>
                <w:r w:rsidR="00D058C1">
                  <w:rPr>
                    <w:rFonts w:eastAsia="Times New Roman" w:cs="Segoe UI"/>
                    <w:sz w:val="14"/>
                    <w:szCs w:val="22"/>
                    <w:lang w:val="en-GB" w:eastAsia="it-IT"/>
                  </w:rPr>
                  <w:t>.</w:t>
                </w:r>
                <w:r w:rsidRPr="00FF727D">
                  <w:rPr>
                    <w:rFonts w:eastAsia="Times New Roman" w:cs="Segoe UI"/>
                    <w:sz w:val="14"/>
                    <w:szCs w:val="22"/>
                    <w:lang w:val="en-GB" w:eastAsia="it-IT"/>
                  </w:rPr>
                  <w:t>49%</w:t>
                </w:r>
              </w:p>
            </w:tc>
            <w:tc>
              <w:tcPr>
                <w:tcW w:w="617" w:type="pct"/>
                <w:shd w:val="clear" w:color="auto" w:fill="FFFFFF" w:themeFill="background2"/>
                <w:vAlign w:val="center"/>
              </w:tcPr>
              <w:p w14:paraId="0395DE65" w14:textId="026E0146"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1</w:t>
                </w:r>
                <w:r w:rsidR="00D058C1">
                  <w:rPr>
                    <w:rFonts w:eastAsia="Times New Roman" w:cs="Segoe UI"/>
                    <w:sz w:val="14"/>
                    <w:szCs w:val="22"/>
                    <w:lang w:val="en-GB" w:eastAsia="it-IT"/>
                  </w:rPr>
                  <w:t>.</w:t>
                </w:r>
                <w:r w:rsidRPr="00FF727D">
                  <w:rPr>
                    <w:rFonts w:eastAsia="Times New Roman" w:cs="Segoe UI"/>
                    <w:sz w:val="14"/>
                    <w:szCs w:val="22"/>
                    <w:lang w:val="en-GB" w:eastAsia="it-IT"/>
                  </w:rPr>
                  <w:t>18%</w:t>
                </w:r>
              </w:p>
            </w:tc>
            <w:tc>
              <w:tcPr>
                <w:tcW w:w="617" w:type="pct"/>
                <w:shd w:val="clear" w:color="auto" w:fill="FFFFFF" w:themeFill="background2"/>
                <w:vAlign w:val="center"/>
              </w:tcPr>
              <w:p w14:paraId="278169BD" w14:textId="40A15CEC"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2</w:t>
                </w:r>
                <w:r w:rsidR="00D058C1">
                  <w:rPr>
                    <w:rFonts w:eastAsia="Times New Roman" w:cs="Segoe UI"/>
                    <w:sz w:val="14"/>
                    <w:szCs w:val="22"/>
                    <w:lang w:val="en-GB" w:eastAsia="it-IT"/>
                  </w:rPr>
                  <w:t>.</w:t>
                </w:r>
                <w:r w:rsidRPr="00FF727D">
                  <w:rPr>
                    <w:rFonts w:eastAsia="Times New Roman" w:cs="Segoe UI"/>
                    <w:sz w:val="14"/>
                    <w:szCs w:val="22"/>
                    <w:lang w:val="en-GB" w:eastAsia="it-IT"/>
                  </w:rPr>
                  <w:t>95%</w:t>
                </w:r>
              </w:p>
            </w:tc>
            <w:tc>
              <w:tcPr>
                <w:tcW w:w="617" w:type="pct"/>
                <w:shd w:val="clear" w:color="auto" w:fill="FFFFFF" w:themeFill="background2"/>
                <w:vAlign w:val="center"/>
              </w:tcPr>
              <w:p w14:paraId="2AC22F1C" w14:textId="2884E388" w:rsidR="00FF727D" w:rsidRPr="00FF727D" w:rsidRDefault="00FF727D" w:rsidP="0028096E">
                <w:pPr>
                  <w:spacing w:before="0" w:line="240" w:lineRule="auto"/>
                  <w:jc w:val="center"/>
                  <w:rPr>
                    <w:rFonts w:eastAsia="Times New Roman" w:cs="Segoe UI"/>
                    <w:b/>
                    <w:bCs/>
                    <w:sz w:val="14"/>
                    <w:szCs w:val="22"/>
                    <w:lang w:val="en-GB" w:eastAsia="it-IT"/>
                  </w:rPr>
                </w:pPr>
                <w:r w:rsidRPr="00FF727D">
                  <w:rPr>
                    <w:rFonts w:eastAsia="Times New Roman" w:cs="Segoe UI"/>
                    <w:b/>
                    <w:bCs/>
                    <w:sz w:val="14"/>
                    <w:szCs w:val="22"/>
                    <w:lang w:val="en-GB" w:eastAsia="it-IT"/>
                  </w:rPr>
                  <w:t>3</w:t>
                </w:r>
                <w:r w:rsidR="00D058C1">
                  <w:rPr>
                    <w:rFonts w:eastAsia="Times New Roman" w:cs="Segoe UI"/>
                    <w:b/>
                    <w:bCs/>
                    <w:sz w:val="14"/>
                    <w:szCs w:val="22"/>
                    <w:lang w:val="en-GB" w:eastAsia="it-IT"/>
                  </w:rPr>
                  <w:t>.</w:t>
                </w:r>
                <w:r w:rsidRPr="00FF727D">
                  <w:rPr>
                    <w:rFonts w:eastAsia="Times New Roman" w:cs="Segoe UI"/>
                    <w:b/>
                    <w:bCs/>
                    <w:sz w:val="14"/>
                    <w:szCs w:val="22"/>
                    <w:lang w:val="en-GB" w:eastAsia="it-IT"/>
                  </w:rPr>
                  <w:t>70%</w:t>
                </w:r>
              </w:p>
            </w:tc>
          </w:tr>
          <w:tr w:rsidR="003C4467" w:rsidRPr="003A089A" w14:paraId="4E8953CB" w14:textId="77777777" w:rsidTr="00A875C2">
            <w:trPr>
              <w:trHeight w:val="283"/>
            </w:trPr>
            <w:tc>
              <w:tcPr>
                <w:tcW w:w="656" w:type="pct"/>
                <w:shd w:val="clear" w:color="auto" w:fill="FFFFFF" w:themeFill="background2"/>
                <w:tcMar>
                  <w:top w:w="60" w:type="dxa"/>
                  <w:left w:w="114" w:type="dxa"/>
                  <w:bottom w:w="60" w:type="dxa"/>
                  <w:right w:w="114" w:type="dxa"/>
                </w:tcMar>
                <w:vAlign w:val="center"/>
              </w:tcPr>
              <w:p w14:paraId="1A0B06BF" w14:textId="31D1D238" w:rsidR="00FF727D" w:rsidRPr="00FF727D" w:rsidRDefault="00FF727D" w:rsidP="003C4467">
                <w:pPr>
                  <w:spacing w:before="0" w:line="240" w:lineRule="auto"/>
                  <w:jc w:val="left"/>
                  <w:rPr>
                    <w:rFonts w:eastAsia="Times New Roman" w:cs="Segoe UI"/>
                    <w:b/>
                    <w:bCs/>
                    <w:sz w:val="14"/>
                    <w:szCs w:val="22"/>
                    <w:lang w:val="en-GB" w:eastAsia="it-IT"/>
                  </w:rPr>
                </w:pPr>
                <w:r w:rsidRPr="00FF727D">
                  <w:rPr>
                    <w:rFonts w:eastAsia="Times New Roman" w:cs="Segoe UI"/>
                    <w:b/>
                    <w:bCs/>
                    <w:sz w:val="14"/>
                    <w:szCs w:val="22"/>
                    <w:lang w:val="en-GB" w:eastAsia="it-IT"/>
                  </w:rPr>
                  <w:t>31 December 2011</w:t>
                </w:r>
              </w:p>
            </w:tc>
            <w:tc>
              <w:tcPr>
                <w:tcW w:w="644" w:type="pct"/>
                <w:shd w:val="clear" w:color="auto" w:fill="FFFFFF" w:themeFill="background2"/>
                <w:tcMar>
                  <w:top w:w="60" w:type="dxa"/>
                  <w:left w:w="114" w:type="dxa"/>
                  <w:bottom w:w="60" w:type="dxa"/>
                  <w:right w:w="114" w:type="dxa"/>
                </w:tcMar>
                <w:vAlign w:val="center"/>
              </w:tcPr>
              <w:p w14:paraId="340E8B5A" w14:textId="597A7F44"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Defaults 2012</w:t>
                </w:r>
              </w:p>
            </w:tc>
            <w:tc>
              <w:tcPr>
                <w:tcW w:w="617" w:type="pct"/>
                <w:shd w:val="clear" w:color="auto" w:fill="FFFFFF" w:themeFill="background2"/>
                <w:tcMar>
                  <w:top w:w="60" w:type="dxa"/>
                  <w:left w:w="114" w:type="dxa"/>
                  <w:bottom w:w="60" w:type="dxa"/>
                  <w:right w:w="114" w:type="dxa"/>
                </w:tcMar>
                <w:vAlign w:val="center"/>
              </w:tcPr>
              <w:p w14:paraId="2D04DDDA" w14:textId="2B5CA924"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6</w:t>
                </w:r>
                <w:r w:rsidR="00D058C1">
                  <w:rPr>
                    <w:rFonts w:eastAsia="Times New Roman" w:cs="Segoe UI"/>
                    <w:sz w:val="14"/>
                    <w:szCs w:val="22"/>
                    <w:lang w:val="en-GB" w:eastAsia="it-IT"/>
                  </w:rPr>
                  <w:t>.</w:t>
                </w:r>
                <w:r w:rsidRPr="00FF727D">
                  <w:rPr>
                    <w:rFonts w:eastAsia="Times New Roman" w:cs="Segoe UI"/>
                    <w:sz w:val="14"/>
                    <w:szCs w:val="22"/>
                    <w:lang w:val="en-GB" w:eastAsia="it-IT"/>
                  </w:rPr>
                  <w:t>07%</w:t>
                </w:r>
              </w:p>
            </w:tc>
            <w:tc>
              <w:tcPr>
                <w:tcW w:w="617" w:type="pct"/>
                <w:shd w:val="clear" w:color="auto" w:fill="FFFFFF" w:themeFill="background2"/>
                <w:vAlign w:val="center"/>
              </w:tcPr>
              <w:p w14:paraId="2EBFCC16" w14:textId="2FFAB205"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4</w:t>
                </w:r>
                <w:r w:rsidR="00D058C1">
                  <w:rPr>
                    <w:rFonts w:eastAsia="Times New Roman" w:cs="Segoe UI"/>
                    <w:sz w:val="14"/>
                    <w:szCs w:val="22"/>
                    <w:lang w:val="en-GB" w:eastAsia="it-IT"/>
                  </w:rPr>
                  <w:t>.</w:t>
                </w:r>
                <w:r w:rsidRPr="00FF727D">
                  <w:rPr>
                    <w:rFonts w:eastAsia="Times New Roman" w:cs="Segoe UI"/>
                    <w:sz w:val="14"/>
                    <w:szCs w:val="22"/>
                    <w:lang w:val="en-GB" w:eastAsia="it-IT"/>
                  </w:rPr>
                  <w:t>16%</w:t>
                </w:r>
              </w:p>
            </w:tc>
            <w:tc>
              <w:tcPr>
                <w:tcW w:w="617" w:type="pct"/>
                <w:shd w:val="clear" w:color="auto" w:fill="FFFFFF" w:themeFill="background2"/>
                <w:vAlign w:val="center"/>
              </w:tcPr>
              <w:p w14:paraId="0F05444F" w14:textId="02967B02"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3</w:t>
                </w:r>
                <w:r w:rsidR="00D058C1">
                  <w:rPr>
                    <w:rFonts w:eastAsia="Times New Roman" w:cs="Segoe UI"/>
                    <w:sz w:val="14"/>
                    <w:szCs w:val="22"/>
                    <w:lang w:val="en-GB" w:eastAsia="it-IT"/>
                  </w:rPr>
                  <w:t>.</w:t>
                </w:r>
                <w:r w:rsidRPr="00FF727D">
                  <w:rPr>
                    <w:rFonts w:eastAsia="Times New Roman" w:cs="Segoe UI"/>
                    <w:sz w:val="14"/>
                    <w:szCs w:val="22"/>
                    <w:lang w:val="en-GB" w:eastAsia="it-IT"/>
                  </w:rPr>
                  <w:t>92%</w:t>
                </w:r>
              </w:p>
            </w:tc>
            <w:tc>
              <w:tcPr>
                <w:tcW w:w="617" w:type="pct"/>
                <w:shd w:val="clear" w:color="auto" w:fill="FFFFFF" w:themeFill="background2"/>
                <w:vAlign w:val="center"/>
              </w:tcPr>
              <w:p w14:paraId="581A35C8" w14:textId="4504F592"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2</w:t>
                </w:r>
                <w:r w:rsidR="00D058C1">
                  <w:rPr>
                    <w:rFonts w:eastAsia="Times New Roman" w:cs="Segoe UI"/>
                    <w:sz w:val="14"/>
                    <w:szCs w:val="22"/>
                    <w:lang w:val="en-GB" w:eastAsia="it-IT"/>
                  </w:rPr>
                  <w:t>.</w:t>
                </w:r>
                <w:r w:rsidRPr="00FF727D">
                  <w:rPr>
                    <w:rFonts w:eastAsia="Times New Roman" w:cs="Segoe UI"/>
                    <w:sz w:val="14"/>
                    <w:szCs w:val="22"/>
                    <w:lang w:val="en-GB" w:eastAsia="it-IT"/>
                  </w:rPr>
                  <w:t>05%</w:t>
                </w:r>
              </w:p>
            </w:tc>
            <w:tc>
              <w:tcPr>
                <w:tcW w:w="617" w:type="pct"/>
                <w:shd w:val="clear" w:color="auto" w:fill="FFFFFF" w:themeFill="background2"/>
                <w:vAlign w:val="center"/>
              </w:tcPr>
              <w:p w14:paraId="008E2482" w14:textId="4327B8AB"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4</w:t>
                </w:r>
                <w:r w:rsidR="00D058C1">
                  <w:rPr>
                    <w:rFonts w:eastAsia="Times New Roman" w:cs="Segoe UI"/>
                    <w:sz w:val="14"/>
                    <w:szCs w:val="22"/>
                    <w:lang w:val="en-GB" w:eastAsia="it-IT"/>
                  </w:rPr>
                  <w:t>.</w:t>
                </w:r>
                <w:r w:rsidRPr="00FF727D">
                  <w:rPr>
                    <w:rFonts w:eastAsia="Times New Roman" w:cs="Segoe UI"/>
                    <w:sz w:val="14"/>
                    <w:szCs w:val="22"/>
                    <w:lang w:val="en-GB" w:eastAsia="it-IT"/>
                  </w:rPr>
                  <w:t>06%</w:t>
                </w:r>
              </w:p>
            </w:tc>
            <w:tc>
              <w:tcPr>
                <w:tcW w:w="617" w:type="pct"/>
                <w:shd w:val="clear" w:color="auto" w:fill="FFFFFF" w:themeFill="background2"/>
                <w:vAlign w:val="center"/>
              </w:tcPr>
              <w:p w14:paraId="681B4373" w14:textId="04540E98" w:rsidR="00FF727D" w:rsidRPr="00FF727D" w:rsidRDefault="00FF727D" w:rsidP="0028096E">
                <w:pPr>
                  <w:spacing w:before="0" w:line="240" w:lineRule="auto"/>
                  <w:jc w:val="center"/>
                  <w:rPr>
                    <w:rFonts w:eastAsia="Times New Roman" w:cs="Segoe UI"/>
                    <w:b/>
                    <w:bCs/>
                    <w:sz w:val="14"/>
                    <w:szCs w:val="22"/>
                    <w:lang w:val="en-GB" w:eastAsia="it-IT"/>
                  </w:rPr>
                </w:pPr>
                <w:r w:rsidRPr="00FF727D">
                  <w:rPr>
                    <w:rFonts w:eastAsia="Times New Roman" w:cs="Segoe UI"/>
                    <w:b/>
                    <w:bCs/>
                    <w:sz w:val="14"/>
                    <w:szCs w:val="22"/>
                    <w:lang w:val="en-GB" w:eastAsia="it-IT"/>
                  </w:rPr>
                  <w:t>4</w:t>
                </w:r>
                <w:r w:rsidR="00D058C1">
                  <w:rPr>
                    <w:rFonts w:eastAsia="Times New Roman" w:cs="Segoe UI"/>
                    <w:b/>
                    <w:bCs/>
                    <w:sz w:val="14"/>
                    <w:szCs w:val="22"/>
                    <w:lang w:val="en-GB" w:eastAsia="it-IT"/>
                  </w:rPr>
                  <w:t>.</w:t>
                </w:r>
                <w:r w:rsidRPr="00FF727D">
                  <w:rPr>
                    <w:rFonts w:eastAsia="Times New Roman" w:cs="Segoe UI"/>
                    <w:b/>
                    <w:bCs/>
                    <w:sz w:val="14"/>
                    <w:szCs w:val="22"/>
                    <w:lang w:val="en-GB" w:eastAsia="it-IT"/>
                  </w:rPr>
                  <w:t>26%</w:t>
                </w:r>
              </w:p>
            </w:tc>
          </w:tr>
          <w:tr w:rsidR="003C4467" w:rsidRPr="003A089A" w14:paraId="152ADEE3" w14:textId="77777777" w:rsidTr="00A875C2">
            <w:trPr>
              <w:trHeight w:val="283"/>
            </w:trPr>
            <w:tc>
              <w:tcPr>
                <w:tcW w:w="656" w:type="pct"/>
                <w:shd w:val="clear" w:color="auto" w:fill="FFFFFF" w:themeFill="background2"/>
                <w:tcMar>
                  <w:top w:w="60" w:type="dxa"/>
                  <w:left w:w="114" w:type="dxa"/>
                  <w:bottom w:w="60" w:type="dxa"/>
                  <w:right w:w="114" w:type="dxa"/>
                </w:tcMar>
                <w:vAlign w:val="center"/>
              </w:tcPr>
              <w:p w14:paraId="05607548" w14:textId="3B3D5849" w:rsidR="00FF727D" w:rsidRPr="00FF727D" w:rsidRDefault="00FF727D" w:rsidP="003C4467">
                <w:pPr>
                  <w:spacing w:before="0" w:line="240" w:lineRule="auto"/>
                  <w:jc w:val="left"/>
                  <w:rPr>
                    <w:rFonts w:eastAsia="Times New Roman" w:cs="Segoe UI"/>
                    <w:b/>
                    <w:bCs/>
                    <w:sz w:val="14"/>
                    <w:szCs w:val="22"/>
                    <w:lang w:val="en-GB" w:eastAsia="it-IT"/>
                  </w:rPr>
                </w:pPr>
                <w:r w:rsidRPr="00FF727D">
                  <w:rPr>
                    <w:rFonts w:eastAsia="Times New Roman" w:cs="Segoe UI"/>
                    <w:b/>
                    <w:bCs/>
                    <w:sz w:val="14"/>
                    <w:szCs w:val="22"/>
                    <w:lang w:val="en-GB" w:eastAsia="it-IT"/>
                  </w:rPr>
                  <w:t>31 December 2012</w:t>
                </w:r>
              </w:p>
            </w:tc>
            <w:tc>
              <w:tcPr>
                <w:tcW w:w="644" w:type="pct"/>
                <w:shd w:val="clear" w:color="auto" w:fill="FFFFFF" w:themeFill="background2"/>
                <w:tcMar>
                  <w:top w:w="60" w:type="dxa"/>
                  <w:left w:w="114" w:type="dxa"/>
                  <w:bottom w:w="60" w:type="dxa"/>
                  <w:right w:w="114" w:type="dxa"/>
                </w:tcMar>
                <w:vAlign w:val="center"/>
              </w:tcPr>
              <w:p w14:paraId="607FF929" w14:textId="3B70AA15"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Defaults 2013</w:t>
                </w:r>
              </w:p>
            </w:tc>
            <w:tc>
              <w:tcPr>
                <w:tcW w:w="617" w:type="pct"/>
                <w:shd w:val="clear" w:color="auto" w:fill="FFFFFF" w:themeFill="background2"/>
                <w:tcMar>
                  <w:top w:w="60" w:type="dxa"/>
                  <w:left w:w="114" w:type="dxa"/>
                  <w:bottom w:w="60" w:type="dxa"/>
                  <w:right w:w="114" w:type="dxa"/>
                </w:tcMar>
                <w:vAlign w:val="center"/>
              </w:tcPr>
              <w:p w14:paraId="288687F7" w14:textId="206D9A7F"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3</w:t>
                </w:r>
                <w:r w:rsidR="00D058C1">
                  <w:rPr>
                    <w:rFonts w:eastAsia="Times New Roman" w:cs="Segoe UI"/>
                    <w:sz w:val="14"/>
                    <w:szCs w:val="22"/>
                    <w:lang w:val="en-GB" w:eastAsia="it-IT"/>
                  </w:rPr>
                  <w:t>.</w:t>
                </w:r>
                <w:r w:rsidRPr="00FF727D">
                  <w:rPr>
                    <w:rFonts w:eastAsia="Times New Roman" w:cs="Segoe UI"/>
                    <w:sz w:val="14"/>
                    <w:szCs w:val="22"/>
                    <w:lang w:val="en-GB" w:eastAsia="it-IT"/>
                  </w:rPr>
                  <w:t>61%</w:t>
                </w:r>
              </w:p>
            </w:tc>
            <w:tc>
              <w:tcPr>
                <w:tcW w:w="617" w:type="pct"/>
                <w:shd w:val="clear" w:color="auto" w:fill="FFFFFF" w:themeFill="background2"/>
                <w:vAlign w:val="center"/>
              </w:tcPr>
              <w:p w14:paraId="4C1AE20D" w14:textId="72ABAC04"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4</w:t>
                </w:r>
                <w:r w:rsidR="00D058C1">
                  <w:rPr>
                    <w:rFonts w:eastAsia="Times New Roman" w:cs="Segoe UI"/>
                    <w:sz w:val="14"/>
                    <w:szCs w:val="22"/>
                    <w:lang w:val="en-GB" w:eastAsia="it-IT"/>
                  </w:rPr>
                  <w:t>.</w:t>
                </w:r>
                <w:r w:rsidRPr="00FF727D">
                  <w:rPr>
                    <w:rFonts w:eastAsia="Times New Roman" w:cs="Segoe UI"/>
                    <w:sz w:val="14"/>
                    <w:szCs w:val="22"/>
                    <w:lang w:val="en-GB" w:eastAsia="it-IT"/>
                  </w:rPr>
                  <w:t>01%</w:t>
                </w:r>
              </w:p>
            </w:tc>
            <w:tc>
              <w:tcPr>
                <w:tcW w:w="617" w:type="pct"/>
                <w:shd w:val="clear" w:color="auto" w:fill="FFFFFF" w:themeFill="background2"/>
                <w:vAlign w:val="center"/>
              </w:tcPr>
              <w:p w14:paraId="3E5EE5F6" w14:textId="0A5410AB"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3</w:t>
                </w:r>
                <w:r w:rsidR="00D058C1">
                  <w:rPr>
                    <w:rFonts w:eastAsia="Times New Roman" w:cs="Segoe UI"/>
                    <w:sz w:val="14"/>
                    <w:szCs w:val="22"/>
                    <w:lang w:val="en-GB" w:eastAsia="it-IT"/>
                  </w:rPr>
                  <w:t>.</w:t>
                </w:r>
                <w:r w:rsidRPr="00FF727D">
                  <w:rPr>
                    <w:rFonts w:eastAsia="Times New Roman" w:cs="Segoe UI"/>
                    <w:sz w:val="14"/>
                    <w:szCs w:val="22"/>
                    <w:lang w:val="en-GB" w:eastAsia="it-IT"/>
                  </w:rPr>
                  <w:t>71%</w:t>
                </w:r>
              </w:p>
            </w:tc>
            <w:tc>
              <w:tcPr>
                <w:tcW w:w="617" w:type="pct"/>
                <w:shd w:val="clear" w:color="auto" w:fill="FFFFFF" w:themeFill="background2"/>
                <w:vAlign w:val="center"/>
              </w:tcPr>
              <w:p w14:paraId="59A8F505" w14:textId="42E7E520"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2</w:t>
                </w:r>
                <w:r w:rsidR="00D058C1">
                  <w:rPr>
                    <w:rFonts w:eastAsia="Times New Roman" w:cs="Segoe UI"/>
                    <w:sz w:val="14"/>
                    <w:szCs w:val="22"/>
                    <w:lang w:val="en-GB" w:eastAsia="it-IT"/>
                  </w:rPr>
                  <w:t>.</w:t>
                </w:r>
                <w:r w:rsidRPr="00FF727D">
                  <w:rPr>
                    <w:rFonts w:eastAsia="Times New Roman" w:cs="Segoe UI"/>
                    <w:sz w:val="14"/>
                    <w:szCs w:val="22"/>
                    <w:lang w:val="en-GB" w:eastAsia="it-IT"/>
                  </w:rPr>
                  <w:t>64%</w:t>
                </w:r>
              </w:p>
            </w:tc>
            <w:tc>
              <w:tcPr>
                <w:tcW w:w="617" w:type="pct"/>
                <w:shd w:val="clear" w:color="auto" w:fill="FFFFFF" w:themeFill="background2"/>
                <w:vAlign w:val="center"/>
              </w:tcPr>
              <w:p w14:paraId="41CC94D0" w14:textId="28206E46"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3</w:t>
                </w:r>
                <w:r w:rsidR="00D058C1">
                  <w:rPr>
                    <w:rFonts w:eastAsia="Times New Roman" w:cs="Segoe UI"/>
                    <w:sz w:val="14"/>
                    <w:szCs w:val="22"/>
                    <w:lang w:val="en-GB" w:eastAsia="it-IT"/>
                  </w:rPr>
                  <w:t>.</w:t>
                </w:r>
                <w:r w:rsidRPr="00FF727D">
                  <w:rPr>
                    <w:rFonts w:eastAsia="Times New Roman" w:cs="Segoe UI"/>
                    <w:sz w:val="14"/>
                    <w:szCs w:val="22"/>
                    <w:lang w:val="en-GB" w:eastAsia="it-IT"/>
                  </w:rPr>
                  <w:t>88%</w:t>
                </w:r>
              </w:p>
            </w:tc>
            <w:tc>
              <w:tcPr>
                <w:tcW w:w="617" w:type="pct"/>
                <w:shd w:val="clear" w:color="auto" w:fill="FFFFFF" w:themeFill="background2"/>
                <w:vAlign w:val="center"/>
              </w:tcPr>
              <w:p w14:paraId="6075BACA" w14:textId="697F3768" w:rsidR="00FF727D" w:rsidRPr="00FF727D" w:rsidRDefault="00FF727D" w:rsidP="0028096E">
                <w:pPr>
                  <w:spacing w:before="0" w:line="240" w:lineRule="auto"/>
                  <w:jc w:val="center"/>
                  <w:rPr>
                    <w:rFonts w:eastAsia="Times New Roman" w:cs="Segoe UI"/>
                    <w:b/>
                    <w:bCs/>
                    <w:sz w:val="14"/>
                    <w:szCs w:val="22"/>
                    <w:lang w:val="en-GB" w:eastAsia="it-IT"/>
                  </w:rPr>
                </w:pPr>
                <w:r w:rsidRPr="00FF727D">
                  <w:rPr>
                    <w:rFonts w:eastAsia="Times New Roman" w:cs="Segoe UI"/>
                    <w:b/>
                    <w:bCs/>
                    <w:sz w:val="14"/>
                    <w:szCs w:val="22"/>
                    <w:lang w:val="en-GB" w:eastAsia="it-IT"/>
                  </w:rPr>
                  <w:t>3</w:t>
                </w:r>
                <w:r w:rsidR="00D058C1">
                  <w:rPr>
                    <w:rFonts w:eastAsia="Times New Roman" w:cs="Segoe UI"/>
                    <w:b/>
                    <w:bCs/>
                    <w:sz w:val="14"/>
                    <w:szCs w:val="22"/>
                    <w:lang w:val="en-GB" w:eastAsia="it-IT"/>
                  </w:rPr>
                  <w:t>.</w:t>
                </w:r>
                <w:r w:rsidRPr="00FF727D">
                  <w:rPr>
                    <w:rFonts w:eastAsia="Times New Roman" w:cs="Segoe UI"/>
                    <w:b/>
                    <w:bCs/>
                    <w:sz w:val="14"/>
                    <w:szCs w:val="22"/>
                    <w:lang w:val="en-GB" w:eastAsia="it-IT"/>
                  </w:rPr>
                  <w:t>71%</w:t>
                </w:r>
              </w:p>
            </w:tc>
          </w:tr>
          <w:tr w:rsidR="003C4467" w:rsidRPr="003A089A" w14:paraId="0F47414E" w14:textId="77777777" w:rsidTr="00A875C2">
            <w:trPr>
              <w:trHeight w:val="283"/>
            </w:trPr>
            <w:tc>
              <w:tcPr>
                <w:tcW w:w="656" w:type="pct"/>
                <w:shd w:val="clear" w:color="auto" w:fill="FFFFFF" w:themeFill="background2"/>
                <w:tcMar>
                  <w:top w:w="60" w:type="dxa"/>
                  <w:left w:w="114" w:type="dxa"/>
                  <w:bottom w:w="60" w:type="dxa"/>
                  <w:right w:w="114" w:type="dxa"/>
                </w:tcMar>
                <w:vAlign w:val="center"/>
              </w:tcPr>
              <w:p w14:paraId="28B5735F" w14:textId="68873954" w:rsidR="00FF727D" w:rsidRPr="00FF727D" w:rsidRDefault="00FF727D" w:rsidP="003C4467">
                <w:pPr>
                  <w:spacing w:before="0" w:line="240" w:lineRule="auto"/>
                  <w:jc w:val="left"/>
                  <w:rPr>
                    <w:rFonts w:eastAsia="Times New Roman" w:cs="Segoe UI"/>
                    <w:b/>
                    <w:bCs/>
                    <w:sz w:val="14"/>
                    <w:szCs w:val="22"/>
                    <w:lang w:val="en-GB" w:eastAsia="it-IT"/>
                  </w:rPr>
                </w:pPr>
                <w:r w:rsidRPr="00FF727D">
                  <w:rPr>
                    <w:rFonts w:eastAsia="Times New Roman" w:cs="Segoe UI"/>
                    <w:b/>
                    <w:bCs/>
                    <w:sz w:val="14"/>
                    <w:szCs w:val="22"/>
                    <w:lang w:val="en-GB" w:eastAsia="it-IT"/>
                  </w:rPr>
                  <w:t>31 December 2013</w:t>
                </w:r>
              </w:p>
            </w:tc>
            <w:tc>
              <w:tcPr>
                <w:tcW w:w="644" w:type="pct"/>
                <w:shd w:val="clear" w:color="auto" w:fill="FFFFFF" w:themeFill="background2"/>
                <w:tcMar>
                  <w:top w:w="60" w:type="dxa"/>
                  <w:left w:w="114" w:type="dxa"/>
                  <w:bottom w:w="60" w:type="dxa"/>
                  <w:right w:w="114" w:type="dxa"/>
                </w:tcMar>
                <w:vAlign w:val="center"/>
              </w:tcPr>
              <w:p w14:paraId="5417D33C" w14:textId="26AF3444"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Defaults 2014</w:t>
                </w:r>
              </w:p>
            </w:tc>
            <w:tc>
              <w:tcPr>
                <w:tcW w:w="617" w:type="pct"/>
                <w:shd w:val="clear" w:color="auto" w:fill="FFFFFF" w:themeFill="background2"/>
                <w:tcMar>
                  <w:top w:w="60" w:type="dxa"/>
                  <w:left w:w="114" w:type="dxa"/>
                  <w:bottom w:w="60" w:type="dxa"/>
                  <w:right w:w="114" w:type="dxa"/>
                </w:tcMar>
                <w:vAlign w:val="center"/>
              </w:tcPr>
              <w:p w14:paraId="310F88D4" w14:textId="79B781AB"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2</w:t>
                </w:r>
                <w:r w:rsidR="00D058C1">
                  <w:rPr>
                    <w:rFonts w:eastAsia="Times New Roman" w:cs="Segoe UI"/>
                    <w:sz w:val="14"/>
                    <w:szCs w:val="22"/>
                    <w:lang w:val="en-GB" w:eastAsia="it-IT"/>
                  </w:rPr>
                  <w:t>.</w:t>
                </w:r>
                <w:r w:rsidRPr="00FF727D">
                  <w:rPr>
                    <w:rFonts w:eastAsia="Times New Roman" w:cs="Segoe UI"/>
                    <w:sz w:val="14"/>
                    <w:szCs w:val="22"/>
                    <w:lang w:val="en-GB" w:eastAsia="it-IT"/>
                  </w:rPr>
                  <w:t>63%</w:t>
                </w:r>
              </w:p>
            </w:tc>
            <w:tc>
              <w:tcPr>
                <w:tcW w:w="617" w:type="pct"/>
                <w:shd w:val="clear" w:color="auto" w:fill="FFFFFF" w:themeFill="background2"/>
                <w:vAlign w:val="center"/>
              </w:tcPr>
              <w:p w14:paraId="3C00F34D" w14:textId="7C0503FC"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3</w:t>
                </w:r>
                <w:r w:rsidR="00D058C1">
                  <w:rPr>
                    <w:rFonts w:eastAsia="Times New Roman" w:cs="Segoe UI"/>
                    <w:sz w:val="14"/>
                    <w:szCs w:val="22"/>
                    <w:lang w:val="en-GB" w:eastAsia="it-IT"/>
                  </w:rPr>
                  <w:t>.</w:t>
                </w:r>
                <w:r w:rsidRPr="00FF727D">
                  <w:rPr>
                    <w:rFonts w:eastAsia="Times New Roman" w:cs="Segoe UI"/>
                    <w:sz w:val="14"/>
                    <w:szCs w:val="22"/>
                    <w:lang w:val="en-GB" w:eastAsia="it-IT"/>
                  </w:rPr>
                  <w:t>81%</w:t>
                </w:r>
              </w:p>
            </w:tc>
            <w:tc>
              <w:tcPr>
                <w:tcW w:w="617" w:type="pct"/>
                <w:shd w:val="clear" w:color="auto" w:fill="FFFFFF" w:themeFill="background2"/>
                <w:vAlign w:val="center"/>
              </w:tcPr>
              <w:p w14:paraId="0B8292FD" w14:textId="55C128C6"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3</w:t>
                </w:r>
                <w:r w:rsidR="00D058C1">
                  <w:rPr>
                    <w:rFonts w:eastAsia="Times New Roman" w:cs="Segoe UI"/>
                    <w:sz w:val="14"/>
                    <w:szCs w:val="22"/>
                    <w:lang w:val="en-GB" w:eastAsia="it-IT"/>
                  </w:rPr>
                  <w:t>.</w:t>
                </w:r>
                <w:r w:rsidRPr="00FF727D">
                  <w:rPr>
                    <w:rFonts w:eastAsia="Times New Roman" w:cs="Segoe UI"/>
                    <w:sz w:val="14"/>
                    <w:szCs w:val="22"/>
                    <w:lang w:val="en-GB" w:eastAsia="it-IT"/>
                  </w:rPr>
                  <w:t>34%</w:t>
                </w:r>
              </w:p>
            </w:tc>
            <w:tc>
              <w:tcPr>
                <w:tcW w:w="617" w:type="pct"/>
                <w:shd w:val="clear" w:color="auto" w:fill="FFFFFF" w:themeFill="background2"/>
                <w:vAlign w:val="center"/>
              </w:tcPr>
              <w:p w14:paraId="2B4DA85D" w14:textId="1323125E"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1</w:t>
                </w:r>
                <w:r w:rsidR="00D058C1">
                  <w:rPr>
                    <w:rFonts w:eastAsia="Times New Roman" w:cs="Segoe UI"/>
                    <w:sz w:val="14"/>
                    <w:szCs w:val="22"/>
                    <w:lang w:val="en-GB" w:eastAsia="it-IT"/>
                  </w:rPr>
                  <w:t>.</w:t>
                </w:r>
                <w:r w:rsidRPr="00FF727D">
                  <w:rPr>
                    <w:rFonts w:eastAsia="Times New Roman" w:cs="Segoe UI"/>
                    <w:sz w:val="14"/>
                    <w:szCs w:val="22"/>
                    <w:lang w:val="en-GB" w:eastAsia="it-IT"/>
                  </w:rPr>
                  <w:t>58%</w:t>
                </w:r>
              </w:p>
            </w:tc>
            <w:tc>
              <w:tcPr>
                <w:tcW w:w="617" w:type="pct"/>
                <w:shd w:val="clear" w:color="auto" w:fill="FFFFFF" w:themeFill="background2"/>
                <w:vAlign w:val="center"/>
              </w:tcPr>
              <w:p w14:paraId="5D40B0F4" w14:textId="478BA728"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3</w:t>
                </w:r>
                <w:r w:rsidR="00D058C1">
                  <w:rPr>
                    <w:rFonts w:eastAsia="Times New Roman" w:cs="Segoe UI"/>
                    <w:sz w:val="14"/>
                    <w:szCs w:val="22"/>
                    <w:lang w:val="en-GB" w:eastAsia="it-IT"/>
                  </w:rPr>
                  <w:t>.</w:t>
                </w:r>
                <w:r w:rsidRPr="00FF727D">
                  <w:rPr>
                    <w:rFonts w:eastAsia="Times New Roman" w:cs="Segoe UI"/>
                    <w:sz w:val="14"/>
                    <w:szCs w:val="22"/>
                    <w:lang w:val="en-GB" w:eastAsia="it-IT"/>
                  </w:rPr>
                  <w:t>61%</w:t>
                </w:r>
              </w:p>
            </w:tc>
            <w:tc>
              <w:tcPr>
                <w:tcW w:w="617" w:type="pct"/>
                <w:shd w:val="clear" w:color="auto" w:fill="FFFFFF" w:themeFill="background2"/>
                <w:vAlign w:val="center"/>
              </w:tcPr>
              <w:p w14:paraId="15D17130" w14:textId="1ECC0FFA" w:rsidR="00FF727D" w:rsidRPr="00FF727D" w:rsidRDefault="00FF727D" w:rsidP="0028096E">
                <w:pPr>
                  <w:spacing w:before="0" w:line="240" w:lineRule="auto"/>
                  <w:jc w:val="center"/>
                  <w:rPr>
                    <w:rFonts w:eastAsia="Times New Roman" w:cs="Segoe UI"/>
                    <w:b/>
                    <w:bCs/>
                    <w:sz w:val="14"/>
                    <w:szCs w:val="22"/>
                    <w:lang w:val="en-GB" w:eastAsia="it-IT"/>
                  </w:rPr>
                </w:pPr>
                <w:r w:rsidRPr="00FF727D">
                  <w:rPr>
                    <w:rFonts w:eastAsia="Times New Roman" w:cs="Segoe UI"/>
                    <w:b/>
                    <w:bCs/>
                    <w:sz w:val="14"/>
                    <w:szCs w:val="22"/>
                    <w:lang w:val="en-GB" w:eastAsia="it-IT"/>
                  </w:rPr>
                  <w:t>3</w:t>
                </w:r>
                <w:r w:rsidR="00D058C1">
                  <w:rPr>
                    <w:rFonts w:eastAsia="Times New Roman" w:cs="Segoe UI"/>
                    <w:b/>
                    <w:bCs/>
                    <w:sz w:val="14"/>
                    <w:szCs w:val="22"/>
                    <w:lang w:val="en-GB" w:eastAsia="it-IT"/>
                  </w:rPr>
                  <w:t>.</w:t>
                </w:r>
                <w:r w:rsidRPr="00FF727D">
                  <w:rPr>
                    <w:rFonts w:eastAsia="Times New Roman" w:cs="Segoe UI"/>
                    <w:b/>
                    <w:bCs/>
                    <w:sz w:val="14"/>
                    <w:szCs w:val="22"/>
                    <w:lang w:val="en-GB" w:eastAsia="it-IT"/>
                  </w:rPr>
                  <w:t>23%</w:t>
                </w:r>
              </w:p>
            </w:tc>
          </w:tr>
          <w:tr w:rsidR="003C4467" w:rsidRPr="003A089A" w14:paraId="02610A29" w14:textId="77777777" w:rsidTr="00A875C2">
            <w:trPr>
              <w:trHeight w:val="283"/>
            </w:trPr>
            <w:tc>
              <w:tcPr>
                <w:tcW w:w="656" w:type="pct"/>
                <w:shd w:val="clear" w:color="auto" w:fill="FFFFFF" w:themeFill="background2"/>
                <w:tcMar>
                  <w:top w:w="60" w:type="dxa"/>
                  <w:left w:w="114" w:type="dxa"/>
                  <w:bottom w:w="60" w:type="dxa"/>
                  <w:right w:w="114" w:type="dxa"/>
                </w:tcMar>
                <w:vAlign w:val="center"/>
              </w:tcPr>
              <w:p w14:paraId="3BA10FCC" w14:textId="2C84BE92" w:rsidR="00FF727D" w:rsidRPr="00FF727D" w:rsidRDefault="00FF727D" w:rsidP="003C4467">
                <w:pPr>
                  <w:spacing w:before="0" w:line="240" w:lineRule="auto"/>
                  <w:jc w:val="left"/>
                  <w:rPr>
                    <w:rFonts w:eastAsia="Times New Roman" w:cs="Segoe UI"/>
                    <w:b/>
                    <w:bCs/>
                    <w:sz w:val="14"/>
                    <w:szCs w:val="22"/>
                    <w:lang w:val="en-GB" w:eastAsia="it-IT"/>
                  </w:rPr>
                </w:pPr>
                <w:r w:rsidRPr="00FF727D">
                  <w:rPr>
                    <w:rFonts w:eastAsia="Times New Roman" w:cs="Segoe UI"/>
                    <w:b/>
                    <w:bCs/>
                    <w:sz w:val="14"/>
                    <w:szCs w:val="22"/>
                    <w:lang w:val="en-GB" w:eastAsia="it-IT"/>
                  </w:rPr>
                  <w:t>31 December 2014</w:t>
                </w:r>
              </w:p>
            </w:tc>
            <w:tc>
              <w:tcPr>
                <w:tcW w:w="644" w:type="pct"/>
                <w:shd w:val="clear" w:color="auto" w:fill="FFFFFF" w:themeFill="background2"/>
                <w:tcMar>
                  <w:top w:w="60" w:type="dxa"/>
                  <w:left w:w="114" w:type="dxa"/>
                  <w:bottom w:w="60" w:type="dxa"/>
                  <w:right w:w="114" w:type="dxa"/>
                </w:tcMar>
                <w:vAlign w:val="center"/>
              </w:tcPr>
              <w:p w14:paraId="2CE7E35F" w14:textId="7B8FAC6B"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Defaults 2015</w:t>
                </w:r>
              </w:p>
            </w:tc>
            <w:tc>
              <w:tcPr>
                <w:tcW w:w="617" w:type="pct"/>
                <w:shd w:val="clear" w:color="auto" w:fill="FFFFFF" w:themeFill="background2"/>
                <w:tcMar>
                  <w:top w:w="60" w:type="dxa"/>
                  <w:left w:w="114" w:type="dxa"/>
                  <w:bottom w:w="60" w:type="dxa"/>
                  <w:right w:w="114" w:type="dxa"/>
                </w:tcMar>
                <w:vAlign w:val="center"/>
              </w:tcPr>
              <w:p w14:paraId="570A7A51" w14:textId="76FA65B5"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2</w:t>
                </w:r>
                <w:r w:rsidR="00D058C1">
                  <w:rPr>
                    <w:rFonts w:eastAsia="Times New Roman" w:cs="Segoe UI"/>
                    <w:sz w:val="14"/>
                    <w:szCs w:val="22"/>
                    <w:lang w:val="en-GB" w:eastAsia="it-IT"/>
                  </w:rPr>
                  <w:t>.</w:t>
                </w:r>
                <w:r w:rsidRPr="00FF727D">
                  <w:rPr>
                    <w:rFonts w:eastAsia="Times New Roman" w:cs="Segoe UI"/>
                    <w:sz w:val="14"/>
                    <w:szCs w:val="22"/>
                    <w:lang w:val="en-GB" w:eastAsia="it-IT"/>
                  </w:rPr>
                  <w:t>86%</w:t>
                </w:r>
              </w:p>
            </w:tc>
            <w:tc>
              <w:tcPr>
                <w:tcW w:w="617" w:type="pct"/>
                <w:shd w:val="clear" w:color="auto" w:fill="FFFFFF" w:themeFill="background2"/>
                <w:vAlign w:val="center"/>
              </w:tcPr>
              <w:p w14:paraId="48036837" w14:textId="0D1C34B0"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3</w:t>
                </w:r>
                <w:r w:rsidR="00D058C1">
                  <w:rPr>
                    <w:rFonts w:eastAsia="Times New Roman" w:cs="Segoe UI"/>
                    <w:sz w:val="14"/>
                    <w:szCs w:val="22"/>
                    <w:lang w:val="en-GB" w:eastAsia="it-IT"/>
                  </w:rPr>
                  <w:t>.</w:t>
                </w:r>
                <w:r w:rsidRPr="00FF727D">
                  <w:rPr>
                    <w:rFonts w:eastAsia="Times New Roman" w:cs="Segoe UI"/>
                    <w:sz w:val="14"/>
                    <w:szCs w:val="22"/>
                    <w:lang w:val="en-GB" w:eastAsia="it-IT"/>
                  </w:rPr>
                  <w:t>85%</w:t>
                </w:r>
              </w:p>
            </w:tc>
            <w:tc>
              <w:tcPr>
                <w:tcW w:w="617" w:type="pct"/>
                <w:shd w:val="clear" w:color="auto" w:fill="FFFFFF" w:themeFill="background2"/>
                <w:vAlign w:val="center"/>
              </w:tcPr>
              <w:p w14:paraId="45C1EA4F" w14:textId="30D1565A"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2</w:t>
                </w:r>
                <w:r w:rsidR="00D058C1">
                  <w:rPr>
                    <w:rFonts w:eastAsia="Times New Roman" w:cs="Segoe UI"/>
                    <w:sz w:val="14"/>
                    <w:szCs w:val="22"/>
                    <w:lang w:val="en-GB" w:eastAsia="it-IT"/>
                  </w:rPr>
                  <w:t>.</w:t>
                </w:r>
                <w:r w:rsidRPr="00FF727D">
                  <w:rPr>
                    <w:rFonts w:eastAsia="Times New Roman" w:cs="Segoe UI"/>
                    <w:sz w:val="14"/>
                    <w:szCs w:val="22"/>
                    <w:lang w:val="en-GB" w:eastAsia="it-IT"/>
                  </w:rPr>
                  <w:t>63%</w:t>
                </w:r>
              </w:p>
            </w:tc>
            <w:tc>
              <w:tcPr>
                <w:tcW w:w="617" w:type="pct"/>
                <w:shd w:val="clear" w:color="auto" w:fill="FFFFFF" w:themeFill="background2"/>
                <w:vAlign w:val="center"/>
              </w:tcPr>
              <w:p w14:paraId="3B46BADB" w14:textId="63A8079A"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1</w:t>
                </w:r>
                <w:r w:rsidR="00D058C1">
                  <w:rPr>
                    <w:rFonts w:eastAsia="Times New Roman" w:cs="Segoe UI"/>
                    <w:sz w:val="14"/>
                    <w:szCs w:val="22"/>
                    <w:lang w:val="en-GB" w:eastAsia="it-IT"/>
                  </w:rPr>
                  <w:t>.</w:t>
                </w:r>
                <w:r w:rsidRPr="00FF727D">
                  <w:rPr>
                    <w:rFonts w:eastAsia="Times New Roman" w:cs="Segoe UI"/>
                    <w:sz w:val="14"/>
                    <w:szCs w:val="22"/>
                    <w:lang w:val="en-GB" w:eastAsia="it-IT"/>
                  </w:rPr>
                  <w:t>59%</w:t>
                </w:r>
              </w:p>
            </w:tc>
            <w:tc>
              <w:tcPr>
                <w:tcW w:w="617" w:type="pct"/>
                <w:shd w:val="clear" w:color="auto" w:fill="FFFFFF" w:themeFill="background2"/>
                <w:vAlign w:val="center"/>
              </w:tcPr>
              <w:p w14:paraId="237B3B74" w14:textId="518A082C"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3</w:t>
                </w:r>
                <w:r w:rsidR="00D058C1">
                  <w:rPr>
                    <w:rFonts w:eastAsia="Times New Roman" w:cs="Segoe UI"/>
                    <w:sz w:val="14"/>
                    <w:szCs w:val="22"/>
                    <w:lang w:val="en-GB" w:eastAsia="it-IT"/>
                  </w:rPr>
                  <w:t>.</w:t>
                </w:r>
                <w:r w:rsidRPr="00FF727D">
                  <w:rPr>
                    <w:rFonts w:eastAsia="Times New Roman" w:cs="Segoe UI"/>
                    <w:sz w:val="14"/>
                    <w:szCs w:val="22"/>
                    <w:lang w:val="en-GB" w:eastAsia="it-IT"/>
                  </w:rPr>
                  <w:t>33%</w:t>
                </w:r>
              </w:p>
            </w:tc>
            <w:tc>
              <w:tcPr>
                <w:tcW w:w="617" w:type="pct"/>
                <w:shd w:val="clear" w:color="auto" w:fill="FFFFFF" w:themeFill="background2"/>
                <w:vAlign w:val="center"/>
              </w:tcPr>
              <w:p w14:paraId="49A48717" w14:textId="3C80E056" w:rsidR="00FF727D" w:rsidRPr="00FF727D" w:rsidRDefault="00FF727D" w:rsidP="0028096E">
                <w:pPr>
                  <w:spacing w:before="0" w:line="240" w:lineRule="auto"/>
                  <w:jc w:val="center"/>
                  <w:rPr>
                    <w:rFonts w:eastAsia="Times New Roman" w:cs="Segoe UI"/>
                    <w:b/>
                    <w:bCs/>
                    <w:sz w:val="14"/>
                    <w:szCs w:val="22"/>
                    <w:lang w:val="en-GB" w:eastAsia="it-IT"/>
                  </w:rPr>
                </w:pPr>
                <w:r w:rsidRPr="00FF727D">
                  <w:rPr>
                    <w:rFonts w:eastAsia="Times New Roman" w:cs="Segoe UI"/>
                    <w:b/>
                    <w:bCs/>
                    <w:sz w:val="14"/>
                    <w:szCs w:val="22"/>
                    <w:lang w:val="en-GB" w:eastAsia="it-IT"/>
                  </w:rPr>
                  <w:t>3</w:t>
                </w:r>
                <w:r w:rsidR="00D058C1">
                  <w:rPr>
                    <w:rFonts w:eastAsia="Times New Roman" w:cs="Segoe UI"/>
                    <w:b/>
                    <w:bCs/>
                    <w:sz w:val="14"/>
                    <w:szCs w:val="22"/>
                    <w:lang w:val="en-GB" w:eastAsia="it-IT"/>
                  </w:rPr>
                  <w:t>.</w:t>
                </w:r>
                <w:r w:rsidRPr="00FF727D">
                  <w:rPr>
                    <w:rFonts w:eastAsia="Times New Roman" w:cs="Segoe UI"/>
                    <w:b/>
                    <w:bCs/>
                    <w:sz w:val="14"/>
                    <w:szCs w:val="22"/>
                    <w:lang w:val="en-GB" w:eastAsia="it-IT"/>
                  </w:rPr>
                  <w:t>05%</w:t>
                </w:r>
              </w:p>
            </w:tc>
          </w:tr>
          <w:tr w:rsidR="003C4467" w:rsidRPr="003A089A" w14:paraId="4107C315" w14:textId="77777777" w:rsidTr="00A875C2">
            <w:trPr>
              <w:trHeight w:val="283"/>
            </w:trPr>
            <w:tc>
              <w:tcPr>
                <w:tcW w:w="656" w:type="pct"/>
                <w:shd w:val="clear" w:color="auto" w:fill="FFFFFF" w:themeFill="background2"/>
                <w:tcMar>
                  <w:top w:w="60" w:type="dxa"/>
                  <w:left w:w="114" w:type="dxa"/>
                  <w:bottom w:w="60" w:type="dxa"/>
                  <w:right w:w="114" w:type="dxa"/>
                </w:tcMar>
                <w:vAlign w:val="center"/>
              </w:tcPr>
              <w:p w14:paraId="5FCF81B6" w14:textId="0F6F49C4" w:rsidR="00FF727D" w:rsidRPr="00FF727D" w:rsidRDefault="00FF727D" w:rsidP="003C4467">
                <w:pPr>
                  <w:spacing w:before="0" w:line="240" w:lineRule="auto"/>
                  <w:jc w:val="left"/>
                  <w:rPr>
                    <w:rFonts w:eastAsia="Times New Roman" w:cs="Segoe UI"/>
                    <w:b/>
                    <w:bCs/>
                    <w:sz w:val="14"/>
                    <w:szCs w:val="22"/>
                    <w:lang w:val="en-GB" w:eastAsia="it-IT"/>
                  </w:rPr>
                </w:pPr>
                <w:r w:rsidRPr="00FF727D">
                  <w:rPr>
                    <w:rFonts w:eastAsia="Times New Roman" w:cs="Segoe UI"/>
                    <w:b/>
                    <w:bCs/>
                    <w:sz w:val="14"/>
                    <w:szCs w:val="22"/>
                    <w:lang w:val="en-GB" w:eastAsia="it-IT"/>
                  </w:rPr>
                  <w:t>31 December 2015</w:t>
                </w:r>
              </w:p>
            </w:tc>
            <w:tc>
              <w:tcPr>
                <w:tcW w:w="644" w:type="pct"/>
                <w:shd w:val="clear" w:color="auto" w:fill="FFFFFF" w:themeFill="background2"/>
                <w:tcMar>
                  <w:top w:w="60" w:type="dxa"/>
                  <w:left w:w="114" w:type="dxa"/>
                  <w:bottom w:w="60" w:type="dxa"/>
                  <w:right w:w="114" w:type="dxa"/>
                </w:tcMar>
                <w:vAlign w:val="center"/>
              </w:tcPr>
              <w:p w14:paraId="36B01383" w14:textId="3B6D9B47"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Defaults 2016</w:t>
                </w:r>
              </w:p>
            </w:tc>
            <w:tc>
              <w:tcPr>
                <w:tcW w:w="617" w:type="pct"/>
                <w:shd w:val="clear" w:color="auto" w:fill="FFFFFF" w:themeFill="background2"/>
                <w:tcMar>
                  <w:top w:w="60" w:type="dxa"/>
                  <w:left w:w="114" w:type="dxa"/>
                  <w:bottom w:w="60" w:type="dxa"/>
                  <w:right w:w="114" w:type="dxa"/>
                </w:tcMar>
                <w:vAlign w:val="center"/>
              </w:tcPr>
              <w:p w14:paraId="1BE964C1" w14:textId="0D8E6EB7"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2</w:t>
                </w:r>
                <w:r w:rsidR="00D058C1">
                  <w:rPr>
                    <w:rFonts w:eastAsia="Times New Roman" w:cs="Segoe UI"/>
                    <w:sz w:val="14"/>
                    <w:szCs w:val="22"/>
                    <w:lang w:val="en-GB" w:eastAsia="it-IT"/>
                  </w:rPr>
                  <w:t>.</w:t>
                </w:r>
                <w:r w:rsidRPr="00FF727D">
                  <w:rPr>
                    <w:rFonts w:eastAsia="Times New Roman" w:cs="Segoe UI"/>
                    <w:sz w:val="14"/>
                    <w:szCs w:val="22"/>
                    <w:lang w:val="en-GB" w:eastAsia="it-IT"/>
                  </w:rPr>
                  <w:t>96%</w:t>
                </w:r>
              </w:p>
            </w:tc>
            <w:tc>
              <w:tcPr>
                <w:tcW w:w="617" w:type="pct"/>
                <w:shd w:val="clear" w:color="auto" w:fill="FFFFFF" w:themeFill="background2"/>
                <w:vAlign w:val="center"/>
              </w:tcPr>
              <w:p w14:paraId="63CB039F" w14:textId="4D96D096"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2</w:t>
                </w:r>
                <w:r w:rsidR="00D058C1">
                  <w:rPr>
                    <w:rFonts w:eastAsia="Times New Roman" w:cs="Segoe UI"/>
                    <w:sz w:val="14"/>
                    <w:szCs w:val="22"/>
                    <w:lang w:val="en-GB" w:eastAsia="it-IT"/>
                  </w:rPr>
                  <w:t>.</w:t>
                </w:r>
                <w:r w:rsidRPr="00FF727D">
                  <w:rPr>
                    <w:rFonts w:eastAsia="Times New Roman" w:cs="Segoe UI"/>
                    <w:sz w:val="14"/>
                    <w:szCs w:val="22"/>
                    <w:lang w:val="en-GB" w:eastAsia="it-IT"/>
                  </w:rPr>
                  <w:t>75%</w:t>
                </w:r>
              </w:p>
            </w:tc>
            <w:tc>
              <w:tcPr>
                <w:tcW w:w="617" w:type="pct"/>
                <w:shd w:val="clear" w:color="auto" w:fill="FFFFFF" w:themeFill="background2"/>
                <w:vAlign w:val="center"/>
              </w:tcPr>
              <w:p w14:paraId="7E56DDD9" w14:textId="293AD8B9"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2</w:t>
                </w:r>
                <w:r w:rsidR="00D058C1">
                  <w:rPr>
                    <w:rFonts w:eastAsia="Times New Roman" w:cs="Segoe UI"/>
                    <w:sz w:val="14"/>
                    <w:szCs w:val="22"/>
                    <w:lang w:val="en-GB" w:eastAsia="it-IT"/>
                  </w:rPr>
                  <w:t>.</w:t>
                </w:r>
                <w:r w:rsidRPr="00FF727D">
                  <w:rPr>
                    <w:rFonts w:eastAsia="Times New Roman" w:cs="Segoe UI"/>
                    <w:sz w:val="14"/>
                    <w:szCs w:val="22"/>
                    <w:lang w:val="en-GB" w:eastAsia="it-IT"/>
                  </w:rPr>
                  <w:t>09%</w:t>
                </w:r>
              </w:p>
            </w:tc>
            <w:tc>
              <w:tcPr>
                <w:tcW w:w="617" w:type="pct"/>
                <w:shd w:val="clear" w:color="auto" w:fill="FFFFFF" w:themeFill="background2"/>
                <w:vAlign w:val="center"/>
              </w:tcPr>
              <w:p w14:paraId="6589CE08" w14:textId="7646E8AB"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0</w:t>
                </w:r>
                <w:r w:rsidR="00D058C1">
                  <w:rPr>
                    <w:rFonts w:eastAsia="Times New Roman" w:cs="Segoe UI"/>
                    <w:sz w:val="14"/>
                    <w:szCs w:val="22"/>
                    <w:lang w:val="en-GB" w:eastAsia="it-IT"/>
                  </w:rPr>
                  <w:t>.</w:t>
                </w:r>
                <w:r w:rsidRPr="00FF727D">
                  <w:rPr>
                    <w:rFonts w:eastAsia="Times New Roman" w:cs="Segoe UI"/>
                    <w:sz w:val="14"/>
                    <w:szCs w:val="22"/>
                    <w:lang w:val="en-GB" w:eastAsia="it-IT"/>
                  </w:rPr>
                  <w:t>97%</w:t>
                </w:r>
              </w:p>
            </w:tc>
            <w:tc>
              <w:tcPr>
                <w:tcW w:w="617" w:type="pct"/>
                <w:shd w:val="clear" w:color="auto" w:fill="FFFFFF" w:themeFill="background2"/>
                <w:vAlign w:val="center"/>
              </w:tcPr>
              <w:p w14:paraId="72B20103" w14:textId="00DBA0AA" w:rsidR="00FF727D" w:rsidRPr="00FF727D" w:rsidRDefault="00FF727D"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2</w:t>
                </w:r>
                <w:r w:rsidR="00D058C1">
                  <w:rPr>
                    <w:rFonts w:eastAsia="Times New Roman" w:cs="Segoe UI"/>
                    <w:sz w:val="14"/>
                    <w:szCs w:val="22"/>
                    <w:lang w:val="en-GB" w:eastAsia="it-IT"/>
                  </w:rPr>
                  <w:t>.</w:t>
                </w:r>
                <w:r w:rsidRPr="00FF727D">
                  <w:rPr>
                    <w:rFonts w:eastAsia="Times New Roman" w:cs="Segoe UI"/>
                    <w:sz w:val="14"/>
                    <w:szCs w:val="22"/>
                    <w:lang w:val="en-GB" w:eastAsia="it-IT"/>
                  </w:rPr>
                  <w:t>44%</w:t>
                </w:r>
              </w:p>
            </w:tc>
            <w:tc>
              <w:tcPr>
                <w:tcW w:w="617" w:type="pct"/>
                <w:shd w:val="clear" w:color="auto" w:fill="FFFFFF" w:themeFill="background2"/>
                <w:vAlign w:val="center"/>
              </w:tcPr>
              <w:p w14:paraId="31DDD6D0" w14:textId="54A2E36D" w:rsidR="00FF727D" w:rsidRPr="00FF727D" w:rsidRDefault="00FF727D" w:rsidP="0028096E">
                <w:pPr>
                  <w:spacing w:before="0" w:line="240" w:lineRule="auto"/>
                  <w:jc w:val="center"/>
                  <w:rPr>
                    <w:rFonts w:eastAsia="Times New Roman" w:cs="Segoe UI"/>
                    <w:b/>
                    <w:bCs/>
                    <w:sz w:val="14"/>
                    <w:szCs w:val="22"/>
                    <w:lang w:val="en-GB" w:eastAsia="it-IT"/>
                  </w:rPr>
                </w:pPr>
                <w:r w:rsidRPr="00FF727D">
                  <w:rPr>
                    <w:rFonts w:eastAsia="Times New Roman" w:cs="Segoe UI"/>
                    <w:b/>
                    <w:bCs/>
                    <w:sz w:val="14"/>
                    <w:szCs w:val="22"/>
                    <w:lang w:val="en-GB" w:eastAsia="it-IT"/>
                  </w:rPr>
                  <w:t>2</w:t>
                </w:r>
                <w:r w:rsidR="00D058C1">
                  <w:rPr>
                    <w:rFonts w:eastAsia="Times New Roman" w:cs="Segoe UI"/>
                    <w:b/>
                    <w:bCs/>
                    <w:sz w:val="14"/>
                    <w:szCs w:val="22"/>
                    <w:lang w:val="en-GB" w:eastAsia="it-IT"/>
                  </w:rPr>
                  <w:t>.</w:t>
                </w:r>
                <w:r w:rsidRPr="00FF727D">
                  <w:rPr>
                    <w:rFonts w:eastAsia="Times New Roman" w:cs="Segoe UI"/>
                    <w:b/>
                    <w:bCs/>
                    <w:sz w:val="14"/>
                    <w:szCs w:val="22"/>
                    <w:lang w:val="en-GB" w:eastAsia="it-IT"/>
                  </w:rPr>
                  <w:t>37%</w:t>
                </w:r>
              </w:p>
            </w:tc>
          </w:tr>
          <w:tr w:rsidR="003C4467" w:rsidRPr="003A089A" w14:paraId="7FDAF761" w14:textId="77777777" w:rsidTr="00A875C2">
            <w:trPr>
              <w:trHeight w:val="283"/>
            </w:trPr>
            <w:tc>
              <w:tcPr>
                <w:tcW w:w="656" w:type="pct"/>
                <w:shd w:val="clear" w:color="auto" w:fill="FFFFFF" w:themeFill="background2"/>
                <w:tcMar>
                  <w:top w:w="60" w:type="dxa"/>
                  <w:left w:w="114" w:type="dxa"/>
                  <w:bottom w:w="60" w:type="dxa"/>
                  <w:right w:w="114" w:type="dxa"/>
                </w:tcMar>
                <w:vAlign w:val="center"/>
              </w:tcPr>
              <w:p w14:paraId="61D3E3F4" w14:textId="5A4D945B" w:rsidR="0036210A" w:rsidRPr="00FF727D" w:rsidRDefault="0036210A" w:rsidP="003C4467">
                <w:pPr>
                  <w:spacing w:before="0" w:line="240" w:lineRule="auto"/>
                  <w:jc w:val="left"/>
                  <w:rPr>
                    <w:rFonts w:eastAsia="Times New Roman" w:cs="Segoe UI"/>
                    <w:b/>
                    <w:bCs/>
                    <w:sz w:val="14"/>
                    <w:szCs w:val="22"/>
                    <w:lang w:val="en-GB" w:eastAsia="it-IT"/>
                  </w:rPr>
                </w:pPr>
                <w:r w:rsidRPr="00FF727D">
                  <w:rPr>
                    <w:rFonts w:eastAsia="Times New Roman" w:cs="Segoe UI"/>
                    <w:b/>
                    <w:bCs/>
                    <w:sz w:val="14"/>
                    <w:szCs w:val="22"/>
                    <w:lang w:val="en-GB" w:eastAsia="it-IT"/>
                  </w:rPr>
                  <w:t>31 December 2016</w:t>
                </w:r>
              </w:p>
            </w:tc>
            <w:tc>
              <w:tcPr>
                <w:tcW w:w="644" w:type="pct"/>
                <w:shd w:val="clear" w:color="auto" w:fill="FFFFFF" w:themeFill="background2"/>
                <w:tcMar>
                  <w:top w:w="60" w:type="dxa"/>
                  <w:left w:w="114" w:type="dxa"/>
                  <w:bottom w:w="60" w:type="dxa"/>
                  <w:right w:w="114" w:type="dxa"/>
                </w:tcMar>
                <w:vAlign w:val="center"/>
              </w:tcPr>
              <w:p w14:paraId="18DCF3FD" w14:textId="6D41520E" w:rsidR="0036210A" w:rsidRPr="00FF727D" w:rsidRDefault="0036210A"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Defaults 2017</w:t>
                </w:r>
              </w:p>
            </w:tc>
            <w:tc>
              <w:tcPr>
                <w:tcW w:w="617" w:type="pct"/>
                <w:shd w:val="clear" w:color="auto" w:fill="FFFFFF" w:themeFill="background2"/>
                <w:tcMar>
                  <w:top w:w="60" w:type="dxa"/>
                  <w:left w:w="114" w:type="dxa"/>
                  <w:bottom w:w="60" w:type="dxa"/>
                  <w:right w:w="114" w:type="dxa"/>
                </w:tcMar>
                <w:vAlign w:val="center"/>
              </w:tcPr>
              <w:p w14:paraId="6F88FD69" w14:textId="5CBDE3DC" w:rsidR="0036210A" w:rsidRPr="00FF727D" w:rsidRDefault="0036210A"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1</w:t>
                </w:r>
                <w:r w:rsidR="00D058C1">
                  <w:rPr>
                    <w:rFonts w:eastAsia="Times New Roman" w:cs="Segoe UI"/>
                    <w:sz w:val="14"/>
                    <w:szCs w:val="22"/>
                    <w:lang w:val="en-GB" w:eastAsia="it-IT"/>
                  </w:rPr>
                  <w:t>.</w:t>
                </w:r>
                <w:r w:rsidRPr="00FF727D">
                  <w:rPr>
                    <w:rFonts w:eastAsia="Times New Roman" w:cs="Segoe UI"/>
                    <w:sz w:val="14"/>
                    <w:szCs w:val="22"/>
                    <w:lang w:val="en-GB" w:eastAsia="it-IT"/>
                  </w:rPr>
                  <w:t>58%</w:t>
                </w:r>
              </w:p>
            </w:tc>
            <w:tc>
              <w:tcPr>
                <w:tcW w:w="617" w:type="pct"/>
                <w:shd w:val="clear" w:color="auto" w:fill="FFFFFF" w:themeFill="background2"/>
                <w:vAlign w:val="center"/>
              </w:tcPr>
              <w:p w14:paraId="756E9070" w14:textId="273E0A1B" w:rsidR="0036210A" w:rsidRPr="00FF727D" w:rsidRDefault="0036210A"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1</w:t>
                </w:r>
                <w:r w:rsidR="00D058C1">
                  <w:rPr>
                    <w:rFonts w:eastAsia="Times New Roman" w:cs="Segoe UI"/>
                    <w:sz w:val="14"/>
                    <w:szCs w:val="22"/>
                    <w:lang w:val="en-GB" w:eastAsia="it-IT"/>
                  </w:rPr>
                  <w:t>.</w:t>
                </w:r>
                <w:r w:rsidRPr="00FF727D">
                  <w:rPr>
                    <w:rFonts w:eastAsia="Times New Roman" w:cs="Segoe UI"/>
                    <w:sz w:val="14"/>
                    <w:szCs w:val="22"/>
                    <w:lang w:val="en-GB" w:eastAsia="it-IT"/>
                  </w:rPr>
                  <w:t>64%</w:t>
                </w:r>
              </w:p>
            </w:tc>
            <w:tc>
              <w:tcPr>
                <w:tcW w:w="617" w:type="pct"/>
                <w:shd w:val="clear" w:color="auto" w:fill="FFFFFF" w:themeFill="background2"/>
                <w:vAlign w:val="center"/>
              </w:tcPr>
              <w:p w14:paraId="2DA81D16" w14:textId="056A3C77" w:rsidR="0036210A" w:rsidRPr="00FF727D" w:rsidRDefault="0036210A"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1</w:t>
                </w:r>
                <w:r w:rsidR="00D058C1">
                  <w:rPr>
                    <w:rFonts w:eastAsia="Times New Roman" w:cs="Segoe UI"/>
                    <w:sz w:val="14"/>
                    <w:szCs w:val="22"/>
                    <w:lang w:val="en-GB" w:eastAsia="it-IT"/>
                  </w:rPr>
                  <w:t>.</w:t>
                </w:r>
                <w:r w:rsidRPr="00FF727D">
                  <w:rPr>
                    <w:rFonts w:eastAsia="Times New Roman" w:cs="Segoe UI"/>
                    <w:sz w:val="14"/>
                    <w:szCs w:val="22"/>
                    <w:lang w:val="en-GB" w:eastAsia="it-IT"/>
                  </w:rPr>
                  <w:t>59%</w:t>
                </w:r>
              </w:p>
            </w:tc>
            <w:tc>
              <w:tcPr>
                <w:tcW w:w="617" w:type="pct"/>
                <w:shd w:val="clear" w:color="auto" w:fill="FFFFFF" w:themeFill="background2"/>
                <w:vAlign w:val="center"/>
              </w:tcPr>
              <w:p w14:paraId="2570AD56" w14:textId="6D9AD2A7" w:rsidR="0036210A" w:rsidRPr="00FF727D" w:rsidRDefault="0036210A"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1</w:t>
                </w:r>
                <w:r w:rsidR="00D058C1">
                  <w:rPr>
                    <w:rFonts w:eastAsia="Times New Roman" w:cs="Segoe UI"/>
                    <w:sz w:val="14"/>
                    <w:szCs w:val="22"/>
                    <w:lang w:val="en-GB" w:eastAsia="it-IT"/>
                  </w:rPr>
                  <w:t>.</w:t>
                </w:r>
                <w:r w:rsidRPr="00FF727D">
                  <w:rPr>
                    <w:rFonts w:eastAsia="Times New Roman" w:cs="Segoe UI"/>
                    <w:sz w:val="14"/>
                    <w:szCs w:val="22"/>
                    <w:lang w:val="en-GB" w:eastAsia="it-IT"/>
                  </w:rPr>
                  <w:t>37%</w:t>
                </w:r>
              </w:p>
            </w:tc>
            <w:tc>
              <w:tcPr>
                <w:tcW w:w="617" w:type="pct"/>
                <w:shd w:val="clear" w:color="auto" w:fill="FFFFFF" w:themeFill="background2"/>
                <w:vAlign w:val="center"/>
              </w:tcPr>
              <w:p w14:paraId="6EB675A2" w14:textId="22427D63" w:rsidR="0036210A" w:rsidRPr="00FF727D" w:rsidRDefault="0036210A"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1</w:t>
                </w:r>
                <w:r w:rsidR="00D058C1">
                  <w:rPr>
                    <w:rFonts w:eastAsia="Times New Roman" w:cs="Segoe UI"/>
                    <w:sz w:val="14"/>
                    <w:szCs w:val="22"/>
                    <w:lang w:val="en-GB" w:eastAsia="it-IT"/>
                  </w:rPr>
                  <w:t>.</w:t>
                </w:r>
                <w:r w:rsidRPr="00FF727D">
                  <w:rPr>
                    <w:rFonts w:eastAsia="Times New Roman" w:cs="Segoe UI"/>
                    <w:sz w:val="14"/>
                    <w:szCs w:val="22"/>
                    <w:lang w:val="en-GB" w:eastAsia="it-IT"/>
                  </w:rPr>
                  <w:t>62%</w:t>
                </w:r>
              </w:p>
            </w:tc>
            <w:tc>
              <w:tcPr>
                <w:tcW w:w="617" w:type="pct"/>
                <w:shd w:val="clear" w:color="auto" w:fill="FFFFFF" w:themeFill="background2"/>
                <w:vAlign w:val="center"/>
              </w:tcPr>
              <w:p w14:paraId="68CBCD4C" w14:textId="4D2AA59B" w:rsidR="0036210A" w:rsidRPr="00FF727D" w:rsidRDefault="0036210A" w:rsidP="0028096E">
                <w:pPr>
                  <w:spacing w:before="0" w:line="240" w:lineRule="auto"/>
                  <w:jc w:val="center"/>
                  <w:rPr>
                    <w:rFonts w:eastAsia="Times New Roman" w:cs="Segoe UI"/>
                    <w:b/>
                    <w:bCs/>
                    <w:sz w:val="14"/>
                    <w:szCs w:val="22"/>
                    <w:lang w:val="en-GB" w:eastAsia="it-IT"/>
                  </w:rPr>
                </w:pPr>
                <w:r w:rsidRPr="00FF727D">
                  <w:rPr>
                    <w:rFonts w:eastAsia="Times New Roman" w:cs="Segoe UI"/>
                    <w:b/>
                    <w:bCs/>
                    <w:sz w:val="14"/>
                    <w:szCs w:val="22"/>
                    <w:lang w:val="en-GB" w:eastAsia="it-IT"/>
                  </w:rPr>
                  <w:t>1</w:t>
                </w:r>
                <w:r w:rsidR="00D058C1">
                  <w:rPr>
                    <w:rFonts w:eastAsia="Times New Roman" w:cs="Segoe UI"/>
                    <w:b/>
                    <w:bCs/>
                    <w:sz w:val="14"/>
                    <w:szCs w:val="22"/>
                    <w:lang w:val="en-GB" w:eastAsia="it-IT"/>
                  </w:rPr>
                  <w:t>.</w:t>
                </w:r>
                <w:r w:rsidRPr="00FF727D">
                  <w:rPr>
                    <w:rFonts w:eastAsia="Times New Roman" w:cs="Segoe UI"/>
                    <w:b/>
                    <w:bCs/>
                    <w:sz w:val="14"/>
                    <w:szCs w:val="22"/>
                    <w:lang w:val="en-GB" w:eastAsia="it-IT"/>
                  </w:rPr>
                  <w:t>58%</w:t>
                </w:r>
              </w:p>
            </w:tc>
          </w:tr>
          <w:tr w:rsidR="003C4467" w:rsidRPr="003A089A" w14:paraId="2EC0CBAC" w14:textId="77777777" w:rsidTr="00A875C2">
            <w:trPr>
              <w:trHeight w:val="283"/>
            </w:trPr>
            <w:tc>
              <w:tcPr>
                <w:tcW w:w="656" w:type="pct"/>
                <w:shd w:val="clear" w:color="auto" w:fill="FFFFFF" w:themeFill="background2"/>
                <w:tcMar>
                  <w:top w:w="60" w:type="dxa"/>
                  <w:left w:w="114" w:type="dxa"/>
                  <w:bottom w:w="60" w:type="dxa"/>
                  <w:right w:w="114" w:type="dxa"/>
                </w:tcMar>
                <w:vAlign w:val="center"/>
              </w:tcPr>
              <w:p w14:paraId="0E513B91" w14:textId="305E43F1" w:rsidR="0036210A" w:rsidRPr="00FF727D" w:rsidRDefault="0036210A" w:rsidP="003C4467">
                <w:pPr>
                  <w:spacing w:before="0" w:line="240" w:lineRule="auto"/>
                  <w:jc w:val="left"/>
                  <w:rPr>
                    <w:rFonts w:eastAsia="Times New Roman" w:cs="Segoe UI"/>
                    <w:b/>
                    <w:bCs/>
                    <w:sz w:val="14"/>
                    <w:szCs w:val="22"/>
                    <w:lang w:val="en-GB" w:eastAsia="it-IT"/>
                  </w:rPr>
                </w:pPr>
                <w:r w:rsidRPr="00FF727D">
                  <w:rPr>
                    <w:rFonts w:eastAsia="Times New Roman" w:cs="Segoe UI"/>
                    <w:b/>
                    <w:bCs/>
                    <w:sz w:val="14"/>
                    <w:szCs w:val="22"/>
                    <w:lang w:val="en-GB" w:eastAsia="it-IT"/>
                  </w:rPr>
                  <w:t>31 December 2017</w:t>
                </w:r>
              </w:p>
            </w:tc>
            <w:tc>
              <w:tcPr>
                <w:tcW w:w="644" w:type="pct"/>
                <w:shd w:val="clear" w:color="auto" w:fill="FFFFFF" w:themeFill="background2"/>
                <w:tcMar>
                  <w:top w:w="60" w:type="dxa"/>
                  <w:left w:w="114" w:type="dxa"/>
                  <w:bottom w:w="60" w:type="dxa"/>
                  <w:right w:w="114" w:type="dxa"/>
                </w:tcMar>
                <w:vAlign w:val="center"/>
              </w:tcPr>
              <w:p w14:paraId="5D66D429" w14:textId="2B6137EA" w:rsidR="0036210A" w:rsidRPr="00FF727D" w:rsidRDefault="0036210A"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Defaults 2018</w:t>
                </w:r>
              </w:p>
            </w:tc>
            <w:tc>
              <w:tcPr>
                <w:tcW w:w="617" w:type="pct"/>
                <w:shd w:val="clear" w:color="auto" w:fill="FFFFFF" w:themeFill="background2"/>
                <w:tcMar>
                  <w:top w:w="60" w:type="dxa"/>
                  <w:left w:w="114" w:type="dxa"/>
                  <w:bottom w:w="60" w:type="dxa"/>
                  <w:right w:w="114" w:type="dxa"/>
                </w:tcMar>
                <w:vAlign w:val="center"/>
              </w:tcPr>
              <w:p w14:paraId="4CE6025C" w14:textId="005E09E0" w:rsidR="0036210A" w:rsidRPr="00FF727D" w:rsidRDefault="0036210A"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1</w:t>
                </w:r>
                <w:r w:rsidR="00D058C1">
                  <w:rPr>
                    <w:rFonts w:eastAsia="Times New Roman" w:cs="Segoe UI"/>
                    <w:sz w:val="14"/>
                    <w:szCs w:val="22"/>
                    <w:lang w:val="en-GB" w:eastAsia="it-IT"/>
                  </w:rPr>
                  <w:t>.</w:t>
                </w:r>
                <w:r w:rsidRPr="00FF727D">
                  <w:rPr>
                    <w:rFonts w:eastAsia="Times New Roman" w:cs="Segoe UI"/>
                    <w:sz w:val="14"/>
                    <w:szCs w:val="22"/>
                    <w:lang w:val="en-GB" w:eastAsia="it-IT"/>
                  </w:rPr>
                  <w:t>23%</w:t>
                </w:r>
              </w:p>
            </w:tc>
            <w:tc>
              <w:tcPr>
                <w:tcW w:w="617" w:type="pct"/>
                <w:shd w:val="clear" w:color="auto" w:fill="FFFFFF" w:themeFill="background2"/>
                <w:vAlign w:val="center"/>
              </w:tcPr>
              <w:p w14:paraId="2EF5589E" w14:textId="4796B5F8" w:rsidR="0036210A" w:rsidRPr="00FF727D" w:rsidRDefault="0036210A"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1</w:t>
                </w:r>
                <w:r w:rsidR="00D058C1">
                  <w:rPr>
                    <w:rFonts w:eastAsia="Times New Roman" w:cs="Segoe UI"/>
                    <w:sz w:val="14"/>
                    <w:szCs w:val="22"/>
                    <w:lang w:val="en-GB" w:eastAsia="it-IT"/>
                  </w:rPr>
                  <w:t>.</w:t>
                </w:r>
                <w:r w:rsidRPr="00FF727D">
                  <w:rPr>
                    <w:rFonts w:eastAsia="Times New Roman" w:cs="Segoe UI"/>
                    <w:sz w:val="14"/>
                    <w:szCs w:val="22"/>
                    <w:lang w:val="en-GB" w:eastAsia="it-IT"/>
                  </w:rPr>
                  <w:t>57%</w:t>
                </w:r>
              </w:p>
            </w:tc>
            <w:tc>
              <w:tcPr>
                <w:tcW w:w="617" w:type="pct"/>
                <w:shd w:val="clear" w:color="auto" w:fill="FFFFFF" w:themeFill="background2"/>
                <w:vAlign w:val="center"/>
              </w:tcPr>
              <w:p w14:paraId="15556D08" w14:textId="6F85F6AE" w:rsidR="0036210A" w:rsidRPr="00FF727D" w:rsidRDefault="0036210A"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1</w:t>
                </w:r>
                <w:r w:rsidR="00D058C1">
                  <w:rPr>
                    <w:rFonts w:eastAsia="Times New Roman" w:cs="Segoe UI"/>
                    <w:sz w:val="14"/>
                    <w:szCs w:val="22"/>
                    <w:lang w:val="en-GB" w:eastAsia="it-IT"/>
                  </w:rPr>
                  <w:t>.</w:t>
                </w:r>
                <w:r w:rsidRPr="00FF727D">
                  <w:rPr>
                    <w:rFonts w:eastAsia="Times New Roman" w:cs="Segoe UI"/>
                    <w:sz w:val="14"/>
                    <w:szCs w:val="22"/>
                    <w:lang w:val="en-GB" w:eastAsia="it-IT"/>
                  </w:rPr>
                  <w:t>49%</w:t>
                </w:r>
              </w:p>
            </w:tc>
            <w:tc>
              <w:tcPr>
                <w:tcW w:w="617" w:type="pct"/>
                <w:shd w:val="clear" w:color="auto" w:fill="FFFFFF" w:themeFill="background2"/>
                <w:vAlign w:val="center"/>
              </w:tcPr>
              <w:p w14:paraId="09449843" w14:textId="4368DE39" w:rsidR="0036210A" w:rsidRPr="00FF727D" w:rsidRDefault="0036210A"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1</w:t>
                </w:r>
                <w:r w:rsidR="00D058C1">
                  <w:rPr>
                    <w:rFonts w:eastAsia="Times New Roman" w:cs="Segoe UI"/>
                    <w:sz w:val="14"/>
                    <w:szCs w:val="22"/>
                    <w:lang w:val="en-GB" w:eastAsia="it-IT"/>
                  </w:rPr>
                  <w:t>.</w:t>
                </w:r>
                <w:r w:rsidRPr="00FF727D">
                  <w:rPr>
                    <w:rFonts w:eastAsia="Times New Roman" w:cs="Segoe UI"/>
                    <w:sz w:val="14"/>
                    <w:szCs w:val="22"/>
                    <w:lang w:val="en-GB" w:eastAsia="it-IT"/>
                  </w:rPr>
                  <w:t>00%</w:t>
                </w:r>
              </w:p>
            </w:tc>
            <w:tc>
              <w:tcPr>
                <w:tcW w:w="617" w:type="pct"/>
                <w:shd w:val="clear" w:color="auto" w:fill="FFFFFF" w:themeFill="background2"/>
                <w:vAlign w:val="center"/>
              </w:tcPr>
              <w:p w14:paraId="2791F957" w14:textId="1B518A9C" w:rsidR="0036210A" w:rsidRPr="00FF727D" w:rsidRDefault="0036210A"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1</w:t>
                </w:r>
                <w:r w:rsidR="00D058C1">
                  <w:rPr>
                    <w:rFonts w:eastAsia="Times New Roman" w:cs="Segoe UI"/>
                    <w:sz w:val="14"/>
                    <w:szCs w:val="22"/>
                    <w:lang w:val="en-GB" w:eastAsia="it-IT"/>
                  </w:rPr>
                  <w:t>.</w:t>
                </w:r>
                <w:r w:rsidRPr="00FF727D">
                  <w:rPr>
                    <w:rFonts w:eastAsia="Times New Roman" w:cs="Segoe UI"/>
                    <w:sz w:val="14"/>
                    <w:szCs w:val="22"/>
                    <w:lang w:val="en-GB" w:eastAsia="it-IT"/>
                  </w:rPr>
                  <w:t>53%</w:t>
                </w:r>
              </w:p>
            </w:tc>
            <w:tc>
              <w:tcPr>
                <w:tcW w:w="617" w:type="pct"/>
                <w:shd w:val="clear" w:color="auto" w:fill="FFFFFF" w:themeFill="background2"/>
                <w:vAlign w:val="center"/>
              </w:tcPr>
              <w:p w14:paraId="26173E85" w14:textId="6E0761BC" w:rsidR="0036210A" w:rsidRPr="00FF727D" w:rsidRDefault="0036210A" w:rsidP="0028096E">
                <w:pPr>
                  <w:spacing w:before="0" w:line="240" w:lineRule="auto"/>
                  <w:jc w:val="center"/>
                  <w:rPr>
                    <w:rFonts w:eastAsia="Times New Roman" w:cs="Segoe UI"/>
                    <w:b/>
                    <w:bCs/>
                    <w:sz w:val="14"/>
                    <w:szCs w:val="22"/>
                    <w:lang w:val="en-GB" w:eastAsia="it-IT"/>
                  </w:rPr>
                </w:pPr>
                <w:r w:rsidRPr="00FF727D">
                  <w:rPr>
                    <w:rFonts w:eastAsia="Times New Roman" w:cs="Segoe UI"/>
                    <w:b/>
                    <w:bCs/>
                    <w:sz w:val="14"/>
                    <w:szCs w:val="22"/>
                    <w:lang w:val="en-GB" w:eastAsia="it-IT"/>
                  </w:rPr>
                  <w:t>1</w:t>
                </w:r>
                <w:r w:rsidR="00D058C1">
                  <w:rPr>
                    <w:rFonts w:eastAsia="Times New Roman" w:cs="Segoe UI"/>
                    <w:b/>
                    <w:bCs/>
                    <w:sz w:val="14"/>
                    <w:szCs w:val="22"/>
                    <w:lang w:val="en-GB" w:eastAsia="it-IT"/>
                  </w:rPr>
                  <w:t>.</w:t>
                </w:r>
                <w:r w:rsidRPr="00FF727D">
                  <w:rPr>
                    <w:rFonts w:eastAsia="Times New Roman" w:cs="Segoe UI"/>
                    <w:b/>
                    <w:bCs/>
                    <w:sz w:val="14"/>
                    <w:szCs w:val="22"/>
                    <w:lang w:val="en-GB" w:eastAsia="it-IT"/>
                  </w:rPr>
                  <w:t>38%</w:t>
                </w:r>
              </w:p>
            </w:tc>
          </w:tr>
          <w:tr w:rsidR="003C4467" w:rsidRPr="003A089A" w14:paraId="3397DDF9" w14:textId="77777777" w:rsidTr="00A875C2">
            <w:trPr>
              <w:trHeight w:val="283"/>
            </w:trPr>
            <w:tc>
              <w:tcPr>
                <w:tcW w:w="656" w:type="pct"/>
                <w:shd w:val="clear" w:color="auto" w:fill="FFFFFF" w:themeFill="background2"/>
                <w:tcMar>
                  <w:top w:w="60" w:type="dxa"/>
                  <w:left w:w="114" w:type="dxa"/>
                  <w:bottom w:w="60" w:type="dxa"/>
                  <w:right w:w="114" w:type="dxa"/>
                </w:tcMar>
                <w:vAlign w:val="center"/>
              </w:tcPr>
              <w:p w14:paraId="3552616C" w14:textId="2FBDD2AE" w:rsidR="0036210A" w:rsidRPr="00FF727D" w:rsidRDefault="0036210A" w:rsidP="003C4467">
                <w:pPr>
                  <w:spacing w:before="0" w:line="240" w:lineRule="auto"/>
                  <w:jc w:val="left"/>
                  <w:rPr>
                    <w:rFonts w:eastAsia="Times New Roman" w:cs="Segoe UI"/>
                    <w:b/>
                    <w:bCs/>
                    <w:sz w:val="14"/>
                    <w:szCs w:val="22"/>
                    <w:lang w:val="en-GB" w:eastAsia="it-IT"/>
                  </w:rPr>
                </w:pPr>
                <w:r w:rsidRPr="00FF727D">
                  <w:rPr>
                    <w:rFonts w:eastAsia="Times New Roman" w:cs="Segoe UI"/>
                    <w:b/>
                    <w:bCs/>
                    <w:sz w:val="14"/>
                    <w:szCs w:val="22"/>
                    <w:lang w:val="en-GB" w:eastAsia="it-IT"/>
                  </w:rPr>
                  <w:t>31 December 2018</w:t>
                </w:r>
              </w:p>
            </w:tc>
            <w:tc>
              <w:tcPr>
                <w:tcW w:w="644" w:type="pct"/>
                <w:shd w:val="clear" w:color="auto" w:fill="FFFFFF" w:themeFill="background2"/>
                <w:tcMar>
                  <w:top w:w="60" w:type="dxa"/>
                  <w:left w:w="114" w:type="dxa"/>
                  <w:bottom w:w="60" w:type="dxa"/>
                  <w:right w:w="114" w:type="dxa"/>
                </w:tcMar>
                <w:vAlign w:val="center"/>
              </w:tcPr>
              <w:p w14:paraId="34704134" w14:textId="204825F8" w:rsidR="0036210A" w:rsidRPr="00FF727D" w:rsidRDefault="0036210A"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Defaults 2019</w:t>
                </w:r>
              </w:p>
            </w:tc>
            <w:tc>
              <w:tcPr>
                <w:tcW w:w="617" w:type="pct"/>
                <w:shd w:val="clear" w:color="auto" w:fill="FFFFFF" w:themeFill="background2"/>
                <w:tcMar>
                  <w:top w:w="60" w:type="dxa"/>
                  <w:left w:w="114" w:type="dxa"/>
                  <w:bottom w:w="60" w:type="dxa"/>
                  <w:right w:w="114" w:type="dxa"/>
                </w:tcMar>
                <w:vAlign w:val="center"/>
              </w:tcPr>
              <w:p w14:paraId="518240FB" w14:textId="46705A03" w:rsidR="0036210A" w:rsidRPr="00FF727D" w:rsidRDefault="0036210A"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1</w:t>
                </w:r>
                <w:r w:rsidR="00D058C1">
                  <w:rPr>
                    <w:rFonts w:eastAsia="Times New Roman" w:cs="Segoe UI"/>
                    <w:sz w:val="14"/>
                    <w:szCs w:val="22"/>
                    <w:lang w:val="en-GB" w:eastAsia="it-IT"/>
                  </w:rPr>
                  <w:t>.</w:t>
                </w:r>
                <w:r w:rsidRPr="00FF727D">
                  <w:rPr>
                    <w:rFonts w:eastAsia="Times New Roman" w:cs="Segoe UI"/>
                    <w:sz w:val="14"/>
                    <w:szCs w:val="22"/>
                    <w:lang w:val="en-GB" w:eastAsia="it-IT"/>
                  </w:rPr>
                  <w:t>07%</w:t>
                </w:r>
              </w:p>
            </w:tc>
            <w:tc>
              <w:tcPr>
                <w:tcW w:w="617" w:type="pct"/>
                <w:shd w:val="clear" w:color="auto" w:fill="FFFFFF" w:themeFill="background2"/>
                <w:vAlign w:val="center"/>
              </w:tcPr>
              <w:p w14:paraId="0D03B5E7" w14:textId="4EF2E243" w:rsidR="0036210A" w:rsidRPr="00FF727D" w:rsidRDefault="0036210A"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1</w:t>
                </w:r>
                <w:r w:rsidR="00D058C1">
                  <w:rPr>
                    <w:rFonts w:eastAsia="Times New Roman" w:cs="Segoe UI"/>
                    <w:sz w:val="14"/>
                    <w:szCs w:val="22"/>
                    <w:lang w:val="en-GB" w:eastAsia="it-IT"/>
                  </w:rPr>
                  <w:t>.</w:t>
                </w:r>
                <w:r w:rsidRPr="00FF727D">
                  <w:rPr>
                    <w:rFonts w:eastAsia="Times New Roman" w:cs="Segoe UI"/>
                    <w:sz w:val="14"/>
                    <w:szCs w:val="22"/>
                    <w:lang w:val="en-GB" w:eastAsia="it-IT"/>
                  </w:rPr>
                  <w:t>48%</w:t>
                </w:r>
              </w:p>
            </w:tc>
            <w:tc>
              <w:tcPr>
                <w:tcW w:w="617" w:type="pct"/>
                <w:shd w:val="clear" w:color="auto" w:fill="FFFFFF" w:themeFill="background2"/>
                <w:vAlign w:val="center"/>
              </w:tcPr>
              <w:p w14:paraId="626614CA" w14:textId="4456D60C" w:rsidR="0036210A" w:rsidRPr="00FF727D" w:rsidRDefault="0036210A"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1</w:t>
                </w:r>
                <w:r w:rsidR="00D058C1">
                  <w:rPr>
                    <w:rFonts w:eastAsia="Times New Roman" w:cs="Segoe UI"/>
                    <w:sz w:val="14"/>
                    <w:szCs w:val="22"/>
                    <w:lang w:val="en-GB" w:eastAsia="it-IT"/>
                  </w:rPr>
                  <w:t>.</w:t>
                </w:r>
                <w:r w:rsidRPr="00FF727D">
                  <w:rPr>
                    <w:rFonts w:eastAsia="Times New Roman" w:cs="Segoe UI"/>
                    <w:sz w:val="14"/>
                    <w:szCs w:val="22"/>
                    <w:lang w:val="en-GB" w:eastAsia="it-IT"/>
                  </w:rPr>
                  <w:t>41%</w:t>
                </w:r>
              </w:p>
            </w:tc>
            <w:tc>
              <w:tcPr>
                <w:tcW w:w="617" w:type="pct"/>
                <w:shd w:val="clear" w:color="auto" w:fill="FFFFFF" w:themeFill="background2"/>
                <w:vAlign w:val="center"/>
              </w:tcPr>
              <w:p w14:paraId="01387A3B" w14:textId="08A17C70" w:rsidR="0036210A" w:rsidRPr="00FF727D" w:rsidRDefault="0036210A"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1</w:t>
                </w:r>
                <w:r w:rsidR="00D058C1">
                  <w:rPr>
                    <w:rFonts w:eastAsia="Times New Roman" w:cs="Segoe UI"/>
                    <w:sz w:val="14"/>
                    <w:szCs w:val="22"/>
                    <w:lang w:val="en-GB" w:eastAsia="it-IT"/>
                  </w:rPr>
                  <w:t>.</w:t>
                </w:r>
                <w:r w:rsidRPr="00FF727D">
                  <w:rPr>
                    <w:rFonts w:eastAsia="Times New Roman" w:cs="Segoe UI"/>
                    <w:sz w:val="14"/>
                    <w:szCs w:val="22"/>
                    <w:lang w:val="en-GB" w:eastAsia="it-IT"/>
                  </w:rPr>
                  <w:t>38%</w:t>
                </w:r>
              </w:p>
            </w:tc>
            <w:tc>
              <w:tcPr>
                <w:tcW w:w="617" w:type="pct"/>
                <w:shd w:val="clear" w:color="auto" w:fill="FFFFFF" w:themeFill="background2"/>
                <w:vAlign w:val="center"/>
              </w:tcPr>
              <w:p w14:paraId="6EB5CBAC" w14:textId="594DDC01" w:rsidR="0036210A" w:rsidRPr="00FF727D" w:rsidRDefault="0036210A"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1</w:t>
                </w:r>
                <w:r w:rsidR="00D058C1">
                  <w:rPr>
                    <w:rFonts w:eastAsia="Times New Roman" w:cs="Segoe UI"/>
                    <w:sz w:val="14"/>
                    <w:szCs w:val="22"/>
                    <w:lang w:val="en-GB" w:eastAsia="it-IT"/>
                  </w:rPr>
                  <w:t>.</w:t>
                </w:r>
                <w:r w:rsidRPr="00FF727D">
                  <w:rPr>
                    <w:rFonts w:eastAsia="Times New Roman" w:cs="Segoe UI"/>
                    <w:sz w:val="14"/>
                    <w:szCs w:val="22"/>
                    <w:lang w:val="en-GB" w:eastAsia="it-IT"/>
                  </w:rPr>
                  <w:t>45%</w:t>
                </w:r>
              </w:p>
            </w:tc>
            <w:tc>
              <w:tcPr>
                <w:tcW w:w="617" w:type="pct"/>
                <w:shd w:val="clear" w:color="auto" w:fill="FFFFFF" w:themeFill="background2"/>
                <w:vAlign w:val="center"/>
              </w:tcPr>
              <w:p w14:paraId="4F538610" w14:textId="1DAB526A" w:rsidR="0036210A" w:rsidRPr="00FF727D" w:rsidRDefault="0036210A" w:rsidP="0028096E">
                <w:pPr>
                  <w:spacing w:before="0" w:line="240" w:lineRule="auto"/>
                  <w:jc w:val="center"/>
                  <w:rPr>
                    <w:rFonts w:eastAsia="Times New Roman" w:cs="Segoe UI"/>
                    <w:b/>
                    <w:bCs/>
                    <w:sz w:val="14"/>
                    <w:szCs w:val="22"/>
                    <w:lang w:val="en-GB" w:eastAsia="it-IT"/>
                  </w:rPr>
                </w:pPr>
                <w:r w:rsidRPr="00FF727D">
                  <w:rPr>
                    <w:rFonts w:eastAsia="Times New Roman" w:cs="Segoe UI"/>
                    <w:b/>
                    <w:bCs/>
                    <w:sz w:val="14"/>
                    <w:szCs w:val="22"/>
                    <w:lang w:val="en-GB" w:eastAsia="it-IT"/>
                  </w:rPr>
                  <w:t>1</w:t>
                </w:r>
                <w:r w:rsidR="00D058C1">
                  <w:rPr>
                    <w:rFonts w:eastAsia="Times New Roman" w:cs="Segoe UI"/>
                    <w:b/>
                    <w:bCs/>
                    <w:sz w:val="14"/>
                    <w:szCs w:val="22"/>
                    <w:lang w:val="en-GB" w:eastAsia="it-IT"/>
                  </w:rPr>
                  <w:t>.</w:t>
                </w:r>
                <w:r w:rsidRPr="00FF727D">
                  <w:rPr>
                    <w:rFonts w:eastAsia="Times New Roman" w:cs="Segoe UI"/>
                    <w:b/>
                    <w:bCs/>
                    <w:sz w:val="14"/>
                    <w:szCs w:val="22"/>
                    <w:lang w:val="en-GB" w:eastAsia="it-IT"/>
                  </w:rPr>
                  <w:t>36%</w:t>
                </w:r>
              </w:p>
            </w:tc>
          </w:tr>
          <w:tr w:rsidR="003C4467" w:rsidRPr="003A089A" w14:paraId="136B4C31" w14:textId="77777777" w:rsidTr="00A875C2">
            <w:trPr>
              <w:trHeight w:val="283"/>
            </w:trPr>
            <w:tc>
              <w:tcPr>
                <w:tcW w:w="656" w:type="pct"/>
                <w:shd w:val="clear" w:color="auto" w:fill="FFFFFF" w:themeFill="background2"/>
                <w:tcMar>
                  <w:top w:w="60" w:type="dxa"/>
                  <w:left w:w="114" w:type="dxa"/>
                  <w:bottom w:w="60" w:type="dxa"/>
                  <w:right w:w="114" w:type="dxa"/>
                </w:tcMar>
                <w:vAlign w:val="center"/>
              </w:tcPr>
              <w:p w14:paraId="642B67D5" w14:textId="78AA1BE4" w:rsidR="0036210A" w:rsidRPr="00FF727D" w:rsidRDefault="0036210A" w:rsidP="003C4467">
                <w:pPr>
                  <w:spacing w:before="0" w:line="240" w:lineRule="auto"/>
                  <w:jc w:val="left"/>
                  <w:rPr>
                    <w:rFonts w:eastAsia="Times New Roman" w:cs="Segoe UI"/>
                    <w:b/>
                    <w:bCs/>
                    <w:sz w:val="14"/>
                    <w:szCs w:val="22"/>
                    <w:lang w:val="en-GB" w:eastAsia="it-IT"/>
                  </w:rPr>
                </w:pPr>
                <w:r w:rsidRPr="00FF727D">
                  <w:rPr>
                    <w:rFonts w:eastAsia="Times New Roman" w:cs="Segoe UI"/>
                    <w:b/>
                    <w:bCs/>
                    <w:sz w:val="14"/>
                    <w:szCs w:val="22"/>
                    <w:lang w:val="en-GB" w:eastAsia="it-IT"/>
                  </w:rPr>
                  <w:t>31 December 2019</w:t>
                </w:r>
              </w:p>
            </w:tc>
            <w:tc>
              <w:tcPr>
                <w:tcW w:w="644" w:type="pct"/>
                <w:shd w:val="clear" w:color="auto" w:fill="FFFFFF" w:themeFill="background2"/>
                <w:tcMar>
                  <w:top w:w="60" w:type="dxa"/>
                  <w:left w:w="114" w:type="dxa"/>
                  <w:bottom w:w="60" w:type="dxa"/>
                  <w:right w:w="114" w:type="dxa"/>
                </w:tcMar>
                <w:vAlign w:val="center"/>
              </w:tcPr>
              <w:p w14:paraId="703B3011" w14:textId="30FD01E6" w:rsidR="0036210A" w:rsidRPr="00FF727D" w:rsidRDefault="0036210A"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Defaults 2020</w:t>
                </w:r>
              </w:p>
            </w:tc>
            <w:tc>
              <w:tcPr>
                <w:tcW w:w="617" w:type="pct"/>
                <w:shd w:val="clear" w:color="auto" w:fill="FFFFFF" w:themeFill="background2"/>
                <w:tcMar>
                  <w:top w:w="60" w:type="dxa"/>
                  <w:left w:w="114" w:type="dxa"/>
                  <w:bottom w:w="60" w:type="dxa"/>
                  <w:right w:w="114" w:type="dxa"/>
                </w:tcMar>
                <w:vAlign w:val="center"/>
              </w:tcPr>
              <w:p w14:paraId="29AFE647" w14:textId="2977E46F" w:rsidR="0036210A" w:rsidRPr="00FF727D" w:rsidRDefault="0036210A"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0</w:t>
                </w:r>
                <w:r w:rsidR="00D058C1">
                  <w:rPr>
                    <w:rFonts w:eastAsia="Times New Roman" w:cs="Segoe UI"/>
                    <w:sz w:val="14"/>
                    <w:szCs w:val="22"/>
                    <w:lang w:val="en-GB" w:eastAsia="it-IT"/>
                  </w:rPr>
                  <w:t>.</w:t>
                </w:r>
                <w:r w:rsidRPr="00FF727D">
                  <w:rPr>
                    <w:rFonts w:eastAsia="Times New Roman" w:cs="Segoe UI"/>
                    <w:sz w:val="14"/>
                    <w:szCs w:val="22"/>
                    <w:lang w:val="en-GB" w:eastAsia="it-IT"/>
                  </w:rPr>
                  <w:t>45%</w:t>
                </w:r>
              </w:p>
            </w:tc>
            <w:tc>
              <w:tcPr>
                <w:tcW w:w="617" w:type="pct"/>
                <w:shd w:val="clear" w:color="auto" w:fill="FFFFFF" w:themeFill="background2"/>
                <w:vAlign w:val="center"/>
              </w:tcPr>
              <w:p w14:paraId="5C21ED0F" w14:textId="0114EA8D" w:rsidR="0036210A" w:rsidRPr="00FF727D" w:rsidRDefault="0036210A"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0</w:t>
                </w:r>
                <w:r w:rsidR="00D058C1">
                  <w:rPr>
                    <w:rFonts w:eastAsia="Times New Roman" w:cs="Segoe UI"/>
                    <w:sz w:val="14"/>
                    <w:szCs w:val="22"/>
                    <w:lang w:val="en-GB" w:eastAsia="it-IT"/>
                  </w:rPr>
                  <w:t>.</w:t>
                </w:r>
                <w:r w:rsidRPr="00FF727D">
                  <w:rPr>
                    <w:rFonts w:eastAsia="Times New Roman" w:cs="Segoe UI"/>
                    <w:sz w:val="14"/>
                    <w:szCs w:val="22"/>
                    <w:lang w:val="en-GB" w:eastAsia="it-IT"/>
                  </w:rPr>
                  <w:t>97%</w:t>
                </w:r>
              </w:p>
            </w:tc>
            <w:tc>
              <w:tcPr>
                <w:tcW w:w="617" w:type="pct"/>
                <w:shd w:val="clear" w:color="auto" w:fill="FFFFFF" w:themeFill="background2"/>
                <w:vAlign w:val="center"/>
              </w:tcPr>
              <w:p w14:paraId="1C904C4A" w14:textId="59BBBDDC" w:rsidR="0036210A" w:rsidRPr="00FF727D" w:rsidRDefault="0036210A"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1</w:t>
                </w:r>
                <w:r w:rsidR="00D058C1">
                  <w:rPr>
                    <w:rFonts w:eastAsia="Times New Roman" w:cs="Segoe UI"/>
                    <w:sz w:val="14"/>
                    <w:szCs w:val="22"/>
                    <w:lang w:val="en-GB" w:eastAsia="it-IT"/>
                  </w:rPr>
                  <w:t>.</w:t>
                </w:r>
                <w:r w:rsidRPr="00FF727D">
                  <w:rPr>
                    <w:rFonts w:eastAsia="Times New Roman" w:cs="Segoe UI"/>
                    <w:sz w:val="14"/>
                    <w:szCs w:val="22"/>
                    <w:lang w:val="en-GB" w:eastAsia="it-IT"/>
                  </w:rPr>
                  <w:t>10%</w:t>
                </w:r>
              </w:p>
            </w:tc>
            <w:tc>
              <w:tcPr>
                <w:tcW w:w="617" w:type="pct"/>
                <w:shd w:val="clear" w:color="auto" w:fill="FFFFFF" w:themeFill="background2"/>
                <w:vAlign w:val="center"/>
              </w:tcPr>
              <w:p w14:paraId="66CB85AD" w14:textId="58E3B6B3" w:rsidR="0036210A" w:rsidRPr="00FF727D" w:rsidRDefault="0036210A"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0</w:t>
                </w:r>
                <w:r w:rsidR="00D058C1">
                  <w:rPr>
                    <w:rFonts w:eastAsia="Times New Roman" w:cs="Segoe UI"/>
                    <w:sz w:val="14"/>
                    <w:szCs w:val="22"/>
                    <w:lang w:val="en-GB" w:eastAsia="it-IT"/>
                  </w:rPr>
                  <w:t>.</w:t>
                </w:r>
                <w:r w:rsidRPr="00FF727D">
                  <w:rPr>
                    <w:rFonts w:eastAsia="Times New Roman" w:cs="Segoe UI"/>
                    <w:sz w:val="14"/>
                    <w:szCs w:val="22"/>
                    <w:lang w:val="en-GB" w:eastAsia="it-IT"/>
                  </w:rPr>
                  <w:t>86%</w:t>
                </w:r>
              </w:p>
            </w:tc>
            <w:tc>
              <w:tcPr>
                <w:tcW w:w="617" w:type="pct"/>
                <w:shd w:val="clear" w:color="auto" w:fill="FFFFFF" w:themeFill="background2"/>
                <w:vAlign w:val="center"/>
              </w:tcPr>
              <w:p w14:paraId="28D4330A" w14:textId="11389671" w:rsidR="0036210A" w:rsidRPr="00FF727D" w:rsidRDefault="0036210A"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1</w:t>
                </w:r>
                <w:r w:rsidR="00D058C1">
                  <w:rPr>
                    <w:rFonts w:eastAsia="Times New Roman" w:cs="Segoe UI"/>
                    <w:sz w:val="14"/>
                    <w:szCs w:val="22"/>
                    <w:lang w:val="en-GB" w:eastAsia="it-IT"/>
                  </w:rPr>
                  <w:t>.</w:t>
                </w:r>
                <w:r w:rsidRPr="00FF727D">
                  <w:rPr>
                    <w:rFonts w:eastAsia="Times New Roman" w:cs="Segoe UI"/>
                    <w:sz w:val="14"/>
                    <w:szCs w:val="22"/>
                    <w:lang w:val="en-GB" w:eastAsia="it-IT"/>
                  </w:rPr>
                  <w:t>03%</w:t>
                </w:r>
              </w:p>
            </w:tc>
            <w:tc>
              <w:tcPr>
                <w:tcW w:w="617" w:type="pct"/>
                <w:shd w:val="clear" w:color="auto" w:fill="FFFFFF" w:themeFill="background2"/>
                <w:vAlign w:val="center"/>
              </w:tcPr>
              <w:p w14:paraId="6FB6BD67" w14:textId="1036B710" w:rsidR="0036210A" w:rsidRPr="00FF727D" w:rsidRDefault="0036210A" w:rsidP="0028096E">
                <w:pPr>
                  <w:spacing w:before="0" w:line="240" w:lineRule="auto"/>
                  <w:jc w:val="center"/>
                  <w:rPr>
                    <w:rFonts w:eastAsia="Times New Roman" w:cs="Segoe UI"/>
                    <w:b/>
                    <w:bCs/>
                    <w:sz w:val="14"/>
                    <w:szCs w:val="22"/>
                    <w:lang w:val="en-GB" w:eastAsia="it-IT"/>
                  </w:rPr>
                </w:pPr>
                <w:r w:rsidRPr="00FF727D">
                  <w:rPr>
                    <w:rFonts w:eastAsia="Times New Roman" w:cs="Segoe UI"/>
                    <w:b/>
                    <w:bCs/>
                    <w:sz w:val="14"/>
                    <w:szCs w:val="22"/>
                    <w:lang w:val="en-GB" w:eastAsia="it-IT"/>
                  </w:rPr>
                  <w:t>0</w:t>
                </w:r>
                <w:r w:rsidR="00D058C1">
                  <w:rPr>
                    <w:rFonts w:eastAsia="Times New Roman" w:cs="Segoe UI"/>
                    <w:b/>
                    <w:bCs/>
                    <w:sz w:val="14"/>
                    <w:szCs w:val="22"/>
                    <w:lang w:val="en-GB" w:eastAsia="it-IT"/>
                  </w:rPr>
                  <w:t>.</w:t>
                </w:r>
                <w:r w:rsidRPr="00FF727D">
                  <w:rPr>
                    <w:rFonts w:eastAsia="Times New Roman" w:cs="Segoe UI"/>
                    <w:b/>
                    <w:bCs/>
                    <w:sz w:val="14"/>
                    <w:szCs w:val="22"/>
                    <w:lang w:val="en-GB" w:eastAsia="it-IT"/>
                  </w:rPr>
                  <w:t>88%</w:t>
                </w:r>
              </w:p>
            </w:tc>
          </w:tr>
          <w:tr w:rsidR="003C4467" w:rsidRPr="003A089A" w14:paraId="52779073" w14:textId="77777777" w:rsidTr="00A875C2">
            <w:trPr>
              <w:trHeight w:val="283"/>
            </w:trPr>
            <w:tc>
              <w:tcPr>
                <w:tcW w:w="656" w:type="pct"/>
                <w:shd w:val="clear" w:color="auto" w:fill="FFFFFF" w:themeFill="background2"/>
                <w:tcMar>
                  <w:top w:w="60" w:type="dxa"/>
                  <w:left w:w="114" w:type="dxa"/>
                  <w:bottom w:w="60" w:type="dxa"/>
                  <w:right w:w="114" w:type="dxa"/>
                </w:tcMar>
                <w:vAlign w:val="center"/>
              </w:tcPr>
              <w:p w14:paraId="1656A050" w14:textId="2A6A6169" w:rsidR="0036210A" w:rsidRPr="00FF727D" w:rsidRDefault="0036210A" w:rsidP="003C4467">
                <w:pPr>
                  <w:spacing w:before="0" w:line="240" w:lineRule="auto"/>
                  <w:jc w:val="left"/>
                  <w:rPr>
                    <w:rFonts w:eastAsia="Times New Roman" w:cs="Segoe UI"/>
                    <w:b/>
                    <w:bCs/>
                    <w:sz w:val="14"/>
                    <w:szCs w:val="22"/>
                    <w:lang w:val="en-GB" w:eastAsia="it-IT"/>
                  </w:rPr>
                </w:pPr>
                <w:r w:rsidRPr="00FF727D">
                  <w:rPr>
                    <w:rFonts w:eastAsia="Times New Roman" w:cs="Segoe UI"/>
                    <w:b/>
                    <w:bCs/>
                    <w:sz w:val="14"/>
                    <w:szCs w:val="22"/>
                    <w:lang w:val="en-GB" w:eastAsia="it-IT"/>
                  </w:rPr>
                  <w:t>31 December 2020</w:t>
                </w:r>
              </w:p>
            </w:tc>
            <w:tc>
              <w:tcPr>
                <w:tcW w:w="644" w:type="pct"/>
                <w:shd w:val="clear" w:color="auto" w:fill="FFFFFF" w:themeFill="background2"/>
                <w:tcMar>
                  <w:top w:w="60" w:type="dxa"/>
                  <w:left w:w="114" w:type="dxa"/>
                  <w:bottom w:w="60" w:type="dxa"/>
                  <w:right w:w="114" w:type="dxa"/>
                </w:tcMar>
                <w:vAlign w:val="center"/>
              </w:tcPr>
              <w:p w14:paraId="1450CC7F" w14:textId="67BF0BC3" w:rsidR="0036210A" w:rsidRPr="00FF727D" w:rsidRDefault="0036210A"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Defaults 2021</w:t>
                </w:r>
              </w:p>
            </w:tc>
            <w:tc>
              <w:tcPr>
                <w:tcW w:w="617" w:type="pct"/>
                <w:shd w:val="clear" w:color="auto" w:fill="FFFFFF" w:themeFill="background2"/>
                <w:tcMar>
                  <w:top w:w="60" w:type="dxa"/>
                  <w:left w:w="114" w:type="dxa"/>
                  <w:bottom w:w="60" w:type="dxa"/>
                  <w:right w:w="114" w:type="dxa"/>
                </w:tcMar>
                <w:vAlign w:val="center"/>
              </w:tcPr>
              <w:p w14:paraId="7AC1D6C9" w14:textId="59B34604" w:rsidR="0036210A" w:rsidRPr="00FF727D" w:rsidRDefault="0036210A"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0</w:t>
                </w:r>
                <w:r w:rsidR="00D058C1">
                  <w:rPr>
                    <w:rFonts w:eastAsia="Times New Roman" w:cs="Segoe UI"/>
                    <w:sz w:val="14"/>
                    <w:szCs w:val="22"/>
                    <w:lang w:val="en-GB" w:eastAsia="it-IT"/>
                  </w:rPr>
                  <w:t>.</w:t>
                </w:r>
                <w:r w:rsidRPr="00FF727D">
                  <w:rPr>
                    <w:rFonts w:eastAsia="Times New Roman" w:cs="Segoe UI"/>
                    <w:sz w:val="14"/>
                    <w:szCs w:val="22"/>
                    <w:lang w:val="en-GB" w:eastAsia="it-IT"/>
                  </w:rPr>
                  <w:t>46%</w:t>
                </w:r>
              </w:p>
            </w:tc>
            <w:tc>
              <w:tcPr>
                <w:tcW w:w="617" w:type="pct"/>
                <w:shd w:val="clear" w:color="auto" w:fill="FFFFFF" w:themeFill="background2"/>
                <w:vAlign w:val="center"/>
              </w:tcPr>
              <w:p w14:paraId="7959D520" w14:textId="705A4D78" w:rsidR="0036210A" w:rsidRPr="00FF727D" w:rsidRDefault="0036210A"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0</w:t>
                </w:r>
                <w:r w:rsidR="00D058C1">
                  <w:rPr>
                    <w:rFonts w:eastAsia="Times New Roman" w:cs="Segoe UI"/>
                    <w:sz w:val="14"/>
                    <w:szCs w:val="22"/>
                    <w:lang w:val="en-GB" w:eastAsia="it-IT"/>
                  </w:rPr>
                  <w:t>.</w:t>
                </w:r>
                <w:r w:rsidRPr="00FF727D">
                  <w:rPr>
                    <w:rFonts w:eastAsia="Times New Roman" w:cs="Segoe UI"/>
                    <w:sz w:val="14"/>
                    <w:szCs w:val="22"/>
                    <w:lang w:val="en-GB" w:eastAsia="it-IT"/>
                  </w:rPr>
                  <w:t>53%</w:t>
                </w:r>
              </w:p>
            </w:tc>
            <w:tc>
              <w:tcPr>
                <w:tcW w:w="617" w:type="pct"/>
                <w:shd w:val="clear" w:color="auto" w:fill="FFFFFF" w:themeFill="background2"/>
                <w:vAlign w:val="center"/>
              </w:tcPr>
              <w:p w14:paraId="0652336D" w14:textId="5F4677B5" w:rsidR="0036210A" w:rsidRPr="00FF727D" w:rsidRDefault="0036210A"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0</w:t>
                </w:r>
                <w:r w:rsidR="00D058C1">
                  <w:rPr>
                    <w:rFonts w:eastAsia="Times New Roman" w:cs="Segoe UI"/>
                    <w:sz w:val="14"/>
                    <w:szCs w:val="22"/>
                    <w:lang w:val="en-GB" w:eastAsia="it-IT"/>
                  </w:rPr>
                  <w:t>.</w:t>
                </w:r>
                <w:r w:rsidRPr="00FF727D">
                  <w:rPr>
                    <w:rFonts w:eastAsia="Times New Roman" w:cs="Segoe UI"/>
                    <w:sz w:val="14"/>
                    <w:szCs w:val="22"/>
                    <w:lang w:val="en-GB" w:eastAsia="it-IT"/>
                  </w:rPr>
                  <w:t>60%</w:t>
                </w:r>
              </w:p>
            </w:tc>
            <w:tc>
              <w:tcPr>
                <w:tcW w:w="617" w:type="pct"/>
                <w:shd w:val="clear" w:color="auto" w:fill="FFFFFF" w:themeFill="background2"/>
                <w:vAlign w:val="center"/>
              </w:tcPr>
              <w:p w14:paraId="1A8B8762" w14:textId="0451E275" w:rsidR="0036210A" w:rsidRPr="00FF727D" w:rsidRDefault="0036210A"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0</w:t>
                </w:r>
                <w:r w:rsidR="00D058C1">
                  <w:rPr>
                    <w:rFonts w:eastAsia="Times New Roman" w:cs="Segoe UI"/>
                    <w:sz w:val="14"/>
                    <w:szCs w:val="22"/>
                    <w:lang w:val="en-GB" w:eastAsia="it-IT"/>
                  </w:rPr>
                  <w:t>.</w:t>
                </w:r>
                <w:r w:rsidRPr="00FF727D">
                  <w:rPr>
                    <w:rFonts w:eastAsia="Times New Roman" w:cs="Segoe UI"/>
                    <w:sz w:val="14"/>
                    <w:szCs w:val="22"/>
                    <w:lang w:val="en-GB" w:eastAsia="it-IT"/>
                  </w:rPr>
                  <w:t>53%</w:t>
                </w:r>
              </w:p>
            </w:tc>
            <w:tc>
              <w:tcPr>
                <w:tcW w:w="617" w:type="pct"/>
                <w:shd w:val="clear" w:color="auto" w:fill="FFFFFF" w:themeFill="background2"/>
                <w:vAlign w:val="center"/>
              </w:tcPr>
              <w:p w14:paraId="75D58993" w14:textId="65D289D9" w:rsidR="0036210A" w:rsidRPr="00FF727D" w:rsidRDefault="0036210A"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0</w:t>
                </w:r>
                <w:r w:rsidR="00D058C1">
                  <w:rPr>
                    <w:rFonts w:eastAsia="Times New Roman" w:cs="Segoe UI"/>
                    <w:sz w:val="14"/>
                    <w:szCs w:val="22"/>
                    <w:lang w:val="en-GB" w:eastAsia="it-IT"/>
                  </w:rPr>
                  <w:t>.</w:t>
                </w:r>
                <w:r w:rsidRPr="00FF727D">
                  <w:rPr>
                    <w:rFonts w:eastAsia="Times New Roman" w:cs="Segoe UI"/>
                    <w:sz w:val="14"/>
                    <w:szCs w:val="22"/>
                    <w:lang w:val="en-GB" w:eastAsia="it-IT"/>
                  </w:rPr>
                  <w:t>57%</w:t>
                </w:r>
              </w:p>
            </w:tc>
            <w:tc>
              <w:tcPr>
                <w:tcW w:w="617" w:type="pct"/>
                <w:shd w:val="clear" w:color="auto" w:fill="FFFFFF" w:themeFill="background2"/>
                <w:vAlign w:val="center"/>
              </w:tcPr>
              <w:p w14:paraId="1C0BB77A" w14:textId="525E08BF" w:rsidR="0036210A" w:rsidRPr="00FF727D" w:rsidRDefault="0036210A" w:rsidP="0028096E">
                <w:pPr>
                  <w:spacing w:before="0" w:line="240" w:lineRule="auto"/>
                  <w:jc w:val="center"/>
                  <w:rPr>
                    <w:rFonts w:eastAsia="Times New Roman" w:cs="Segoe UI"/>
                    <w:b/>
                    <w:bCs/>
                    <w:sz w:val="14"/>
                    <w:szCs w:val="22"/>
                    <w:lang w:val="en-GB" w:eastAsia="it-IT"/>
                  </w:rPr>
                </w:pPr>
                <w:r w:rsidRPr="00FF727D">
                  <w:rPr>
                    <w:rFonts w:eastAsia="Times New Roman" w:cs="Segoe UI"/>
                    <w:b/>
                    <w:bCs/>
                    <w:sz w:val="14"/>
                    <w:szCs w:val="22"/>
                    <w:lang w:val="en-GB" w:eastAsia="it-IT"/>
                  </w:rPr>
                  <w:t>0</w:t>
                </w:r>
                <w:r w:rsidR="00D058C1">
                  <w:rPr>
                    <w:rFonts w:eastAsia="Times New Roman" w:cs="Segoe UI"/>
                    <w:b/>
                    <w:bCs/>
                    <w:sz w:val="14"/>
                    <w:szCs w:val="22"/>
                    <w:lang w:val="en-GB" w:eastAsia="it-IT"/>
                  </w:rPr>
                  <w:t>.</w:t>
                </w:r>
                <w:r w:rsidRPr="00FF727D">
                  <w:rPr>
                    <w:rFonts w:eastAsia="Times New Roman" w:cs="Segoe UI"/>
                    <w:b/>
                    <w:bCs/>
                    <w:sz w:val="14"/>
                    <w:szCs w:val="22"/>
                    <w:lang w:val="en-GB" w:eastAsia="it-IT"/>
                  </w:rPr>
                  <w:t>54%</w:t>
                </w:r>
              </w:p>
            </w:tc>
          </w:tr>
          <w:tr w:rsidR="003C4467" w:rsidRPr="003A089A" w14:paraId="63B32204" w14:textId="77777777" w:rsidTr="00A875C2">
            <w:trPr>
              <w:trHeight w:val="283"/>
            </w:trPr>
            <w:tc>
              <w:tcPr>
                <w:tcW w:w="656" w:type="pct"/>
                <w:shd w:val="clear" w:color="auto" w:fill="FFFFFF" w:themeFill="background2"/>
                <w:tcMar>
                  <w:top w:w="60" w:type="dxa"/>
                  <w:left w:w="114" w:type="dxa"/>
                  <w:bottom w:w="60" w:type="dxa"/>
                  <w:right w:w="114" w:type="dxa"/>
                </w:tcMar>
                <w:vAlign w:val="center"/>
              </w:tcPr>
              <w:p w14:paraId="4FED78B9" w14:textId="29153427" w:rsidR="0036210A" w:rsidRPr="00FF727D" w:rsidRDefault="0036210A" w:rsidP="003C4467">
                <w:pPr>
                  <w:spacing w:before="0" w:line="240" w:lineRule="auto"/>
                  <w:jc w:val="left"/>
                  <w:rPr>
                    <w:rFonts w:eastAsia="Times New Roman" w:cs="Segoe UI"/>
                    <w:b/>
                    <w:bCs/>
                    <w:sz w:val="14"/>
                    <w:szCs w:val="22"/>
                    <w:lang w:val="en-GB" w:eastAsia="it-IT"/>
                  </w:rPr>
                </w:pPr>
                <w:r w:rsidRPr="00FF727D">
                  <w:rPr>
                    <w:rFonts w:eastAsia="Times New Roman" w:cs="Segoe UI"/>
                    <w:b/>
                    <w:bCs/>
                    <w:sz w:val="14"/>
                    <w:szCs w:val="22"/>
                    <w:lang w:val="en-GB" w:eastAsia="it-IT"/>
                  </w:rPr>
                  <w:t>31 December 2021</w:t>
                </w:r>
              </w:p>
            </w:tc>
            <w:tc>
              <w:tcPr>
                <w:tcW w:w="644" w:type="pct"/>
                <w:shd w:val="clear" w:color="auto" w:fill="FFFFFF" w:themeFill="background2"/>
                <w:tcMar>
                  <w:top w:w="60" w:type="dxa"/>
                  <w:left w:w="114" w:type="dxa"/>
                  <w:bottom w:w="60" w:type="dxa"/>
                  <w:right w:w="114" w:type="dxa"/>
                </w:tcMar>
                <w:vAlign w:val="center"/>
              </w:tcPr>
              <w:p w14:paraId="643D2F17" w14:textId="67FAEE30" w:rsidR="0036210A" w:rsidRPr="00FF727D" w:rsidRDefault="0036210A"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Defaults 2022</w:t>
                </w:r>
              </w:p>
            </w:tc>
            <w:tc>
              <w:tcPr>
                <w:tcW w:w="617" w:type="pct"/>
                <w:shd w:val="clear" w:color="auto" w:fill="FFFFFF" w:themeFill="background2"/>
                <w:tcMar>
                  <w:top w:w="60" w:type="dxa"/>
                  <w:left w:w="114" w:type="dxa"/>
                  <w:bottom w:w="60" w:type="dxa"/>
                  <w:right w:w="114" w:type="dxa"/>
                </w:tcMar>
                <w:vAlign w:val="center"/>
              </w:tcPr>
              <w:p w14:paraId="1A44760D" w14:textId="31545A2F" w:rsidR="0036210A" w:rsidRPr="00FF727D" w:rsidRDefault="0036210A"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0</w:t>
                </w:r>
                <w:r w:rsidR="00D058C1">
                  <w:rPr>
                    <w:rFonts w:eastAsia="Times New Roman" w:cs="Segoe UI"/>
                    <w:sz w:val="14"/>
                    <w:szCs w:val="22"/>
                    <w:lang w:val="en-GB" w:eastAsia="it-IT"/>
                  </w:rPr>
                  <w:t>.</w:t>
                </w:r>
                <w:r w:rsidRPr="00FF727D">
                  <w:rPr>
                    <w:rFonts w:eastAsia="Times New Roman" w:cs="Segoe UI"/>
                    <w:sz w:val="14"/>
                    <w:szCs w:val="22"/>
                    <w:lang w:val="en-GB" w:eastAsia="it-IT"/>
                  </w:rPr>
                  <w:t>17%</w:t>
                </w:r>
              </w:p>
            </w:tc>
            <w:tc>
              <w:tcPr>
                <w:tcW w:w="617" w:type="pct"/>
                <w:shd w:val="clear" w:color="auto" w:fill="FFFFFF" w:themeFill="background2"/>
                <w:vAlign w:val="center"/>
              </w:tcPr>
              <w:p w14:paraId="4F718B64" w14:textId="0950CA54" w:rsidR="0036210A" w:rsidRPr="00FF727D" w:rsidRDefault="0036210A"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0</w:t>
                </w:r>
                <w:r w:rsidR="00D058C1">
                  <w:rPr>
                    <w:rFonts w:eastAsia="Times New Roman" w:cs="Segoe UI"/>
                    <w:sz w:val="14"/>
                    <w:szCs w:val="22"/>
                    <w:lang w:val="en-GB" w:eastAsia="it-IT"/>
                  </w:rPr>
                  <w:t>.</w:t>
                </w:r>
                <w:r w:rsidRPr="00FF727D">
                  <w:rPr>
                    <w:rFonts w:eastAsia="Times New Roman" w:cs="Segoe UI"/>
                    <w:sz w:val="14"/>
                    <w:szCs w:val="22"/>
                    <w:lang w:val="en-GB" w:eastAsia="it-IT"/>
                  </w:rPr>
                  <w:t>52%</w:t>
                </w:r>
              </w:p>
            </w:tc>
            <w:tc>
              <w:tcPr>
                <w:tcW w:w="617" w:type="pct"/>
                <w:shd w:val="clear" w:color="auto" w:fill="FFFFFF" w:themeFill="background2"/>
                <w:vAlign w:val="center"/>
              </w:tcPr>
              <w:p w14:paraId="51FD5DC8" w14:textId="5D5C1CE1" w:rsidR="0036210A" w:rsidRPr="00FF727D" w:rsidRDefault="0036210A"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0</w:t>
                </w:r>
                <w:r w:rsidR="00D058C1">
                  <w:rPr>
                    <w:rFonts w:eastAsia="Times New Roman" w:cs="Segoe UI"/>
                    <w:sz w:val="14"/>
                    <w:szCs w:val="22"/>
                    <w:lang w:val="en-GB" w:eastAsia="it-IT"/>
                  </w:rPr>
                  <w:t>.</w:t>
                </w:r>
                <w:r w:rsidRPr="00FF727D">
                  <w:rPr>
                    <w:rFonts w:eastAsia="Times New Roman" w:cs="Segoe UI"/>
                    <w:sz w:val="14"/>
                    <w:szCs w:val="22"/>
                    <w:lang w:val="en-GB" w:eastAsia="it-IT"/>
                  </w:rPr>
                  <w:t>49%</w:t>
                </w:r>
              </w:p>
            </w:tc>
            <w:tc>
              <w:tcPr>
                <w:tcW w:w="617" w:type="pct"/>
                <w:shd w:val="clear" w:color="auto" w:fill="FFFFFF" w:themeFill="background2"/>
                <w:vAlign w:val="center"/>
              </w:tcPr>
              <w:p w14:paraId="0003B56D" w14:textId="17B11B82" w:rsidR="0036210A" w:rsidRPr="00FF727D" w:rsidRDefault="0036210A"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0</w:t>
                </w:r>
                <w:r w:rsidR="00D058C1">
                  <w:rPr>
                    <w:rFonts w:eastAsia="Times New Roman" w:cs="Segoe UI"/>
                    <w:sz w:val="14"/>
                    <w:szCs w:val="22"/>
                    <w:lang w:val="en-GB" w:eastAsia="it-IT"/>
                  </w:rPr>
                  <w:t>.</w:t>
                </w:r>
                <w:r w:rsidRPr="00FF727D">
                  <w:rPr>
                    <w:rFonts w:eastAsia="Times New Roman" w:cs="Segoe UI"/>
                    <w:sz w:val="14"/>
                    <w:szCs w:val="22"/>
                    <w:lang w:val="en-GB" w:eastAsia="it-IT"/>
                  </w:rPr>
                  <w:t>39%</w:t>
                </w:r>
              </w:p>
            </w:tc>
            <w:tc>
              <w:tcPr>
                <w:tcW w:w="617" w:type="pct"/>
                <w:shd w:val="clear" w:color="auto" w:fill="FFFFFF" w:themeFill="background2"/>
                <w:vAlign w:val="center"/>
              </w:tcPr>
              <w:p w14:paraId="2953BC10" w14:textId="3E13E3C5" w:rsidR="0036210A" w:rsidRPr="00FF727D" w:rsidRDefault="0036210A"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0</w:t>
                </w:r>
                <w:r w:rsidR="00D058C1">
                  <w:rPr>
                    <w:rFonts w:eastAsia="Times New Roman" w:cs="Segoe UI"/>
                    <w:sz w:val="14"/>
                    <w:szCs w:val="22"/>
                    <w:lang w:val="en-GB" w:eastAsia="it-IT"/>
                  </w:rPr>
                  <w:t>.</w:t>
                </w:r>
                <w:r w:rsidRPr="00FF727D">
                  <w:rPr>
                    <w:rFonts w:eastAsia="Times New Roman" w:cs="Segoe UI"/>
                    <w:sz w:val="14"/>
                    <w:szCs w:val="22"/>
                    <w:lang w:val="en-GB" w:eastAsia="it-IT"/>
                  </w:rPr>
                  <w:t>51%</w:t>
                </w:r>
              </w:p>
            </w:tc>
            <w:tc>
              <w:tcPr>
                <w:tcW w:w="617" w:type="pct"/>
                <w:shd w:val="clear" w:color="auto" w:fill="FFFFFF" w:themeFill="background2"/>
                <w:vAlign w:val="center"/>
              </w:tcPr>
              <w:p w14:paraId="0C6284C3" w14:textId="09AA5522" w:rsidR="0036210A" w:rsidRPr="00FF727D" w:rsidRDefault="0036210A" w:rsidP="0028096E">
                <w:pPr>
                  <w:spacing w:before="0" w:line="240" w:lineRule="auto"/>
                  <w:jc w:val="center"/>
                  <w:rPr>
                    <w:rFonts w:eastAsia="Times New Roman" w:cs="Segoe UI"/>
                    <w:b/>
                    <w:bCs/>
                    <w:sz w:val="14"/>
                    <w:szCs w:val="22"/>
                    <w:lang w:val="en-GB" w:eastAsia="it-IT"/>
                  </w:rPr>
                </w:pPr>
                <w:r w:rsidRPr="00FF727D">
                  <w:rPr>
                    <w:rFonts w:eastAsia="Times New Roman" w:cs="Segoe UI"/>
                    <w:b/>
                    <w:bCs/>
                    <w:sz w:val="14"/>
                    <w:szCs w:val="22"/>
                    <w:lang w:val="en-GB" w:eastAsia="it-IT"/>
                  </w:rPr>
                  <w:t>0</w:t>
                </w:r>
                <w:r w:rsidR="00D058C1">
                  <w:rPr>
                    <w:rFonts w:eastAsia="Times New Roman" w:cs="Segoe UI"/>
                    <w:b/>
                    <w:bCs/>
                    <w:sz w:val="14"/>
                    <w:szCs w:val="22"/>
                    <w:lang w:val="en-GB" w:eastAsia="it-IT"/>
                  </w:rPr>
                  <w:t>.</w:t>
                </w:r>
                <w:r w:rsidRPr="00FF727D">
                  <w:rPr>
                    <w:rFonts w:eastAsia="Times New Roman" w:cs="Segoe UI"/>
                    <w:b/>
                    <w:bCs/>
                    <w:sz w:val="14"/>
                    <w:szCs w:val="22"/>
                    <w:lang w:val="en-GB" w:eastAsia="it-IT"/>
                  </w:rPr>
                  <w:t>42%</w:t>
                </w:r>
              </w:p>
            </w:tc>
          </w:tr>
          <w:tr w:rsidR="003C4467" w:rsidRPr="003A089A" w14:paraId="5388121B" w14:textId="77777777" w:rsidTr="00A875C2">
            <w:trPr>
              <w:trHeight w:val="283"/>
            </w:trPr>
            <w:tc>
              <w:tcPr>
                <w:tcW w:w="656" w:type="pct"/>
                <w:shd w:val="clear" w:color="auto" w:fill="FFFFFF" w:themeFill="background2"/>
                <w:tcMar>
                  <w:top w:w="60" w:type="dxa"/>
                  <w:left w:w="114" w:type="dxa"/>
                  <w:bottom w:w="60" w:type="dxa"/>
                  <w:right w:w="114" w:type="dxa"/>
                </w:tcMar>
                <w:vAlign w:val="center"/>
              </w:tcPr>
              <w:p w14:paraId="6A2CF108" w14:textId="795C875A" w:rsidR="0036210A" w:rsidRPr="00FF727D" w:rsidRDefault="0036210A" w:rsidP="003C4467">
                <w:pPr>
                  <w:spacing w:before="0" w:line="240" w:lineRule="auto"/>
                  <w:jc w:val="left"/>
                  <w:rPr>
                    <w:rFonts w:eastAsia="Times New Roman" w:cs="Segoe UI"/>
                    <w:b/>
                    <w:bCs/>
                    <w:sz w:val="14"/>
                    <w:szCs w:val="22"/>
                    <w:lang w:val="en-GB" w:eastAsia="it-IT"/>
                  </w:rPr>
                </w:pPr>
                <w:r w:rsidRPr="00FF727D">
                  <w:rPr>
                    <w:rFonts w:eastAsia="Times New Roman" w:cs="Segoe UI"/>
                    <w:b/>
                    <w:bCs/>
                    <w:sz w:val="14"/>
                    <w:szCs w:val="22"/>
                    <w:lang w:val="en-GB" w:eastAsia="it-IT"/>
                  </w:rPr>
                  <w:t>31 December 2022</w:t>
                </w:r>
              </w:p>
            </w:tc>
            <w:tc>
              <w:tcPr>
                <w:tcW w:w="644" w:type="pct"/>
                <w:shd w:val="clear" w:color="auto" w:fill="FFFFFF" w:themeFill="background2"/>
                <w:tcMar>
                  <w:top w:w="60" w:type="dxa"/>
                  <w:left w:w="114" w:type="dxa"/>
                  <w:bottom w:w="60" w:type="dxa"/>
                  <w:right w:w="114" w:type="dxa"/>
                </w:tcMar>
                <w:vAlign w:val="center"/>
              </w:tcPr>
              <w:p w14:paraId="5927AA3A" w14:textId="335F418C" w:rsidR="0036210A" w:rsidRPr="00FF727D" w:rsidRDefault="0036210A"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Defaults 2023</w:t>
                </w:r>
              </w:p>
            </w:tc>
            <w:tc>
              <w:tcPr>
                <w:tcW w:w="617" w:type="pct"/>
                <w:shd w:val="clear" w:color="auto" w:fill="FFFFFF" w:themeFill="background2"/>
                <w:tcMar>
                  <w:top w:w="60" w:type="dxa"/>
                  <w:left w:w="114" w:type="dxa"/>
                  <w:bottom w:w="60" w:type="dxa"/>
                  <w:right w:w="114" w:type="dxa"/>
                </w:tcMar>
                <w:vAlign w:val="center"/>
              </w:tcPr>
              <w:p w14:paraId="61BA699B" w14:textId="56713C21" w:rsidR="0036210A" w:rsidRPr="00FF727D" w:rsidRDefault="0036210A"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0</w:t>
                </w:r>
                <w:r w:rsidR="00D058C1">
                  <w:rPr>
                    <w:rFonts w:eastAsia="Times New Roman" w:cs="Segoe UI"/>
                    <w:sz w:val="14"/>
                    <w:szCs w:val="22"/>
                    <w:lang w:val="en-GB" w:eastAsia="it-IT"/>
                  </w:rPr>
                  <w:t>.</w:t>
                </w:r>
                <w:r w:rsidRPr="00FF727D">
                  <w:rPr>
                    <w:rFonts w:eastAsia="Times New Roman" w:cs="Segoe UI"/>
                    <w:sz w:val="14"/>
                    <w:szCs w:val="22"/>
                    <w:lang w:val="en-GB" w:eastAsia="it-IT"/>
                  </w:rPr>
                  <w:t>49%</w:t>
                </w:r>
              </w:p>
            </w:tc>
            <w:tc>
              <w:tcPr>
                <w:tcW w:w="617" w:type="pct"/>
                <w:shd w:val="clear" w:color="auto" w:fill="FFFFFF" w:themeFill="background2"/>
                <w:vAlign w:val="center"/>
              </w:tcPr>
              <w:p w14:paraId="477246C9" w14:textId="4FFF5CF0" w:rsidR="0036210A" w:rsidRPr="00FF727D" w:rsidRDefault="0036210A"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0</w:t>
                </w:r>
                <w:r w:rsidR="00D058C1">
                  <w:rPr>
                    <w:rFonts w:eastAsia="Times New Roman" w:cs="Segoe UI"/>
                    <w:sz w:val="14"/>
                    <w:szCs w:val="22"/>
                    <w:lang w:val="en-GB" w:eastAsia="it-IT"/>
                  </w:rPr>
                  <w:t>.</w:t>
                </w:r>
                <w:r w:rsidRPr="00FF727D">
                  <w:rPr>
                    <w:rFonts w:eastAsia="Times New Roman" w:cs="Segoe UI"/>
                    <w:sz w:val="14"/>
                    <w:szCs w:val="22"/>
                    <w:lang w:val="en-GB" w:eastAsia="it-IT"/>
                  </w:rPr>
                  <w:t>66%</w:t>
                </w:r>
              </w:p>
            </w:tc>
            <w:tc>
              <w:tcPr>
                <w:tcW w:w="617" w:type="pct"/>
                <w:shd w:val="clear" w:color="auto" w:fill="FFFFFF" w:themeFill="background2"/>
                <w:vAlign w:val="center"/>
              </w:tcPr>
              <w:p w14:paraId="061260F1" w14:textId="3726911A" w:rsidR="0036210A" w:rsidRPr="00FF727D" w:rsidRDefault="0036210A"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0</w:t>
                </w:r>
                <w:r w:rsidR="00D058C1">
                  <w:rPr>
                    <w:rFonts w:eastAsia="Times New Roman" w:cs="Segoe UI"/>
                    <w:sz w:val="14"/>
                    <w:szCs w:val="22"/>
                    <w:lang w:val="en-GB" w:eastAsia="it-IT"/>
                  </w:rPr>
                  <w:t>.</w:t>
                </w:r>
                <w:r w:rsidRPr="00FF727D">
                  <w:rPr>
                    <w:rFonts w:eastAsia="Times New Roman" w:cs="Segoe UI"/>
                    <w:sz w:val="14"/>
                    <w:szCs w:val="22"/>
                    <w:lang w:val="en-GB" w:eastAsia="it-IT"/>
                  </w:rPr>
                  <w:t>81%</w:t>
                </w:r>
              </w:p>
            </w:tc>
            <w:tc>
              <w:tcPr>
                <w:tcW w:w="617" w:type="pct"/>
                <w:shd w:val="clear" w:color="auto" w:fill="FFFFFF" w:themeFill="background2"/>
                <w:vAlign w:val="center"/>
              </w:tcPr>
              <w:p w14:paraId="0A1DC1D0" w14:textId="5FAB7769" w:rsidR="0036210A" w:rsidRPr="00FF727D" w:rsidRDefault="0036210A"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0</w:t>
                </w:r>
                <w:r w:rsidR="00D058C1">
                  <w:rPr>
                    <w:rFonts w:eastAsia="Times New Roman" w:cs="Segoe UI"/>
                    <w:sz w:val="14"/>
                    <w:szCs w:val="22"/>
                    <w:lang w:val="en-GB" w:eastAsia="it-IT"/>
                  </w:rPr>
                  <w:t>.</w:t>
                </w:r>
                <w:r w:rsidRPr="00FF727D">
                  <w:rPr>
                    <w:rFonts w:eastAsia="Times New Roman" w:cs="Segoe UI"/>
                    <w:sz w:val="14"/>
                    <w:szCs w:val="22"/>
                    <w:lang w:val="en-GB" w:eastAsia="it-IT"/>
                  </w:rPr>
                  <w:t>30%</w:t>
                </w:r>
              </w:p>
            </w:tc>
            <w:tc>
              <w:tcPr>
                <w:tcW w:w="617" w:type="pct"/>
                <w:shd w:val="clear" w:color="auto" w:fill="FFFFFF" w:themeFill="background2"/>
                <w:vAlign w:val="center"/>
              </w:tcPr>
              <w:p w14:paraId="32A10E3F" w14:textId="2FCF497D" w:rsidR="0036210A" w:rsidRPr="00FF727D" w:rsidRDefault="0036210A" w:rsidP="0028096E">
                <w:pPr>
                  <w:spacing w:before="0" w:line="240" w:lineRule="auto"/>
                  <w:jc w:val="center"/>
                  <w:rPr>
                    <w:rFonts w:eastAsia="Times New Roman" w:cs="Segoe UI"/>
                    <w:sz w:val="14"/>
                    <w:szCs w:val="22"/>
                    <w:lang w:val="en-GB" w:eastAsia="it-IT"/>
                  </w:rPr>
                </w:pPr>
                <w:r w:rsidRPr="00FF727D">
                  <w:rPr>
                    <w:rFonts w:eastAsia="Times New Roman" w:cs="Segoe UI"/>
                    <w:sz w:val="14"/>
                    <w:szCs w:val="22"/>
                    <w:lang w:val="en-GB" w:eastAsia="it-IT"/>
                  </w:rPr>
                  <w:t>0</w:t>
                </w:r>
                <w:r w:rsidR="00D058C1">
                  <w:rPr>
                    <w:rFonts w:eastAsia="Times New Roman" w:cs="Segoe UI"/>
                    <w:sz w:val="14"/>
                    <w:szCs w:val="22"/>
                    <w:lang w:val="en-GB" w:eastAsia="it-IT"/>
                  </w:rPr>
                  <w:t>.</w:t>
                </w:r>
                <w:r w:rsidRPr="00FF727D">
                  <w:rPr>
                    <w:rFonts w:eastAsia="Times New Roman" w:cs="Segoe UI"/>
                    <w:sz w:val="14"/>
                    <w:szCs w:val="22"/>
                    <w:lang w:val="en-GB" w:eastAsia="it-IT"/>
                  </w:rPr>
                  <w:t>75%</w:t>
                </w:r>
              </w:p>
            </w:tc>
            <w:tc>
              <w:tcPr>
                <w:tcW w:w="617" w:type="pct"/>
                <w:shd w:val="clear" w:color="auto" w:fill="FFFFFF" w:themeFill="background2"/>
                <w:vAlign w:val="center"/>
              </w:tcPr>
              <w:p w14:paraId="67AC5DE0" w14:textId="2CA3D9D5" w:rsidR="0036210A" w:rsidRPr="00FF727D" w:rsidRDefault="0036210A" w:rsidP="0028096E">
                <w:pPr>
                  <w:spacing w:before="0" w:line="240" w:lineRule="auto"/>
                  <w:jc w:val="center"/>
                  <w:rPr>
                    <w:rFonts w:eastAsia="Times New Roman" w:cs="Segoe UI"/>
                    <w:b/>
                    <w:bCs/>
                    <w:sz w:val="14"/>
                    <w:szCs w:val="22"/>
                    <w:lang w:val="en-GB" w:eastAsia="it-IT"/>
                  </w:rPr>
                </w:pPr>
                <w:r w:rsidRPr="00FF727D">
                  <w:rPr>
                    <w:rFonts w:eastAsia="Times New Roman" w:cs="Segoe UI"/>
                    <w:b/>
                    <w:bCs/>
                    <w:sz w:val="14"/>
                    <w:szCs w:val="22"/>
                    <w:lang w:val="en-GB" w:eastAsia="it-IT"/>
                  </w:rPr>
                  <w:t>0</w:t>
                </w:r>
                <w:r w:rsidR="00D058C1">
                  <w:rPr>
                    <w:rFonts w:eastAsia="Times New Roman" w:cs="Segoe UI"/>
                    <w:b/>
                    <w:bCs/>
                    <w:sz w:val="14"/>
                    <w:szCs w:val="22"/>
                    <w:lang w:val="en-GB" w:eastAsia="it-IT"/>
                  </w:rPr>
                  <w:t>.</w:t>
                </w:r>
                <w:r w:rsidRPr="00FF727D">
                  <w:rPr>
                    <w:rFonts w:eastAsia="Times New Roman" w:cs="Segoe UI"/>
                    <w:b/>
                    <w:bCs/>
                    <w:sz w:val="14"/>
                    <w:szCs w:val="22"/>
                    <w:lang w:val="en-GB" w:eastAsia="it-IT"/>
                  </w:rPr>
                  <w:t>62%</w:t>
                </w:r>
              </w:p>
            </w:tc>
          </w:tr>
          <w:tr w:rsidR="003C4467" w:rsidRPr="003A089A" w14:paraId="57314BFC" w14:textId="77777777" w:rsidTr="00A875C2">
            <w:trPr>
              <w:trHeight w:val="283"/>
            </w:trPr>
            <w:tc>
              <w:tcPr>
                <w:tcW w:w="656" w:type="pct"/>
                <w:shd w:val="clear" w:color="auto" w:fill="FFFFFF" w:themeFill="background2"/>
                <w:tcMar>
                  <w:top w:w="60" w:type="dxa"/>
                  <w:left w:w="114" w:type="dxa"/>
                  <w:bottom w:w="60" w:type="dxa"/>
                  <w:right w:w="114" w:type="dxa"/>
                </w:tcMar>
                <w:vAlign w:val="center"/>
              </w:tcPr>
              <w:p w14:paraId="73A0F31E" w14:textId="0797AD77" w:rsidR="0036210A" w:rsidRPr="004A2C11" w:rsidRDefault="0036210A" w:rsidP="0028096E">
                <w:pPr>
                  <w:spacing w:before="0" w:line="240" w:lineRule="auto"/>
                  <w:jc w:val="center"/>
                  <w:rPr>
                    <w:rFonts w:eastAsia="Times New Roman" w:cs="Segoe UI"/>
                    <w:b/>
                    <w:bCs/>
                    <w:sz w:val="14"/>
                    <w:szCs w:val="22"/>
                    <w:lang w:val="en-GB" w:eastAsia="it-IT"/>
                  </w:rPr>
                </w:pPr>
                <w:r w:rsidRPr="004A2C11">
                  <w:rPr>
                    <w:rFonts w:eastAsia="Times New Roman" w:cs="Segoe UI"/>
                    <w:b/>
                    <w:bCs/>
                    <w:sz w:val="14"/>
                    <w:szCs w:val="22"/>
                    <w:lang w:val="en-GB" w:eastAsia="it-IT"/>
                  </w:rPr>
                  <w:t>Average</w:t>
                </w:r>
              </w:p>
            </w:tc>
            <w:tc>
              <w:tcPr>
                <w:tcW w:w="644" w:type="pct"/>
                <w:shd w:val="clear" w:color="auto" w:fill="FFFFFF" w:themeFill="background2"/>
                <w:tcMar>
                  <w:top w:w="60" w:type="dxa"/>
                  <w:left w:w="114" w:type="dxa"/>
                  <w:bottom w:w="60" w:type="dxa"/>
                  <w:right w:w="114" w:type="dxa"/>
                </w:tcMar>
                <w:vAlign w:val="center"/>
              </w:tcPr>
              <w:p w14:paraId="009BAC41" w14:textId="344656F3" w:rsidR="0036210A" w:rsidRPr="004A2C11" w:rsidRDefault="0036210A" w:rsidP="0028096E">
                <w:pPr>
                  <w:spacing w:before="0" w:line="240" w:lineRule="auto"/>
                  <w:jc w:val="center"/>
                  <w:rPr>
                    <w:rFonts w:eastAsia="Times New Roman" w:cs="Segoe UI"/>
                    <w:b/>
                    <w:bCs/>
                    <w:sz w:val="14"/>
                    <w:szCs w:val="22"/>
                    <w:lang w:val="en-GB" w:eastAsia="it-IT"/>
                  </w:rPr>
                </w:pPr>
                <w:r w:rsidRPr="004A2C11">
                  <w:rPr>
                    <w:rFonts w:eastAsia="Times New Roman" w:cs="Segoe UI"/>
                    <w:b/>
                    <w:bCs/>
                    <w:sz w:val="14"/>
                    <w:szCs w:val="22"/>
                    <w:lang w:val="en-GB" w:eastAsia="it-IT"/>
                  </w:rPr>
                  <w:t>2009-202</w:t>
                </w:r>
                <w:r w:rsidR="00EF06F1">
                  <w:rPr>
                    <w:rFonts w:eastAsia="Times New Roman" w:cs="Segoe UI"/>
                    <w:b/>
                    <w:bCs/>
                    <w:sz w:val="14"/>
                    <w:szCs w:val="22"/>
                    <w:lang w:val="en-GB" w:eastAsia="it-IT"/>
                  </w:rPr>
                  <w:t>3</w:t>
                </w:r>
              </w:p>
            </w:tc>
            <w:tc>
              <w:tcPr>
                <w:tcW w:w="617" w:type="pct"/>
                <w:shd w:val="clear" w:color="auto" w:fill="FFFFFF" w:themeFill="background2"/>
                <w:tcMar>
                  <w:top w:w="60" w:type="dxa"/>
                  <w:left w:w="114" w:type="dxa"/>
                  <w:bottom w:w="60" w:type="dxa"/>
                  <w:right w:w="114" w:type="dxa"/>
                </w:tcMar>
                <w:vAlign w:val="center"/>
              </w:tcPr>
              <w:p w14:paraId="6F2BF1E2" w14:textId="087FDE65" w:rsidR="0036210A" w:rsidRPr="004A2C11" w:rsidRDefault="0036210A" w:rsidP="0028096E">
                <w:pPr>
                  <w:spacing w:before="0" w:line="240" w:lineRule="auto"/>
                  <w:jc w:val="center"/>
                  <w:rPr>
                    <w:rFonts w:eastAsia="Times New Roman" w:cs="Segoe UI"/>
                    <w:b/>
                    <w:bCs/>
                    <w:sz w:val="14"/>
                    <w:szCs w:val="22"/>
                    <w:lang w:val="en-GB" w:eastAsia="it-IT"/>
                  </w:rPr>
                </w:pPr>
                <w:r w:rsidRPr="004A2C11">
                  <w:rPr>
                    <w:rFonts w:eastAsia="Times New Roman" w:cs="Segoe UI"/>
                    <w:b/>
                    <w:bCs/>
                    <w:sz w:val="14"/>
                    <w:szCs w:val="22"/>
                    <w:lang w:val="en-GB" w:eastAsia="it-IT"/>
                  </w:rPr>
                  <w:t>4</w:t>
                </w:r>
                <w:r w:rsidR="00D058C1">
                  <w:rPr>
                    <w:rFonts w:eastAsia="Times New Roman" w:cs="Segoe UI"/>
                    <w:b/>
                    <w:bCs/>
                    <w:sz w:val="14"/>
                    <w:szCs w:val="22"/>
                    <w:lang w:val="en-GB" w:eastAsia="it-IT"/>
                  </w:rPr>
                  <w:t>.</w:t>
                </w:r>
                <w:r w:rsidRPr="004A2C11">
                  <w:rPr>
                    <w:rFonts w:eastAsia="Times New Roman" w:cs="Segoe UI"/>
                    <w:b/>
                    <w:bCs/>
                    <w:sz w:val="14"/>
                    <w:szCs w:val="22"/>
                    <w:lang w:val="en-GB" w:eastAsia="it-IT"/>
                  </w:rPr>
                  <w:t>52%</w:t>
                </w:r>
              </w:p>
            </w:tc>
            <w:tc>
              <w:tcPr>
                <w:tcW w:w="617" w:type="pct"/>
                <w:shd w:val="clear" w:color="auto" w:fill="FFFFFF" w:themeFill="background2"/>
                <w:vAlign w:val="center"/>
              </w:tcPr>
              <w:p w14:paraId="03EB54C1" w14:textId="48C9CB9D" w:rsidR="0036210A" w:rsidRPr="004A2C11" w:rsidRDefault="0036210A" w:rsidP="0028096E">
                <w:pPr>
                  <w:spacing w:before="0" w:line="240" w:lineRule="auto"/>
                  <w:jc w:val="center"/>
                  <w:rPr>
                    <w:rFonts w:eastAsia="Times New Roman" w:cs="Segoe UI"/>
                    <w:b/>
                    <w:bCs/>
                    <w:sz w:val="14"/>
                    <w:szCs w:val="22"/>
                    <w:lang w:val="en-GB" w:eastAsia="it-IT"/>
                  </w:rPr>
                </w:pPr>
                <w:r w:rsidRPr="004A2C11">
                  <w:rPr>
                    <w:rFonts w:eastAsia="Times New Roman" w:cs="Segoe UI"/>
                    <w:b/>
                    <w:bCs/>
                    <w:sz w:val="14"/>
                    <w:szCs w:val="22"/>
                    <w:lang w:val="en-GB" w:eastAsia="it-IT"/>
                  </w:rPr>
                  <w:t>3</w:t>
                </w:r>
                <w:r w:rsidR="00D058C1">
                  <w:rPr>
                    <w:rFonts w:eastAsia="Times New Roman" w:cs="Segoe UI"/>
                    <w:b/>
                    <w:bCs/>
                    <w:sz w:val="14"/>
                    <w:szCs w:val="22"/>
                    <w:lang w:val="en-GB" w:eastAsia="it-IT"/>
                  </w:rPr>
                  <w:t>.</w:t>
                </w:r>
                <w:r w:rsidRPr="004A2C11">
                  <w:rPr>
                    <w:rFonts w:eastAsia="Times New Roman" w:cs="Segoe UI"/>
                    <w:b/>
                    <w:bCs/>
                    <w:sz w:val="14"/>
                    <w:szCs w:val="22"/>
                    <w:lang w:val="en-GB" w:eastAsia="it-IT"/>
                  </w:rPr>
                  <w:t>06%</w:t>
                </w:r>
              </w:p>
            </w:tc>
            <w:tc>
              <w:tcPr>
                <w:tcW w:w="617" w:type="pct"/>
                <w:shd w:val="clear" w:color="auto" w:fill="FFFFFF" w:themeFill="background2"/>
                <w:vAlign w:val="center"/>
              </w:tcPr>
              <w:p w14:paraId="761F3379" w14:textId="76E8A408" w:rsidR="0036210A" w:rsidRPr="004A2C11" w:rsidRDefault="0036210A" w:rsidP="0028096E">
                <w:pPr>
                  <w:spacing w:before="0" w:line="240" w:lineRule="auto"/>
                  <w:jc w:val="center"/>
                  <w:rPr>
                    <w:rFonts w:eastAsia="Times New Roman" w:cs="Segoe UI"/>
                    <w:b/>
                    <w:bCs/>
                    <w:sz w:val="14"/>
                    <w:szCs w:val="22"/>
                    <w:lang w:val="en-GB" w:eastAsia="it-IT"/>
                  </w:rPr>
                </w:pPr>
                <w:r w:rsidRPr="004A2C11">
                  <w:rPr>
                    <w:rFonts w:eastAsia="Times New Roman" w:cs="Segoe UI"/>
                    <w:b/>
                    <w:bCs/>
                    <w:sz w:val="14"/>
                    <w:szCs w:val="22"/>
                    <w:lang w:val="en-GB" w:eastAsia="it-IT"/>
                  </w:rPr>
                  <w:t>2</w:t>
                </w:r>
                <w:r w:rsidR="00D058C1">
                  <w:rPr>
                    <w:rFonts w:eastAsia="Times New Roman" w:cs="Segoe UI"/>
                    <w:b/>
                    <w:bCs/>
                    <w:sz w:val="14"/>
                    <w:szCs w:val="22"/>
                    <w:lang w:val="en-GB" w:eastAsia="it-IT"/>
                  </w:rPr>
                  <w:t>.</w:t>
                </w:r>
                <w:r w:rsidRPr="004A2C11">
                  <w:rPr>
                    <w:rFonts w:eastAsia="Times New Roman" w:cs="Segoe UI"/>
                    <w:b/>
                    <w:bCs/>
                    <w:sz w:val="14"/>
                    <w:szCs w:val="22"/>
                    <w:lang w:val="en-GB" w:eastAsia="it-IT"/>
                  </w:rPr>
                  <w:t>28%</w:t>
                </w:r>
              </w:p>
            </w:tc>
            <w:tc>
              <w:tcPr>
                <w:tcW w:w="617" w:type="pct"/>
                <w:shd w:val="clear" w:color="auto" w:fill="FFFFFF" w:themeFill="background2"/>
                <w:vAlign w:val="center"/>
              </w:tcPr>
              <w:p w14:paraId="26068E1D" w14:textId="03044BD9" w:rsidR="0036210A" w:rsidRPr="004A2C11" w:rsidRDefault="0036210A" w:rsidP="0028096E">
                <w:pPr>
                  <w:spacing w:before="0" w:line="240" w:lineRule="auto"/>
                  <w:jc w:val="center"/>
                  <w:rPr>
                    <w:rFonts w:eastAsia="Times New Roman" w:cs="Segoe UI"/>
                    <w:b/>
                    <w:bCs/>
                    <w:sz w:val="14"/>
                    <w:szCs w:val="22"/>
                    <w:lang w:val="en-GB" w:eastAsia="it-IT"/>
                  </w:rPr>
                </w:pPr>
                <w:r w:rsidRPr="004A2C11">
                  <w:rPr>
                    <w:rFonts w:eastAsia="Times New Roman" w:cs="Segoe UI"/>
                    <w:b/>
                    <w:bCs/>
                    <w:sz w:val="14"/>
                    <w:szCs w:val="22"/>
                    <w:lang w:val="en-GB" w:eastAsia="it-IT"/>
                  </w:rPr>
                  <w:t>1</w:t>
                </w:r>
                <w:r w:rsidR="00D058C1">
                  <w:rPr>
                    <w:rFonts w:eastAsia="Times New Roman" w:cs="Segoe UI"/>
                    <w:b/>
                    <w:bCs/>
                    <w:sz w:val="14"/>
                    <w:szCs w:val="22"/>
                    <w:lang w:val="en-GB" w:eastAsia="it-IT"/>
                  </w:rPr>
                  <w:t>.</w:t>
                </w:r>
                <w:r w:rsidRPr="004A2C11">
                  <w:rPr>
                    <w:rFonts w:eastAsia="Times New Roman" w:cs="Segoe UI"/>
                    <w:b/>
                    <w:bCs/>
                    <w:sz w:val="14"/>
                    <w:szCs w:val="22"/>
                    <w:lang w:val="en-GB" w:eastAsia="it-IT"/>
                  </w:rPr>
                  <w:t>24%</w:t>
                </w:r>
              </w:p>
            </w:tc>
            <w:tc>
              <w:tcPr>
                <w:tcW w:w="617" w:type="pct"/>
                <w:shd w:val="clear" w:color="auto" w:fill="FFFFFF" w:themeFill="background2"/>
                <w:vAlign w:val="center"/>
              </w:tcPr>
              <w:p w14:paraId="6486AA67" w14:textId="2C7D66F1" w:rsidR="0036210A" w:rsidRPr="004A2C11" w:rsidRDefault="0036210A" w:rsidP="0028096E">
                <w:pPr>
                  <w:spacing w:before="0" w:line="240" w:lineRule="auto"/>
                  <w:jc w:val="center"/>
                  <w:rPr>
                    <w:rFonts w:eastAsia="Times New Roman" w:cs="Segoe UI"/>
                    <w:b/>
                    <w:bCs/>
                    <w:sz w:val="14"/>
                    <w:szCs w:val="22"/>
                    <w:lang w:val="en-GB" w:eastAsia="it-IT"/>
                  </w:rPr>
                </w:pPr>
                <w:r w:rsidRPr="004A2C11">
                  <w:rPr>
                    <w:rFonts w:eastAsia="Times New Roman" w:cs="Segoe UI"/>
                    <w:b/>
                    <w:bCs/>
                    <w:sz w:val="14"/>
                    <w:szCs w:val="22"/>
                    <w:lang w:val="en-GB" w:eastAsia="it-IT"/>
                  </w:rPr>
                  <w:t>2</w:t>
                </w:r>
                <w:r w:rsidR="00D058C1">
                  <w:rPr>
                    <w:rFonts w:eastAsia="Times New Roman" w:cs="Segoe UI"/>
                    <w:b/>
                    <w:bCs/>
                    <w:sz w:val="14"/>
                    <w:szCs w:val="22"/>
                    <w:lang w:val="en-GB" w:eastAsia="it-IT"/>
                  </w:rPr>
                  <w:t>.</w:t>
                </w:r>
                <w:r w:rsidRPr="004A2C11">
                  <w:rPr>
                    <w:rFonts w:eastAsia="Times New Roman" w:cs="Segoe UI"/>
                    <w:b/>
                    <w:bCs/>
                    <w:sz w:val="14"/>
                    <w:szCs w:val="22"/>
                    <w:lang w:val="en-GB" w:eastAsia="it-IT"/>
                  </w:rPr>
                  <w:t>72%</w:t>
                </w:r>
              </w:p>
            </w:tc>
            <w:tc>
              <w:tcPr>
                <w:tcW w:w="617" w:type="pct"/>
                <w:shd w:val="clear" w:color="auto" w:fill="FFFFFF" w:themeFill="background2"/>
                <w:vAlign w:val="center"/>
              </w:tcPr>
              <w:p w14:paraId="1D441048" w14:textId="585098AE" w:rsidR="0036210A" w:rsidRPr="004A2C11" w:rsidRDefault="0036210A" w:rsidP="0028096E">
                <w:pPr>
                  <w:spacing w:before="0" w:line="240" w:lineRule="auto"/>
                  <w:jc w:val="center"/>
                  <w:rPr>
                    <w:rFonts w:eastAsia="Times New Roman" w:cs="Segoe UI"/>
                    <w:b/>
                    <w:bCs/>
                    <w:sz w:val="14"/>
                    <w:szCs w:val="22"/>
                    <w:lang w:val="en-GB" w:eastAsia="it-IT"/>
                  </w:rPr>
                </w:pPr>
                <w:r w:rsidRPr="004A2C11">
                  <w:rPr>
                    <w:rFonts w:eastAsia="Times New Roman" w:cs="Segoe UI"/>
                    <w:b/>
                    <w:bCs/>
                    <w:sz w:val="14"/>
                    <w:szCs w:val="22"/>
                    <w:lang w:val="en-GB" w:eastAsia="it-IT"/>
                  </w:rPr>
                  <w:t>3</w:t>
                </w:r>
                <w:r w:rsidR="00D058C1">
                  <w:rPr>
                    <w:rFonts w:eastAsia="Times New Roman" w:cs="Segoe UI"/>
                    <w:b/>
                    <w:bCs/>
                    <w:sz w:val="14"/>
                    <w:szCs w:val="22"/>
                    <w:lang w:val="en-GB" w:eastAsia="it-IT"/>
                  </w:rPr>
                  <w:t>.</w:t>
                </w:r>
                <w:r w:rsidRPr="004A2C11">
                  <w:rPr>
                    <w:rFonts w:eastAsia="Times New Roman" w:cs="Segoe UI"/>
                    <w:b/>
                    <w:bCs/>
                    <w:sz w:val="14"/>
                    <w:szCs w:val="22"/>
                    <w:lang w:val="en-GB" w:eastAsia="it-IT"/>
                  </w:rPr>
                  <w:t>14%</w:t>
                </w:r>
              </w:p>
            </w:tc>
          </w:tr>
        </w:tbl>
        <w:p w14:paraId="7EDABE28" w14:textId="63B97F68" w:rsidR="004101BF" w:rsidRPr="0032337D" w:rsidRDefault="004101BF" w:rsidP="004101BF">
          <w:pPr>
            <w:pStyle w:val="Didascalia"/>
            <w:rPr>
              <w:rFonts w:ascii="Segoe UI" w:hAnsi="Segoe UI" w:cs="Segoe UI"/>
              <w:i/>
              <w:sz w:val="14"/>
              <w:lang w:val="en-GB"/>
            </w:rPr>
          </w:pPr>
          <w:bookmarkStart w:id="64" w:name="_Toc166675656"/>
          <w:bookmarkStart w:id="65" w:name="_Toc167131783"/>
          <w:r w:rsidRPr="0032337D">
            <w:rPr>
              <w:rFonts w:ascii="Segoe UI" w:hAnsi="Segoe UI" w:cs="Segoe UI"/>
              <w:i/>
              <w:sz w:val="14"/>
              <w:lang w:val="en-GB"/>
            </w:rPr>
            <w:lastRenderedPageBreak/>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15</w:t>
          </w:r>
          <w:r>
            <w:rPr>
              <w:rFonts w:ascii="Segoe UI" w:hAnsi="Segoe UI" w:cs="Segoe UI"/>
              <w:i/>
              <w:sz w:val="14"/>
              <w:lang w:val="en-GB"/>
            </w:rPr>
            <w:fldChar w:fldCharType="end"/>
          </w:r>
          <w:r w:rsidRPr="0032337D">
            <w:rPr>
              <w:rFonts w:ascii="Segoe UI" w:hAnsi="Segoe UI" w:cs="Segoe UI"/>
              <w:i/>
              <w:sz w:val="14"/>
              <w:lang w:val="en-GB"/>
            </w:rPr>
            <w:t>: Average 1-year default rates by company size</w:t>
          </w:r>
          <w:r>
            <w:rPr>
              <w:rFonts w:ascii="Segoe UI" w:hAnsi="Segoe UI" w:cs="Segoe UI"/>
              <w:i/>
              <w:sz w:val="14"/>
              <w:lang w:val="en-GB"/>
            </w:rPr>
            <w:t xml:space="preserve"> (graph)</w:t>
          </w:r>
          <w:bookmarkEnd w:id="63"/>
          <w:bookmarkEnd w:id="64"/>
          <w:bookmarkEnd w:id="65"/>
        </w:p>
        <w:p w14:paraId="2918CD4E" w14:textId="28206C79" w:rsidR="0038613B" w:rsidRPr="0032337D" w:rsidRDefault="0038613B" w:rsidP="004101BF">
          <w:pPr>
            <w:jc w:val="center"/>
            <w:rPr>
              <w:rFonts w:cs="Segoe UI"/>
              <w:lang w:val="en-GB"/>
            </w:rPr>
          </w:pPr>
          <w:r w:rsidRPr="0038613B">
            <w:rPr>
              <w:noProof/>
              <w:sz w:val="14"/>
              <w:szCs w:val="14"/>
            </w:rPr>
            <w:drawing>
              <wp:inline distT="0" distB="0" distL="0" distR="0" wp14:anchorId="7EEE22D0" wp14:editId="18F04028">
                <wp:extent cx="6661150" cy="4103077"/>
                <wp:effectExtent l="0" t="0" r="6350" b="0"/>
                <wp:docPr id="628813158" name="Grafico 1">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B6CA1C5" w14:textId="38FFACCD" w:rsidR="004101BF" w:rsidRPr="0032337D" w:rsidRDefault="004101BF" w:rsidP="004101BF">
          <w:pPr>
            <w:rPr>
              <w:rFonts w:cs="Segoe UI"/>
              <w:lang w:val="en-GB"/>
            </w:rPr>
          </w:pPr>
          <w:r w:rsidRPr="0032337D">
            <w:rPr>
              <w:rFonts w:cs="Segoe UI"/>
              <w:lang w:val="en-GB"/>
            </w:rPr>
            <w:t xml:space="preserve">As </w:t>
          </w:r>
          <w:r w:rsidR="00857491">
            <w:rPr>
              <w:rFonts w:cs="Segoe UI"/>
              <w:lang w:val="en-GB"/>
            </w:rPr>
            <w:t>previously</w:t>
          </w:r>
          <w:r w:rsidRPr="0032337D">
            <w:rPr>
              <w:rFonts w:cs="Segoe UI"/>
              <w:lang w:val="en-GB"/>
            </w:rPr>
            <w:t xml:space="preserve"> stated, higher risk tends to be associated </w:t>
          </w:r>
          <w:r w:rsidRPr="0032337D">
            <w:rPr>
              <w:rFonts w:cs="Segoe UI"/>
              <w:i/>
              <w:lang w:val="en-GB"/>
            </w:rPr>
            <w:t>ex-ante</w:t>
          </w:r>
          <w:r w:rsidRPr="0032337D">
            <w:rPr>
              <w:rFonts w:cs="Segoe UI"/>
              <w:lang w:val="en-GB"/>
            </w:rPr>
            <w:t xml:space="preserve"> with smaller companies. Such an approach is consistent with </w:t>
          </w:r>
          <w:r w:rsidRPr="0032337D">
            <w:rPr>
              <w:rFonts w:cs="Segoe UI"/>
              <w:i/>
              <w:lang w:val="en-GB"/>
            </w:rPr>
            <w:t>ex-post</w:t>
          </w:r>
          <w:r w:rsidRPr="0032337D">
            <w:rPr>
              <w:rFonts w:cs="Segoe UI"/>
              <w:lang w:val="en-GB"/>
            </w:rPr>
            <w:t xml:space="preserve"> data: actual default rates decrease when the size of the entities increases.</w:t>
          </w:r>
        </w:p>
        <w:p w14:paraId="3186C375" w14:textId="77777777" w:rsidR="004101BF" w:rsidRPr="0032337D" w:rsidRDefault="004101BF" w:rsidP="004101BF">
          <w:pPr>
            <w:rPr>
              <w:rFonts w:cs="Segoe UI"/>
              <w:lang w:val="en-GB"/>
            </w:rPr>
          </w:pPr>
          <w:r w:rsidRPr="0032337D">
            <w:rPr>
              <w:rFonts w:cs="Segoe UI"/>
              <w:lang w:val="en-GB"/>
            </w:rPr>
            <w:t>As far as the geographical area is concerned, the following analysis shows the incidence of default rates by region:</w:t>
          </w:r>
        </w:p>
        <w:p w14:paraId="1A051E85" w14:textId="6AAAB6DC" w:rsidR="004101BF" w:rsidRPr="0032337D" w:rsidRDefault="004101BF" w:rsidP="004101BF">
          <w:pPr>
            <w:pStyle w:val="Didascalia"/>
            <w:rPr>
              <w:rFonts w:ascii="Segoe UI" w:hAnsi="Segoe UI" w:cs="Segoe UI"/>
              <w:i/>
              <w:sz w:val="14"/>
              <w:lang w:val="en-GB"/>
            </w:rPr>
          </w:pPr>
          <w:bookmarkStart w:id="66" w:name="_Toc130806317"/>
          <w:bookmarkStart w:id="67" w:name="_Toc166675657"/>
          <w:bookmarkStart w:id="68" w:name="_Toc167131784"/>
          <w:r w:rsidRPr="00065976">
            <w:rPr>
              <w:rFonts w:ascii="Segoe UI" w:hAnsi="Segoe UI" w:cs="Segoe UI"/>
              <w:i/>
              <w:sz w:val="14"/>
              <w:lang w:val="en-GB"/>
            </w:rPr>
            <w:t xml:space="preserve">Exhibit </w:t>
          </w:r>
          <w:r w:rsidRPr="00065976">
            <w:rPr>
              <w:rFonts w:ascii="Segoe UI" w:hAnsi="Segoe UI" w:cs="Segoe UI"/>
              <w:i/>
              <w:sz w:val="14"/>
              <w:lang w:val="en-GB"/>
            </w:rPr>
            <w:fldChar w:fldCharType="begin"/>
          </w:r>
          <w:r w:rsidRPr="00065976">
            <w:rPr>
              <w:rFonts w:ascii="Segoe UI" w:hAnsi="Segoe UI" w:cs="Segoe UI"/>
              <w:i/>
              <w:sz w:val="14"/>
              <w:lang w:val="en-GB"/>
            </w:rPr>
            <w:instrText xml:space="preserve"> SEQ Exhibit \* ARABIC </w:instrText>
          </w:r>
          <w:r w:rsidRPr="00065976">
            <w:rPr>
              <w:rFonts w:ascii="Segoe UI" w:hAnsi="Segoe UI" w:cs="Segoe UI"/>
              <w:i/>
              <w:sz w:val="14"/>
              <w:lang w:val="en-GB"/>
            </w:rPr>
            <w:fldChar w:fldCharType="separate"/>
          </w:r>
          <w:r w:rsidR="009857B6">
            <w:rPr>
              <w:rFonts w:ascii="Segoe UI" w:hAnsi="Segoe UI" w:cs="Segoe UI"/>
              <w:i/>
              <w:noProof/>
              <w:sz w:val="14"/>
              <w:lang w:val="en-GB"/>
            </w:rPr>
            <w:t>16</w:t>
          </w:r>
          <w:r w:rsidRPr="00065976">
            <w:rPr>
              <w:rFonts w:ascii="Segoe UI" w:hAnsi="Segoe UI" w:cs="Segoe UI"/>
              <w:i/>
              <w:sz w:val="14"/>
              <w:lang w:val="en-GB"/>
            </w:rPr>
            <w:fldChar w:fldCharType="end"/>
          </w:r>
          <w:r w:rsidRPr="00065976">
            <w:rPr>
              <w:rFonts w:ascii="Segoe UI" w:hAnsi="Segoe UI" w:cs="Segoe UI"/>
              <w:i/>
              <w:sz w:val="14"/>
              <w:lang w:val="en-GB"/>
            </w:rPr>
            <w:t>: Average 1-year default rates by geographical area</w:t>
          </w:r>
          <w:bookmarkEnd w:id="66"/>
          <w:bookmarkEnd w:id="67"/>
          <w:bookmarkEnd w:id="68"/>
        </w:p>
        <w:tbl>
          <w:tblPr>
            <w:tblW w:w="5000" w:type="pct"/>
            <w:tblBorders>
              <w:top w:val="single" w:sz="4" w:space="0" w:color="AFAFB4" w:themeColor="accent4"/>
              <w:bottom w:val="single" w:sz="4" w:space="0" w:color="AFAFB4" w:themeColor="accent4"/>
              <w:insideH w:val="single" w:sz="4" w:space="0" w:color="AFAFB4" w:themeColor="accent4"/>
            </w:tblBorders>
            <w:shd w:val="clear" w:color="auto" w:fill="FFFFFF" w:themeFill="background2"/>
            <w:tblCellMar>
              <w:left w:w="0" w:type="dxa"/>
              <w:right w:w="0" w:type="dxa"/>
            </w:tblCellMar>
            <w:tblLook w:val="0620" w:firstRow="1" w:lastRow="0" w:firstColumn="0" w:lastColumn="0" w:noHBand="1" w:noVBand="1"/>
            <w:tblDescription w:val="{&quot;Ott&quot;:{&quot;FirstRow&quot;:{&quot;BackgroundColor&quot;:{&quot;Key&quot;:&quot;Light2&quot;},&quot;Font&quot;:{&quot;Name&quot;:&quot;Source Sans Pro&quot;,&quot;Size&quot;:14.0,&quot;Bold&quot;:false,&quot;Italic&quot;:false,&quot;Color&quot;:{&quot;Key&quot;:&quot;Dark2&quot;}},&quot;ExcelCellFormatting&quot;:&quot;General&quot;,&quot;Alignment&quot;:{&quot;Horizontal&quot;:&quot;Left&quot;,&quot;Vertical&quot;:&quot;Bottom&quot;},&quot;Borders&quot;:{&quot;Vertical&quot;:{&quot;Visible&quot;:false},&quot;Left&quot;:{&quot;Visible&quot;:false},&quot;Top&quot;:{&quot;Visible&quot;:false},&quot;Right&quot;:{&quot;Visible&quot;:false},&quot;Bottom&quot;:{&quot;Color&quot;:{&quot;Key&quot;:&quot;Accent4&quot;},&quot;BorderWeight&quot;:&quot;Pt1_5&quot;,&quot;Type&quot;:&quot;Solid&quot;,&quot;Visible&quot;:true}}},&quot;FitRowHeightPp&quot;:true,&quot;ZeroMarginsWord&quot;:true,&quot;BackgroundColor&quot;:{&quot;Key&quot;:&quot;Light2&quot;},&quot;Font&quot;:{&quot;Name&quot;:&quot;Source Sans Pro&quot;,&quot;Size&quot;:11.0,&quot;Bold&quot;:false,&quot;Italic&quot;:false,&quot;Color&quot;:{&quot;Key&quot;:&quot;Dark2&quot;}},&quot;LineSpacing&quot;:{&quot;Rule&quot;:&quot;Single&quot;},&quot;Alignment&quot;:{&quot;Horizontal&quot;:&quot;Left&quot;,&quot;Vertical&quot;:&quot;Top&quot;},&quot;Margin&quot;:{&quot;Left&quot;:5.7,&quot;Top&quot;:3.0,&quot;Right&quot;:5.7,&quot;Bottom&quot;:3.0},&quot;Borders&quot;:{&quot;Vertical&quot;:{&quot;Visible&quot;:false},&quot;Horizontal&quot;:{&quot;Color&quot;:{&quot;Key&quot;:&quot;Accent4&quot;},&quot;BorderWeight&quot;:&quot;Pt0_5&quot;,&quot;Type&quot;:&quot;Solid&quot;,&quot;Visible&quot;:true}},&quot;ParagraphSpacing&quot;:{&quot;SpaceBefore&quot;:2.0,&quot;SpaceAfter&quot;:2.0},&quot;ExcelWrapText&quot;:true},&quot;Ccs&quot;:{&quot;DarkBlue&quot;:&quot;0, 20, 55&quot;,&quot;Turquoise&quot;:&quot;0, 164, 230&quot;,&quot;Red&quot;:&quot;214, 70, 65&quot;,&quot;LightGrey&quot;:&quot;174, 174, 180&quot;,&quot;BlueGrey&quot;:&quot;77, 91, 115&quot;,&quot;IceBlue&quot;:&quot;178, 184, 195&quot;,&quot;Grey&quot;:&quot;145, 147, 153&quot;,&quot;Background&quot;:&quot;0, 0, 0, 0&quot;,&quot;White&quot;:&quot;White&quot;,&quot;Accent1&quot;:&quot;1, 1, 1, 1&quot;,&quot;Accent2&quot;:&quot;1, 1, 1, 2&quot;,&quot;Accent3&quot;:&quot;1, 1, 1, 3&quot;,&quot;Accent4&quot;:&quot;1, 1, 1, 4&quot;,&quot;Accent5&quot;:&quot;1, 1, 1, 5&quot;,&quot;Accent6&quot;:&quot;1, 1, 1, 6&quot;,&quot;Dark1&quot;:&quot;1, 1, 1, 7&quot;,&quot;Dark2&quot;:&quot;1, 1, 1, 9&quot;,&quot;Light1&quot;:&quot;1, 1, 1, 8&quot;,&quot;Light2&quot;:&quot;1, 1, 1, 10&quot;},&quot;Cop&quot;:{&quot;FirstRow&quot;:true,&quot;LastRow&quot;:false,&quot;FirstColumn&quot;:false,&quot;LastColumn&quot;:false,&quot;BandedRows&quot;:false,&quot;BandedColumns&quot;:false},&quot;Aaf&quot;:false}"/>
          </w:tblPr>
          <w:tblGrid>
            <w:gridCol w:w="2069"/>
            <w:gridCol w:w="2069"/>
            <w:gridCol w:w="2070"/>
            <w:gridCol w:w="2070"/>
            <w:gridCol w:w="2070"/>
          </w:tblGrid>
          <w:tr w:rsidR="00913BDD" w:rsidRPr="00ED33EF" w14:paraId="05B83ECD" w14:textId="77777777" w:rsidTr="006A528C">
            <w:trPr>
              <w:trHeight w:val="283"/>
            </w:trPr>
            <w:tc>
              <w:tcPr>
                <w:tcW w:w="1000"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1821D51F" w14:textId="582BCFA1" w:rsidR="00913BDD" w:rsidRPr="00ED33EF" w:rsidRDefault="006A528C" w:rsidP="004412F7">
                <w:pPr>
                  <w:spacing w:before="0" w:line="240" w:lineRule="auto"/>
                  <w:jc w:val="center"/>
                  <w:rPr>
                    <w:b/>
                    <w:color w:val="33A1AB" w:themeColor="accent2"/>
                    <w:sz w:val="14"/>
                    <w:szCs w:val="14"/>
                  </w:rPr>
                </w:pPr>
                <w:r>
                  <w:rPr>
                    <w:b/>
                    <w:color w:val="33A1AB" w:themeColor="accent2"/>
                    <w:sz w:val="14"/>
                    <w:szCs w:val="14"/>
                  </w:rPr>
                  <w:t>Geographical area</w:t>
                </w:r>
              </w:p>
            </w:tc>
            <w:tc>
              <w:tcPr>
                <w:tcW w:w="1000"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64F9C8B9" w14:textId="3DCB20C3" w:rsidR="00913BDD" w:rsidRPr="00ED33EF" w:rsidRDefault="006A528C" w:rsidP="004412F7">
                <w:pPr>
                  <w:spacing w:before="0" w:line="240" w:lineRule="auto"/>
                  <w:jc w:val="center"/>
                  <w:rPr>
                    <w:b/>
                    <w:color w:val="33A1AB" w:themeColor="accent2"/>
                    <w:sz w:val="14"/>
                    <w:szCs w:val="14"/>
                  </w:rPr>
                </w:pPr>
                <w:r>
                  <w:rPr>
                    <w:b/>
                    <w:color w:val="33A1AB" w:themeColor="accent2"/>
                    <w:sz w:val="14"/>
                    <w:szCs w:val="14"/>
                  </w:rPr>
                  <w:t>Number of rated entities</w:t>
                </w:r>
              </w:p>
            </w:tc>
            <w:tc>
              <w:tcPr>
                <w:tcW w:w="1000"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5D963F77" w14:textId="2549AC5C" w:rsidR="00913BDD" w:rsidRPr="00ED33EF" w:rsidRDefault="006A528C" w:rsidP="004412F7">
                <w:pPr>
                  <w:spacing w:before="0" w:line="240" w:lineRule="auto"/>
                  <w:jc w:val="center"/>
                  <w:rPr>
                    <w:b/>
                    <w:color w:val="33A1AB" w:themeColor="accent2"/>
                    <w:sz w:val="14"/>
                    <w:szCs w:val="14"/>
                  </w:rPr>
                </w:pPr>
                <w:r>
                  <w:rPr>
                    <w:b/>
                    <w:color w:val="33A1AB" w:themeColor="accent2"/>
                    <w:sz w:val="14"/>
                    <w:szCs w:val="14"/>
                  </w:rPr>
                  <w:t>Percentage distribution</w:t>
                </w:r>
              </w:p>
            </w:tc>
            <w:tc>
              <w:tcPr>
                <w:tcW w:w="1000" w:type="pct"/>
                <w:tcBorders>
                  <w:top w:val="single" w:sz="12" w:space="0" w:color="AFAFB4" w:themeColor="accent4"/>
                </w:tcBorders>
                <w:shd w:val="clear" w:color="auto" w:fill="FFFFFF" w:themeFill="background2"/>
                <w:vAlign w:val="center"/>
              </w:tcPr>
              <w:p w14:paraId="680DA566" w14:textId="3C45E1FD" w:rsidR="00913BDD" w:rsidRPr="00ED33EF" w:rsidRDefault="006A528C" w:rsidP="004412F7">
                <w:pPr>
                  <w:spacing w:before="0" w:line="240" w:lineRule="auto"/>
                  <w:jc w:val="center"/>
                  <w:rPr>
                    <w:b/>
                    <w:color w:val="33A1AB" w:themeColor="accent2"/>
                    <w:sz w:val="14"/>
                    <w:szCs w:val="14"/>
                  </w:rPr>
                </w:pPr>
                <w:r>
                  <w:rPr>
                    <w:b/>
                    <w:color w:val="33A1AB" w:themeColor="accent2"/>
                    <w:sz w:val="14"/>
                    <w:szCs w:val="14"/>
                  </w:rPr>
                  <w:t>Number of defaults</w:t>
                </w:r>
              </w:p>
            </w:tc>
            <w:tc>
              <w:tcPr>
                <w:tcW w:w="1000" w:type="pct"/>
                <w:tcBorders>
                  <w:top w:val="single" w:sz="12" w:space="0" w:color="AFAFB4" w:themeColor="accent4"/>
                </w:tcBorders>
                <w:shd w:val="clear" w:color="auto" w:fill="FFFFFF" w:themeFill="background2"/>
                <w:vAlign w:val="center"/>
              </w:tcPr>
              <w:p w14:paraId="6E8F2CD8" w14:textId="7B6E4820" w:rsidR="00913BDD" w:rsidRPr="00ED33EF" w:rsidRDefault="006A528C" w:rsidP="004412F7">
                <w:pPr>
                  <w:spacing w:before="0" w:line="240" w:lineRule="auto"/>
                  <w:jc w:val="center"/>
                  <w:rPr>
                    <w:b/>
                    <w:color w:val="33A1AB" w:themeColor="accent2"/>
                    <w:sz w:val="14"/>
                    <w:szCs w:val="14"/>
                  </w:rPr>
                </w:pPr>
                <w:r>
                  <w:rPr>
                    <w:b/>
                    <w:color w:val="33A1AB" w:themeColor="accent2"/>
                    <w:sz w:val="14"/>
                    <w:szCs w:val="14"/>
                  </w:rPr>
                  <w:t>1-y default rate</w:t>
                </w:r>
              </w:p>
            </w:tc>
          </w:tr>
          <w:tr w:rsidR="00001AC6" w:rsidRPr="00ED33EF" w14:paraId="1E1AAC7E" w14:textId="77777777" w:rsidTr="00065976">
            <w:trPr>
              <w:trHeight w:val="283"/>
            </w:trPr>
            <w:tc>
              <w:tcPr>
                <w:tcW w:w="1000" w:type="pct"/>
                <w:shd w:val="clear" w:color="auto" w:fill="FFFFFF" w:themeFill="background2"/>
                <w:tcMar>
                  <w:top w:w="60" w:type="dxa"/>
                  <w:left w:w="114" w:type="dxa"/>
                  <w:bottom w:w="60" w:type="dxa"/>
                  <w:right w:w="114" w:type="dxa"/>
                </w:tcMar>
                <w:vAlign w:val="center"/>
              </w:tcPr>
              <w:p w14:paraId="084DFA58" w14:textId="3C49B900" w:rsidR="00001AC6" w:rsidRPr="00065976" w:rsidRDefault="00065976" w:rsidP="00065976">
                <w:pPr>
                  <w:pStyle w:val="TableIndent3"/>
                  <w:spacing w:before="0" w:after="0"/>
                  <w:ind w:left="0"/>
                  <w:rPr>
                    <w:rFonts w:cs="Segoe UI"/>
                    <w:b/>
                    <w:sz w:val="14"/>
                    <w:szCs w:val="14"/>
                    <w:lang w:val="en-GB" w:eastAsia="it-IT"/>
                  </w:rPr>
                </w:pPr>
                <w:r w:rsidRPr="00065976">
                  <w:rPr>
                    <w:rFonts w:cs="Segoe UI"/>
                    <w:b/>
                    <w:sz w:val="14"/>
                    <w:szCs w:val="14"/>
                    <w:lang w:val="en-GB" w:eastAsia="it-IT"/>
                  </w:rPr>
                  <w:t>Northwest</w:t>
                </w:r>
              </w:p>
            </w:tc>
            <w:tc>
              <w:tcPr>
                <w:tcW w:w="1000" w:type="pct"/>
                <w:shd w:val="clear" w:color="auto" w:fill="FFFFFF" w:themeFill="background2"/>
                <w:tcMar>
                  <w:top w:w="60" w:type="dxa"/>
                  <w:left w:w="114" w:type="dxa"/>
                  <w:bottom w:w="60" w:type="dxa"/>
                  <w:right w:w="114" w:type="dxa"/>
                </w:tcMar>
                <w:vAlign w:val="center"/>
              </w:tcPr>
              <w:p w14:paraId="3289BA77" w14:textId="79C7D6E1" w:rsidR="00001AC6" w:rsidRPr="00ED33EF" w:rsidRDefault="00001AC6" w:rsidP="00001AC6">
                <w:pPr>
                  <w:pStyle w:val="TableTextLeft"/>
                  <w:spacing w:before="0" w:after="0"/>
                  <w:jc w:val="center"/>
                  <w:rPr>
                    <w:sz w:val="14"/>
                    <w:szCs w:val="14"/>
                  </w:rPr>
                </w:pPr>
                <w:r w:rsidRPr="00450471">
                  <w:rPr>
                    <w:rFonts w:cs="Segoe UI"/>
                    <w:sz w:val="14"/>
                    <w:szCs w:val="14"/>
                    <w:lang w:eastAsia="it-IT"/>
                  </w:rPr>
                  <w:t>215</w:t>
                </w:r>
                <w:r w:rsidR="00065976">
                  <w:rPr>
                    <w:rFonts w:cs="Segoe UI"/>
                    <w:sz w:val="14"/>
                    <w:szCs w:val="14"/>
                    <w:lang w:eastAsia="it-IT"/>
                  </w:rPr>
                  <w:t>,</w:t>
                </w:r>
                <w:r w:rsidRPr="00450471">
                  <w:rPr>
                    <w:rFonts w:cs="Segoe UI"/>
                    <w:sz w:val="14"/>
                    <w:szCs w:val="14"/>
                    <w:lang w:eastAsia="it-IT"/>
                  </w:rPr>
                  <w:t>978</w:t>
                </w:r>
              </w:p>
            </w:tc>
            <w:tc>
              <w:tcPr>
                <w:tcW w:w="1000" w:type="pct"/>
                <w:shd w:val="clear" w:color="auto" w:fill="FFFFFF" w:themeFill="background2"/>
                <w:tcMar>
                  <w:top w:w="60" w:type="dxa"/>
                  <w:left w:w="114" w:type="dxa"/>
                  <w:bottom w:w="60" w:type="dxa"/>
                  <w:right w:w="114" w:type="dxa"/>
                </w:tcMar>
                <w:vAlign w:val="center"/>
              </w:tcPr>
              <w:p w14:paraId="68C33F6B" w14:textId="6F151A15" w:rsidR="00001AC6" w:rsidRPr="00ED33EF" w:rsidRDefault="00001AC6" w:rsidP="00001AC6">
                <w:pPr>
                  <w:pStyle w:val="TableTextLeft"/>
                  <w:spacing w:before="0" w:after="0"/>
                  <w:jc w:val="center"/>
                  <w:rPr>
                    <w:sz w:val="14"/>
                    <w:szCs w:val="14"/>
                  </w:rPr>
                </w:pPr>
                <w:r w:rsidRPr="00450471">
                  <w:rPr>
                    <w:rFonts w:cs="Segoe UI"/>
                    <w:sz w:val="14"/>
                    <w:szCs w:val="14"/>
                    <w:lang w:eastAsia="it-IT"/>
                  </w:rPr>
                  <w:t>40.75%</w:t>
                </w:r>
              </w:p>
            </w:tc>
            <w:tc>
              <w:tcPr>
                <w:tcW w:w="1000" w:type="pct"/>
                <w:shd w:val="clear" w:color="auto" w:fill="FFFFFF" w:themeFill="background2"/>
                <w:vAlign w:val="center"/>
              </w:tcPr>
              <w:p w14:paraId="2564E40F" w14:textId="766E072E" w:rsidR="00001AC6" w:rsidRPr="00ED33EF" w:rsidRDefault="00001AC6" w:rsidP="00001AC6">
                <w:pPr>
                  <w:pStyle w:val="TableTextLeft"/>
                  <w:spacing w:before="0" w:after="0"/>
                  <w:jc w:val="center"/>
                  <w:rPr>
                    <w:sz w:val="14"/>
                    <w:szCs w:val="14"/>
                  </w:rPr>
                </w:pPr>
                <w:r w:rsidRPr="00450471">
                  <w:rPr>
                    <w:rFonts w:cs="Segoe UI"/>
                    <w:sz w:val="14"/>
                    <w:szCs w:val="14"/>
                    <w:lang w:eastAsia="it-IT"/>
                  </w:rPr>
                  <w:t>5</w:t>
                </w:r>
                <w:r w:rsidR="00065976">
                  <w:rPr>
                    <w:rFonts w:cs="Segoe UI"/>
                    <w:sz w:val="14"/>
                    <w:szCs w:val="14"/>
                    <w:lang w:eastAsia="it-IT"/>
                  </w:rPr>
                  <w:t>,</w:t>
                </w:r>
                <w:r w:rsidRPr="00450471">
                  <w:rPr>
                    <w:rFonts w:cs="Segoe UI"/>
                    <w:sz w:val="14"/>
                    <w:szCs w:val="14"/>
                    <w:lang w:eastAsia="it-IT"/>
                  </w:rPr>
                  <w:t>633</w:t>
                </w:r>
              </w:p>
            </w:tc>
            <w:tc>
              <w:tcPr>
                <w:tcW w:w="1000" w:type="pct"/>
                <w:shd w:val="clear" w:color="auto" w:fill="FFFFFF" w:themeFill="background2"/>
                <w:vAlign w:val="center"/>
              </w:tcPr>
              <w:p w14:paraId="2A8DD46A" w14:textId="007862C9" w:rsidR="00001AC6" w:rsidRPr="00ED33EF" w:rsidRDefault="00001AC6" w:rsidP="00001AC6">
                <w:pPr>
                  <w:pStyle w:val="TableTextLeft"/>
                  <w:spacing w:before="0" w:after="0"/>
                  <w:jc w:val="center"/>
                  <w:rPr>
                    <w:sz w:val="14"/>
                    <w:szCs w:val="14"/>
                  </w:rPr>
                </w:pPr>
                <w:r w:rsidRPr="00450471">
                  <w:rPr>
                    <w:rFonts w:cs="Segoe UI"/>
                    <w:sz w:val="14"/>
                    <w:szCs w:val="14"/>
                    <w:lang w:eastAsia="it-IT"/>
                  </w:rPr>
                  <w:t>2.61%</w:t>
                </w:r>
              </w:p>
            </w:tc>
          </w:tr>
          <w:tr w:rsidR="00001AC6" w:rsidRPr="00ED33EF" w14:paraId="7F49A302" w14:textId="77777777" w:rsidTr="00065976">
            <w:trPr>
              <w:trHeight w:val="283"/>
            </w:trPr>
            <w:tc>
              <w:tcPr>
                <w:tcW w:w="1000" w:type="pct"/>
                <w:shd w:val="clear" w:color="auto" w:fill="FFFFFF" w:themeFill="background2"/>
                <w:tcMar>
                  <w:top w:w="60" w:type="dxa"/>
                  <w:left w:w="114" w:type="dxa"/>
                  <w:bottom w:w="60" w:type="dxa"/>
                  <w:right w:w="114" w:type="dxa"/>
                </w:tcMar>
                <w:vAlign w:val="center"/>
              </w:tcPr>
              <w:p w14:paraId="00582A48" w14:textId="4459B36D" w:rsidR="00001AC6" w:rsidRPr="00ED33EF" w:rsidRDefault="00065976" w:rsidP="00065976">
                <w:pPr>
                  <w:pStyle w:val="TableIndent3"/>
                  <w:spacing w:before="0" w:after="0"/>
                  <w:ind w:left="0"/>
                  <w:rPr>
                    <w:rFonts w:cs="Segoe UI"/>
                    <w:b/>
                    <w:sz w:val="14"/>
                    <w:szCs w:val="14"/>
                    <w:lang w:val="en-GB" w:eastAsia="it-IT"/>
                  </w:rPr>
                </w:pPr>
                <w:r>
                  <w:rPr>
                    <w:rFonts w:cs="Segoe UI"/>
                    <w:b/>
                    <w:sz w:val="14"/>
                    <w:szCs w:val="14"/>
                    <w:lang w:val="en-GB" w:eastAsia="it-IT"/>
                  </w:rPr>
                  <w:t>Northeast</w:t>
                </w:r>
              </w:p>
            </w:tc>
            <w:tc>
              <w:tcPr>
                <w:tcW w:w="1000" w:type="pct"/>
                <w:shd w:val="clear" w:color="auto" w:fill="FFFFFF" w:themeFill="background2"/>
                <w:tcMar>
                  <w:top w:w="60" w:type="dxa"/>
                  <w:left w:w="114" w:type="dxa"/>
                  <w:bottom w:w="60" w:type="dxa"/>
                  <w:right w:w="114" w:type="dxa"/>
                </w:tcMar>
                <w:vAlign w:val="center"/>
              </w:tcPr>
              <w:p w14:paraId="515AAABA" w14:textId="028B7F89" w:rsidR="00001AC6" w:rsidRPr="00ED33EF" w:rsidRDefault="00001AC6" w:rsidP="00001AC6">
                <w:pPr>
                  <w:pStyle w:val="TableTextLeft"/>
                  <w:spacing w:before="0" w:after="0"/>
                  <w:jc w:val="center"/>
                  <w:rPr>
                    <w:rFonts w:cs="Segoe UI"/>
                    <w:sz w:val="14"/>
                    <w:szCs w:val="14"/>
                    <w:lang w:eastAsia="it-IT"/>
                  </w:rPr>
                </w:pPr>
                <w:r w:rsidRPr="00450471">
                  <w:rPr>
                    <w:rFonts w:cs="Segoe UI"/>
                    <w:sz w:val="14"/>
                    <w:szCs w:val="14"/>
                    <w:lang w:eastAsia="it-IT"/>
                  </w:rPr>
                  <w:t>147</w:t>
                </w:r>
                <w:r w:rsidR="00065976">
                  <w:rPr>
                    <w:rFonts w:cs="Segoe UI"/>
                    <w:sz w:val="14"/>
                    <w:szCs w:val="14"/>
                    <w:lang w:eastAsia="it-IT"/>
                  </w:rPr>
                  <w:t>,</w:t>
                </w:r>
                <w:r w:rsidRPr="00450471">
                  <w:rPr>
                    <w:rFonts w:cs="Segoe UI"/>
                    <w:sz w:val="14"/>
                    <w:szCs w:val="14"/>
                    <w:lang w:eastAsia="it-IT"/>
                  </w:rPr>
                  <w:t>556</w:t>
                </w:r>
              </w:p>
            </w:tc>
            <w:tc>
              <w:tcPr>
                <w:tcW w:w="1000" w:type="pct"/>
                <w:shd w:val="clear" w:color="auto" w:fill="FFFFFF" w:themeFill="background2"/>
                <w:tcMar>
                  <w:top w:w="60" w:type="dxa"/>
                  <w:left w:w="114" w:type="dxa"/>
                  <w:bottom w:w="60" w:type="dxa"/>
                  <w:right w:w="114" w:type="dxa"/>
                </w:tcMar>
                <w:vAlign w:val="center"/>
              </w:tcPr>
              <w:p w14:paraId="1E547F9C" w14:textId="2925FB94" w:rsidR="00001AC6" w:rsidRPr="00ED33EF" w:rsidRDefault="00001AC6" w:rsidP="00001AC6">
                <w:pPr>
                  <w:pStyle w:val="TableTextLeft"/>
                  <w:spacing w:before="0" w:after="0"/>
                  <w:jc w:val="center"/>
                  <w:rPr>
                    <w:rFonts w:cs="Segoe UI"/>
                    <w:sz w:val="14"/>
                    <w:szCs w:val="14"/>
                    <w:lang w:eastAsia="it-IT"/>
                  </w:rPr>
                </w:pPr>
                <w:r w:rsidRPr="00450471">
                  <w:rPr>
                    <w:rFonts w:cs="Segoe UI"/>
                    <w:sz w:val="14"/>
                    <w:szCs w:val="14"/>
                    <w:lang w:eastAsia="it-IT"/>
                  </w:rPr>
                  <w:t>27.84%</w:t>
                </w:r>
              </w:p>
            </w:tc>
            <w:tc>
              <w:tcPr>
                <w:tcW w:w="1000" w:type="pct"/>
                <w:shd w:val="clear" w:color="auto" w:fill="FFFFFF" w:themeFill="background2"/>
                <w:vAlign w:val="center"/>
              </w:tcPr>
              <w:p w14:paraId="2AB043F6" w14:textId="76166904" w:rsidR="00001AC6" w:rsidRPr="00ED33EF" w:rsidRDefault="00001AC6" w:rsidP="00001AC6">
                <w:pPr>
                  <w:pStyle w:val="TableTextLeft"/>
                  <w:spacing w:before="0" w:after="0"/>
                  <w:jc w:val="center"/>
                  <w:rPr>
                    <w:rFonts w:cs="Segoe UI"/>
                    <w:sz w:val="14"/>
                    <w:szCs w:val="14"/>
                    <w:lang w:eastAsia="it-IT"/>
                  </w:rPr>
                </w:pPr>
                <w:r w:rsidRPr="00450471">
                  <w:rPr>
                    <w:rFonts w:cs="Segoe UI"/>
                    <w:sz w:val="14"/>
                    <w:szCs w:val="14"/>
                    <w:lang w:eastAsia="it-IT"/>
                  </w:rPr>
                  <w:t>3</w:t>
                </w:r>
                <w:r w:rsidR="00065976">
                  <w:rPr>
                    <w:rFonts w:cs="Segoe UI"/>
                    <w:sz w:val="14"/>
                    <w:szCs w:val="14"/>
                    <w:lang w:eastAsia="it-IT"/>
                  </w:rPr>
                  <w:t>,</w:t>
                </w:r>
                <w:r w:rsidRPr="00450471">
                  <w:rPr>
                    <w:rFonts w:cs="Segoe UI"/>
                    <w:sz w:val="14"/>
                    <w:szCs w:val="14"/>
                    <w:lang w:eastAsia="it-IT"/>
                  </w:rPr>
                  <w:t>655</w:t>
                </w:r>
              </w:p>
            </w:tc>
            <w:tc>
              <w:tcPr>
                <w:tcW w:w="1000" w:type="pct"/>
                <w:shd w:val="clear" w:color="auto" w:fill="FFFFFF" w:themeFill="background2"/>
                <w:vAlign w:val="center"/>
              </w:tcPr>
              <w:p w14:paraId="472C085D" w14:textId="006E3A70" w:rsidR="00001AC6" w:rsidRPr="00ED33EF" w:rsidRDefault="00001AC6" w:rsidP="00001AC6">
                <w:pPr>
                  <w:pStyle w:val="TableTextLeft"/>
                  <w:spacing w:before="0" w:after="0"/>
                  <w:jc w:val="center"/>
                  <w:rPr>
                    <w:rFonts w:cs="Segoe UI"/>
                    <w:sz w:val="14"/>
                    <w:szCs w:val="14"/>
                    <w:lang w:eastAsia="it-IT"/>
                  </w:rPr>
                </w:pPr>
                <w:r w:rsidRPr="00450471">
                  <w:rPr>
                    <w:rFonts w:cs="Segoe UI"/>
                    <w:sz w:val="14"/>
                    <w:szCs w:val="14"/>
                    <w:lang w:eastAsia="it-IT"/>
                  </w:rPr>
                  <w:t>2.48%</w:t>
                </w:r>
              </w:p>
            </w:tc>
          </w:tr>
          <w:tr w:rsidR="00001AC6" w:rsidRPr="00ED33EF" w14:paraId="0849DA20" w14:textId="77777777" w:rsidTr="00065976">
            <w:trPr>
              <w:trHeight w:val="283"/>
            </w:trPr>
            <w:tc>
              <w:tcPr>
                <w:tcW w:w="1000" w:type="pct"/>
                <w:shd w:val="clear" w:color="auto" w:fill="FFFFFF" w:themeFill="background2"/>
                <w:tcMar>
                  <w:top w:w="60" w:type="dxa"/>
                  <w:left w:w="114" w:type="dxa"/>
                  <w:bottom w:w="60" w:type="dxa"/>
                  <w:right w:w="114" w:type="dxa"/>
                </w:tcMar>
                <w:vAlign w:val="center"/>
              </w:tcPr>
              <w:p w14:paraId="46FF9204" w14:textId="03E14EAD" w:rsidR="00001AC6" w:rsidRPr="00ED33EF" w:rsidRDefault="00065976" w:rsidP="00065976">
                <w:pPr>
                  <w:pStyle w:val="TableIndent3"/>
                  <w:spacing w:before="0" w:after="0"/>
                  <w:ind w:left="0"/>
                  <w:rPr>
                    <w:rFonts w:cs="Segoe UI"/>
                    <w:b/>
                    <w:sz w:val="14"/>
                    <w:szCs w:val="14"/>
                    <w:lang w:val="en-GB" w:eastAsia="it-IT"/>
                  </w:rPr>
                </w:pPr>
                <w:r>
                  <w:rPr>
                    <w:rFonts w:cs="Segoe UI"/>
                    <w:b/>
                    <w:sz w:val="14"/>
                    <w:szCs w:val="14"/>
                    <w:lang w:val="en-GB" w:eastAsia="it-IT"/>
                  </w:rPr>
                  <w:t>Centre</w:t>
                </w:r>
              </w:p>
            </w:tc>
            <w:tc>
              <w:tcPr>
                <w:tcW w:w="1000" w:type="pct"/>
                <w:shd w:val="clear" w:color="auto" w:fill="FFFFFF" w:themeFill="background2"/>
                <w:tcMar>
                  <w:top w:w="60" w:type="dxa"/>
                  <w:left w:w="114" w:type="dxa"/>
                  <w:bottom w:w="60" w:type="dxa"/>
                  <w:right w:w="114" w:type="dxa"/>
                </w:tcMar>
                <w:vAlign w:val="center"/>
              </w:tcPr>
              <w:p w14:paraId="55917AE5" w14:textId="3CA85FBF" w:rsidR="00001AC6" w:rsidRPr="00ED33EF" w:rsidRDefault="00001AC6" w:rsidP="00001AC6">
                <w:pPr>
                  <w:pStyle w:val="TableTextLeft"/>
                  <w:spacing w:before="0" w:after="0"/>
                  <w:jc w:val="center"/>
                  <w:rPr>
                    <w:rFonts w:cs="Segoe UI"/>
                    <w:sz w:val="14"/>
                    <w:szCs w:val="14"/>
                    <w:lang w:eastAsia="it-IT"/>
                  </w:rPr>
                </w:pPr>
                <w:r w:rsidRPr="00450471">
                  <w:rPr>
                    <w:rFonts w:cs="Segoe UI"/>
                    <w:sz w:val="14"/>
                    <w:szCs w:val="14"/>
                    <w:lang w:eastAsia="it-IT"/>
                  </w:rPr>
                  <w:t>87</w:t>
                </w:r>
                <w:r w:rsidR="00065976">
                  <w:rPr>
                    <w:rFonts w:cs="Segoe UI"/>
                    <w:sz w:val="14"/>
                    <w:szCs w:val="14"/>
                    <w:lang w:eastAsia="it-IT"/>
                  </w:rPr>
                  <w:t>,</w:t>
                </w:r>
                <w:r w:rsidRPr="00450471">
                  <w:rPr>
                    <w:rFonts w:cs="Segoe UI"/>
                    <w:sz w:val="14"/>
                    <w:szCs w:val="14"/>
                    <w:lang w:eastAsia="it-IT"/>
                  </w:rPr>
                  <w:t>545</w:t>
                </w:r>
              </w:p>
            </w:tc>
            <w:tc>
              <w:tcPr>
                <w:tcW w:w="1000" w:type="pct"/>
                <w:shd w:val="clear" w:color="auto" w:fill="FFFFFF" w:themeFill="background2"/>
                <w:tcMar>
                  <w:top w:w="60" w:type="dxa"/>
                  <w:left w:w="114" w:type="dxa"/>
                  <w:bottom w:w="60" w:type="dxa"/>
                  <w:right w:w="114" w:type="dxa"/>
                </w:tcMar>
                <w:vAlign w:val="center"/>
              </w:tcPr>
              <w:p w14:paraId="49247C0E" w14:textId="438E206A" w:rsidR="00001AC6" w:rsidRPr="00ED33EF" w:rsidRDefault="00001AC6" w:rsidP="00001AC6">
                <w:pPr>
                  <w:pStyle w:val="TableTextLeft"/>
                  <w:spacing w:before="0" w:after="0"/>
                  <w:jc w:val="center"/>
                  <w:rPr>
                    <w:rFonts w:cs="Segoe UI"/>
                    <w:sz w:val="14"/>
                    <w:szCs w:val="14"/>
                    <w:lang w:eastAsia="it-IT"/>
                  </w:rPr>
                </w:pPr>
                <w:r w:rsidRPr="00450471">
                  <w:rPr>
                    <w:rFonts w:cs="Segoe UI"/>
                    <w:sz w:val="14"/>
                    <w:szCs w:val="14"/>
                    <w:lang w:eastAsia="it-IT"/>
                  </w:rPr>
                  <w:t>16.52%</w:t>
                </w:r>
              </w:p>
            </w:tc>
            <w:tc>
              <w:tcPr>
                <w:tcW w:w="1000" w:type="pct"/>
                <w:shd w:val="clear" w:color="auto" w:fill="FFFFFF" w:themeFill="background2"/>
                <w:vAlign w:val="center"/>
              </w:tcPr>
              <w:p w14:paraId="17B80F43" w14:textId="54C7C1A7" w:rsidR="00001AC6" w:rsidRPr="00ED33EF" w:rsidRDefault="00001AC6" w:rsidP="00001AC6">
                <w:pPr>
                  <w:pStyle w:val="TableTextLeft"/>
                  <w:spacing w:before="0" w:after="0"/>
                  <w:jc w:val="center"/>
                  <w:rPr>
                    <w:rFonts w:cs="Segoe UI"/>
                    <w:sz w:val="14"/>
                    <w:szCs w:val="14"/>
                    <w:lang w:eastAsia="it-IT"/>
                  </w:rPr>
                </w:pPr>
                <w:r w:rsidRPr="00450471">
                  <w:rPr>
                    <w:rFonts w:cs="Segoe UI"/>
                    <w:sz w:val="14"/>
                    <w:szCs w:val="14"/>
                    <w:lang w:eastAsia="it-IT"/>
                  </w:rPr>
                  <w:t>3</w:t>
                </w:r>
                <w:r w:rsidR="00065976">
                  <w:rPr>
                    <w:rFonts w:cs="Segoe UI"/>
                    <w:sz w:val="14"/>
                    <w:szCs w:val="14"/>
                    <w:lang w:eastAsia="it-IT"/>
                  </w:rPr>
                  <w:t>,</w:t>
                </w:r>
                <w:r w:rsidRPr="00450471">
                  <w:rPr>
                    <w:rFonts w:cs="Segoe UI"/>
                    <w:sz w:val="14"/>
                    <w:szCs w:val="14"/>
                    <w:lang w:eastAsia="it-IT"/>
                  </w:rPr>
                  <w:t>222</w:t>
                </w:r>
              </w:p>
            </w:tc>
            <w:tc>
              <w:tcPr>
                <w:tcW w:w="1000" w:type="pct"/>
                <w:shd w:val="clear" w:color="auto" w:fill="FFFFFF" w:themeFill="background2"/>
                <w:vAlign w:val="center"/>
              </w:tcPr>
              <w:p w14:paraId="0B2E3F94" w14:textId="52470E0E" w:rsidR="00001AC6" w:rsidRPr="00ED33EF" w:rsidRDefault="00001AC6" w:rsidP="00001AC6">
                <w:pPr>
                  <w:pStyle w:val="TableTextLeft"/>
                  <w:spacing w:before="0" w:after="0"/>
                  <w:jc w:val="center"/>
                  <w:rPr>
                    <w:rFonts w:cs="Segoe UI"/>
                    <w:sz w:val="14"/>
                    <w:szCs w:val="14"/>
                    <w:lang w:eastAsia="it-IT"/>
                  </w:rPr>
                </w:pPr>
                <w:r w:rsidRPr="00450471">
                  <w:rPr>
                    <w:rFonts w:cs="Segoe UI"/>
                    <w:sz w:val="14"/>
                    <w:szCs w:val="14"/>
                    <w:lang w:eastAsia="it-IT"/>
                  </w:rPr>
                  <w:t>3.68%</w:t>
                </w:r>
              </w:p>
            </w:tc>
          </w:tr>
          <w:tr w:rsidR="00001AC6" w:rsidRPr="00ED33EF" w14:paraId="612523CA" w14:textId="77777777" w:rsidTr="00065976">
            <w:trPr>
              <w:trHeight w:val="283"/>
            </w:trPr>
            <w:tc>
              <w:tcPr>
                <w:tcW w:w="1000" w:type="pct"/>
                <w:shd w:val="clear" w:color="auto" w:fill="FFFFFF" w:themeFill="background2"/>
                <w:tcMar>
                  <w:top w:w="60" w:type="dxa"/>
                  <w:left w:w="114" w:type="dxa"/>
                  <w:bottom w:w="60" w:type="dxa"/>
                  <w:right w:w="114" w:type="dxa"/>
                </w:tcMar>
                <w:vAlign w:val="center"/>
              </w:tcPr>
              <w:p w14:paraId="76A2DC00" w14:textId="7BBB50B2" w:rsidR="00001AC6" w:rsidRPr="00ED33EF" w:rsidRDefault="00065976" w:rsidP="00065976">
                <w:pPr>
                  <w:pStyle w:val="TableIndent3"/>
                  <w:spacing w:before="0" w:after="0"/>
                  <w:ind w:left="0"/>
                  <w:rPr>
                    <w:rFonts w:cs="Segoe UI"/>
                    <w:b/>
                    <w:sz w:val="14"/>
                    <w:szCs w:val="14"/>
                    <w:lang w:val="en-GB" w:eastAsia="it-IT"/>
                  </w:rPr>
                </w:pPr>
                <w:r>
                  <w:rPr>
                    <w:rFonts w:cs="Segoe UI"/>
                    <w:b/>
                    <w:sz w:val="14"/>
                    <w:szCs w:val="14"/>
                    <w:lang w:val="en-GB" w:eastAsia="it-IT"/>
                  </w:rPr>
                  <w:t>South and Islands</w:t>
                </w:r>
              </w:p>
            </w:tc>
            <w:tc>
              <w:tcPr>
                <w:tcW w:w="1000" w:type="pct"/>
                <w:shd w:val="clear" w:color="auto" w:fill="FFFFFF" w:themeFill="background2"/>
                <w:tcMar>
                  <w:top w:w="60" w:type="dxa"/>
                  <w:left w:w="114" w:type="dxa"/>
                  <w:bottom w:w="60" w:type="dxa"/>
                  <w:right w:w="114" w:type="dxa"/>
                </w:tcMar>
                <w:vAlign w:val="center"/>
              </w:tcPr>
              <w:p w14:paraId="60DEE083" w14:textId="226DE5FA" w:rsidR="00001AC6" w:rsidRPr="00ED33EF" w:rsidRDefault="00001AC6" w:rsidP="00001AC6">
                <w:pPr>
                  <w:pStyle w:val="TableTextLeft"/>
                  <w:spacing w:before="0" w:after="0"/>
                  <w:jc w:val="center"/>
                  <w:rPr>
                    <w:rFonts w:cs="Segoe UI"/>
                    <w:sz w:val="14"/>
                    <w:szCs w:val="14"/>
                    <w:lang w:eastAsia="it-IT"/>
                  </w:rPr>
                </w:pPr>
                <w:r w:rsidRPr="00450471">
                  <w:rPr>
                    <w:rFonts w:cs="Segoe UI"/>
                    <w:sz w:val="14"/>
                    <w:szCs w:val="14"/>
                    <w:lang w:eastAsia="it-IT"/>
                  </w:rPr>
                  <w:t>78</w:t>
                </w:r>
                <w:r w:rsidR="00065976">
                  <w:rPr>
                    <w:rFonts w:cs="Segoe UI"/>
                    <w:sz w:val="14"/>
                    <w:szCs w:val="14"/>
                    <w:lang w:eastAsia="it-IT"/>
                  </w:rPr>
                  <w:t>,</w:t>
                </w:r>
                <w:r w:rsidRPr="00450471">
                  <w:rPr>
                    <w:rFonts w:cs="Segoe UI"/>
                    <w:sz w:val="14"/>
                    <w:szCs w:val="14"/>
                    <w:lang w:eastAsia="it-IT"/>
                  </w:rPr>
                  <w:t>911</w:t>
                </w:r>
              </w:p>
            </w:tc>
            <w:tc>
              <w:tcPr>
                <w:tcW w:w="1000" w:type="pct"/>
                <w:shd w:val="clear" w:color="auto" w:fill="FFFFFF" w:themeFill="background2"/>
                <w:tcMar>
                  <w:top w:w="60" w:type="dxa"/>
                  <w:left w:w="114" w:type="dxa"/>
                  <w:bottom w:w="60" w:type="dxa"/>
                  <w:right w:w="114" w:type="dxa"/>
                </w:tcMar>
                <w:vAlign w:val="center"/>
              </w:tcPr>
              <w:p w14:paraId="6157ECCF" w14:textId="2C2555AE" w:rsidR="00001AC6" w:rsidRPr="00ED33EF" w:rsidRDefault="00001AC6" w:rsidP="00001AC6">
                <w:pPr>
                  <w:pStyle w:val="TableTextLeft"/>
                  <w:spacing w:before="0" w:after="0"/>
                  <w:jc w:val="center"/>
                  <w:rPr>
                    <w:rFonts w:cs="Segoe UI"/>
                    <w:sz w:val="14"/>
                    <w:szCs w:val="14"/>
                    <w:lang w:eastAsia="it-IT"/>
                  </w:rPr>
                </w:pPr>
                <w:r w:rsidRPr="00450471">
                  <w:rPr>
                    <w:rFonts w:cs="Segoe UI"/>
                    <w:sz w:val="14"/>
                    <w:szCs w:val="14"/>
                    <w:lang w:eastAsia="it-IT"/>
                  </w:rPr>
                  <w:t>14.89%</w:t>
                </w:r>
              </w:p>
            </w:tc>
            <w:tc>
              <w:tcPr>
                <w:tcW w:w="1000" w:type="pct"/>
                <w:shd w:val="clear" w:color="auto" w:fill="FFFFFF" w:themeFill="background2"/>
                <w:vAlign w:val="center"/>
              </w:tcPr>
              <w:p w14:paraId="0524BEA2" w14:textId="0E5CFF9C" w:rsidR="00001AC6" w:rsidRPr="00ED33EF" w:rsidRDefault="00001AC6" w:rsidP="00001AC6">
                <w:pPr>
                  <w:pStyle w:val="TableTextLeft"/>
                  <w:spacing w:before="0" w:after="0"/>
                  <w:jc w:val="center"/>
                  <w:rPr>
                    <w:rFonts w:cs="Segoe UI"/>
                    <w:sz w:val="14"/>
                    <w:szCs w:val="14"/>
                    <w:lang w:eastAsia="it-IT"/>
                  </w:rPr>
                </w:pPr>
                <w:r w:rsidRPr="00450471">
                  <w:rPr>
                    <w:rFonts w:cs="Segoe UI"/>
                    <w:sz w:val="14"/>
                    <w:szCs w:val="14"/>
                    <w:lang w:eastAsia="it-IT"/>
                  </w:rPr>
                  <w:t>4</w:t>
                </w:r>
                <w:r w:rsidR="00065976">
                  <w:rPr>
                    <w:rFonts w:cs="Segoe UI"/>
                    <w:sz w:val="14"/>
                    <w:szCs w:val="14"/>
                    <w:lang w:eastAsia="it-IT"/>
                  </w:rPr>
                  <w:t>,</w:t>
                </w:r>
                <w:r w:rsidRPr="00450471">
                  <w:rPr>
                    <w:rFonts w:cs="Segoe UI"/>
                    <w:sz w:val="14"/>
                    <w:szCs w:val="14"/>
                    <w:lang w:eastAsia="it-IT"/>
                  </w:rPr>
                  <w:t>114</w:t>
                </w:r>
              </w:p>
            </w:tc>
            <w:tc>
              <w:tcPr>
                <w:tcW w:w="1000" w:type="pct"/>
                <w:shd w:val="clear" w:color="auto" w:fill="FFFFFF" w:themeFill="background2"/>
                <w:vAlign w:val="center"/>
              </w:tcPr>
              <w:p w14:paraId="6DB202DF" w14:textId="61A5AF16" w:rsidR="00001AC6" w:rsidRPr="00ED33EF" w:rsidRDefault="00001AC6" w:rsidP="00001AC6">
                <w:pPr>
                  <w:pStyle w:val="TableTextLeft"/>
                  <w:spacing w:before="0" w:after="0"/>
                  <w:jc w:val="center"/>
                  <w:rPr>
                    <w:rFonts w:cs="Segoe UI"/>
                    <w:sz w:val="14"/>
                    <w:szCs w:val="14"/>
                    <w:lang w:eastAsia="it-IT"/>
                  </w:rPr>
                </w:pPr>
                <w:r w:rsidRPr="00450471">
                  <w:rPr>
                    <w:rFonts w:cs="Segoe UI"/>
                    <w:sz w:val="14"/>
                    <w:szCs w:val="14"/>
                    <w:lang w:eastAsia="it-IT"/>
                  </w:rPr>
                  <w:t>5.21%</w:t>
                </w:r>
              </w:p>
            </w:tc>
          </w:tr>
          <w:tr w:rsidR="00001AC6" w:rsidRPr="00065976" w14:paraId="0FC3D430" w14:textId="77777777" w:rsidTr="00065976">
            <w:trPr>
              <w:trHeight w:val="283"/>
            </w:trPr>
            <w:tc>
              <w:tcPr>
                <w:tcW w:w="1000" w:type="pct"/>
                <w:shd w:val="clear" w:color="auto" w:fill="FFFFFF" w:themeFill="background2"/>
                <w:tcMar>
                  <w:top w:w="60" w:type="dxa"/>
                  <w:left w:w="114" w:type="dxa"/>
                  <w:bottom w:w="60" w:type="dxa"/>
                  <w:right w:w="114" w:type="dxa"/>
                </w:tcMar>
                <w:vAlign w:val="center"/>
              </w:tcPr>
              <w:p w14:paraId="6C4FB62E" w14:textId="77BBC6D5" w:rsidR="00001AC6" w:rsidRPr="00065976" w:rsidRDefault="00065976" w:rsidP="00065976">
                <w:pPr>
                  <w:pStyle w:val="TableIndent3"/>
                  <w:spacing w:before="0" w:after="0"/>
                  <w:ind w:left="0"/>
                  <w:jc w:val="center"/>
                  <w:rPr>
                    <w:rFonts w:cs="Segoe UI"/>
                    <w:b/>
                    <w:sz w:val="14"/>
                    <w:szCs w:val="14"/>
                    <w:lang w:val="en-GB" w:eastAsia="it-IT"/>
                  </w:rPr>
                </w:pPr>
                <w:r w:rsidRPr="00065976">
                  <w:rPr>
                    <w:rFonts w:cs="Segoe UI"/>
                    <w:b/>
                    <w:sz w:val="14"/>
                    <w:szCs w:val="14"/>
                    <w:lang w:val="en-GB" w:eastAsia="it-IT"/>
                  </w:rPr>
                  <w:t>Total</w:t>
                </w:r>
              </w:p>
            </w:tc>
            <w:tc>
              <w:tcPr>
                <w:tcW w:w="1000" w:type="pct"/>
                <w:shd w:val="clear" w:color="auto" w:fill="FFFFFF" w:themeFill="background2"/>
                <w:tcMar>
                  <w:top w:w="60" w:type="dxa"/>
                  <w:left w:w="114" w:type="dxa"/>
                  <w:bottom w:w="60" w:type="dxa"/>
                  <w:right w:w="114" w:type="dxa"/>
                </w:tcMar>
                <w:vAlign w:val="center"/>
              </w:tcPr>
              <w:p w14:paraId="490CF99F" w14:textId="6D1C6C27" w:rsidR="00001AC6" w:rsidRPr="00065976" w:rsidRDefault="00001AC6" w:rsidP="00065976">
                <w:pPr>
                  <w:pStyle w:val="TableTextLeft"/>
                  <w:spacing w:before="0" w:after="0"/>
                  <w:jc w:val="center"/>
                  <w:rPr>
                    <w:rFonts w:cs="Segoe UI"/>
                    <w:b/>
                    <w:sz w:val="14"/>
                    <w:szCs w:val="14"/>
                    <w:lang w:eastAsia="it-IT"/>
                  </w:rPr>
                </w:pPr>
                <w:r w:rsidRPr="00450471">
                  <w:rPr>
                    <w:rFonts w:cs="Segoe UI"/>
                    <w:b/>
                    <w:sz w:val="14"/>
                    <w:szCs w:val="14"/>
                    <w:lang w:eastAsia="it-IT"/>
                  </w:rPr>
                  <w:t>529</w:t>
                </w:r>
                <w:r w:rsidR="00065976" w:rsidRPr="00065976">
                  <w:rPr>
                    <w:rFonts w:cs="Segoe UI"/>
                    <w:b/>
                    <w:sz w:val="14"/>
                    <w:szCs w:val="14"/>
                    <w:lang w:eastAsia="it-IT"/>
                  </w:rPr>
                  <w:t>,</w:t>
                </w:r>
                <w:r w:rsidRPr="00450471">
                  <w:rPr>
                    <w:rFonts w:cs="Segoe UI"/>
                    <w:b/>
                    <w:sz w:val="14"/>
                    <w:szCs w:val="14"/>
                    <w:lang w:eastAsia="it-IT"/>
                  </w:rPr>
                  <w:t>990</w:t>
                </w:r>
              </w:p>
            </w:tc>
            <w:tc>
              <w:tcPr>
                <w:tcW w:w="1000" w:type="pct"/>
                <w:shd w:val="clear" w:color="auto" w:fill="FFFFFF" w:themeFill="background2"/>
                <w:tcMar>
                  <w:top w:w="60" w:type="dxa"/>
                  <w:left w:w="114" w:type="dxa"/>
                  <w:bottom w:w="60" w:type="dxa"/>
                  <w:right w:w="114" w:type="dxa"/>
                </w:tcMar>
                <w:vAlign w:val="center"/>
              </w:tcPr>
              <w:p w14:paraId="11D12CCB" w14:textId="096A0FC3" w:rsidR="00001AC6" w:rsidRPr="00065976" w:rsidRDefault="00001AC6" w:rsidP="00065976">
                <w:pPr>
                  <w:pStyle w:val="TableTextLeft"/>
                  <w:spacing w:before="0" w:after="0"/>
                  <w:jc w:val="center"/>
                  <w:rPr>
                    <w:rFonts w:cs="Segoe UI"/>
                    <w:b/>
                    <w:sz w:val="14"/>
                    <w:szCs w:val="14"/>
                    <w:lang w:eastAsia="it-IT"/>
                  </w:rPr>
                </w:pPr>
                <w:r w:rsidRPr="00450471">
                  <w:rPr>
                    <w:rFonts w:cs="Segoe UI"/>
                    <w:b/>
                    <w:sz w:val="14"/>
                    <w:szCs w:val="14"/>
                    <w:lang w:eastAsia="it-IT"/>
                  </w:rPr>
                  <w:t>100.00%</w:t>
                </w:r>
              </w:p>
            </w:tc>
            <w:tc>
              <w:tcPr>
                <w:tcW w:w="1000" w:type="pct"/>
                <w:shd w:val="clear" w:color="auto" w:fill="FFFFFF" w:themeFill="background2"/>
                <w:vAlign w:val="center"/>
              </w:tcPr>
              <w:p w14:paraId="20B02E08" w14:textId="20C6B248" w:rsidR="00001AC6" w:rsidRPr="00065976" w:rsidRDefault="00001AC6" w:rsidP="00065976">
                <w:pPr>
                  <w:pStyle w:val="TableTextLeft"/>
                  <w:spacing w:before="0" w:after="0"/>
                  <w:jc w:val="center"/>
                  <w:rPr>
                    <w:rFonts w:cs="Segoe UI"/>
                    <w:b/>
                    <w:sz w:val="14"/>
                    <w:szCs w:val="14"/>
                    <w:lang w:eastAsia="it-IT"/>
                  </w:rPr>
                </w:pPr>
                <w:r w:rsidRPr="00450471">
                  <w:rPr>
                    <w:rFonts w:cs="Segoe UI"/>
                    <w:b/>
                    <w:sz w:val="14"/>
                    <w:szCs w:val="14"/>
                    <w:lang w:eastAsia="it-IT"/>
                  </w:rPr>
                  <w:t>16</w:t>
                </w:r>
                <w:r w:rsidR="00065976" w:rsidRPr="00065976">
                  <w:rPr>
                    <w:rFonts w:cs="Segoe UI"/>
                    <w:b/>
                    <w:sz w:val="14"/>
                    <w:szCs w:val="14"/>
                    <w:lang w:eastAsia="it-IT"/>
                  </w:rPr>
                  <w:t>,</w:t>
                </w:r>
                <w:r w:rsidRPr="00450471">
                  <w:rPr>
                    <w:rFonts w:cs="Segoe UI"/>
                    <w:b/>
                    <w:sz w:val="14"/>
                    <w:szCs w:val="14"/>
                    <w:lang w:eastAsia="it-IT"/>
                  </w:rPr>
                  <w:t>624</w:t>
                </w:r>
              </w:p>
            </w:tc>
            <w:tc>
              <w:tcPr>
                <w:tcW w:w="1000" w:type="pct"/>
                <w:shd w:val="clear" w:color="auto" w:fill="FFFFFF" w:themeFill="background2"/>
                <w:vAlign w:val="center"/>
              </w:tcPr>
              <w:p w14:paraId="21E2AAEC" w14:textId="12C8EE37" w:rsidR="00001AC6" w:rsidRPr="00065976" w:rsidRDefault="00001AC6" w:rsidP="00065976">
                <w:pPr>
                  <w:pStyle w:val="TableTextLeft"/>
                  <w:spacing w:before="0" w:after="0"/>
                  <w:jc w:val="center"/>
                  <w:rPr>
                    <w:rFonts w:cs="Segoe UI"/>
                    <w:b/>
                    <w:sz w:val="14"/>
                    <w:szCs w:val="14"/>
                    <w:lang w:eastAsia="it-IT"/>
                  </w:rPr>
                </w:pPr>
                <w:r w:rsidRPr="00450471">
                  <w:rPr>
                    <w:rFonts w:cs="Segoe UI"/>
                    <w:b/>
                    <w:sz w:val="14"/>
                    <w:szCs w:val="14"/>
                    <w:lang w:eastAsia="it-IT"/>
                  </w:rPr>
                  <w:t>3.14%</w:t>
                </w:r>
              </w:p>
            </w:tc>
          </w:tr>
        </w:tbl>
        <w:p w14:paraId="0C0CD7A7" w14:textId="77777777" w:rsidR="004101BF" w:rsidRPr="0032337D" w:rsidRDefault="004101BF" w:rsidP="004101BF">
          <w:pPr>
            <w:rPr>
              <w:rFonts w:cs="Segoe UI"/>
              <w:lang w:val="en-GB"/>
            </w:rPr>
          </w:pPr>
        </w:p>
        <w:p w14:paraId="63B9CC4D" w14:textId="77777777" w:rsidR="004101BF" w:rsidRPr="0032337D" w:rsidRDefault="004101BF" w:rsidP="004101BF">
          <w:pPr>
            <w:rPr>
              <w:rFonts w:cs="Segoe UI"/>
              <w:lang w:val="en-GB"/>
            </w:rPr>
          </w:pPr>
          <w:r w:rsidRPr="0032337D">
            <w:rPr>
              <w:rFonts w:cs="Segoe UI"/>
              <w:lang w:val="en-GB"/>
            </w:rPr>
            <w:t>Exhibit 17 shows the riskiness of Italian regions in terms of empirical 1-y default rate.</w:t>
          </w:r>
        </w:p>
        <w:p w14:paraId="69DF8D5F" w14:textId="7537FCD7" w:rsidR="004101BF" w:rsidRPr="0032337D" w:rsidRDefault="004101BF" w:rsidP="004101BF">
          <w:pPr>
            <w:pStyle w:val="Didascalia"/>
            <w:rPr>
              <w:rFonts w:ascii="Segoe UI" w:hAnsi="Segoe UI" w:cs="Segoe UI"/>
              <w:i/>
              <w:sz w:val="14"/>
              <w:lang w:val="en-GB"/>
            </w:rPr>
          </w:pPr>
          <w:bookmarkStart w:id="69" w:name="_Toc130806318"/>
          <w:bookmarkStart w:id="70" w:name="_Toc166675658"/>
          <w:bookmarkStart w:id="71" w:name="_Toc167131785"/>
          <w:r w:rsidRPr="00397C10">
            <w:rPr>
              <w:rFonts w:ascii="Segoe UI" w:hAnsi="Segoe UI" w:cs="Segoe UI"/>
              <w:i/>
              <w:sz w:val="14"/>
              <w:lang w:val="en-GB"/>
            </w:rPr>
            <w:lastRenderedPageBreak/>
            <w:t xml:space="preserve">Exhibit </w:t>
          </w:r>
          <w:r w:rsidRPr="00397C10">
            <w:rPr>
              <w:rFonts w:ascii="Segoe UI" w:hAnsi="Segoe UI" w:cs="Segoe UI"/>
              <w:i/>
              <w:sz w:val="14"/>
              <w:lang w:val="en-GB"/>
            </w:rPr>
            <w:fldChar w:fldCharType="begin"/>
          </w:r>
          <w:r w:rsidRPr="00397C10">
            <w:rPr>
              <w:rFonts w:ascii="Segoe UI" w:hAnsi="Segoe UI" w:cs="Segoe UI"/>
              <w:i/>
              <w:sz w:val="14"/>
              <w:lang w:val="en-GB"/>
            </w:rPr>
            <w:instrText xml:space="preserve"> SEQ Exhibit \* ARABIC </w:instrText>
          </w:r>
          <w:r w:rsidRPr="00397C10">
            <w:rPr>
              <w:rFonts w:ascii="Segoe UI" w:hAnsi="Segoe UI" w:cs="Segoe UI"/>
              <w:i/>
              <w:sz w:val="14"/>
              <w:lang w:val="en-GB"/>
            </w:rPr>
            <w:fldChar w:fldCharType="separate"/>
          </w:r>
          <w:r w:rsidR="009857B6">
            <w:rPr>
              <w:rFonts w:ascii="Segoe UI" w:hAnsi="Segoe UI" w:cs="Segoe UI"/>
              <w:i/>
              <w:noProof/>
              <w:sz w:val="14"/>
              <w:lang w:val="en-GB"/>
            </w:rPr>
            <w:t>17</w:t>
          </w:r>
          <w:r w:rsidRPr="00397C10">
            <w:rPr>
              <w:rFonts w:ascii="Segoe UI" w:hAnsi="Segoe UI" w:cs="Segoe UI"/>
              <w:i/>
              <w:sz w:val="14"/>
              <w:lang w:val="en-GB"/>
            </w:rPr>
            <w:fldChar w:fldCharType="end"/>
          </w:r>
          <w:r w:rsidRPr="00397C10">
            <w:rPr>
              <w:rFonts w:ascii="Segoe UI" w:hAnsi="Segoe UI" w:cs="Segoe UI"/>
              <w:i/>
              <w:sz w:val="14"/>
              <w:lang w:val="en-GB"/>
            </w:rPr>
            <w:t>: Regional map of average 1-year default rates</w:t>
          </w:r>
          <w:bookmarkEnd w:id="69"/>
          <w:bookmarkEnd w:id="70"/>
          <w:bookmarkEnd w:id="71"/>
        </w:p>
        <w:p w14:paraId="5BA55565" w14:textId="102852C7" w:rsidR="004101BF" w:rsidRPr="0032337D" w:rsidRDefault="006B3A24" w:rsidP="006B3A24">
          <w:pPr>
            <w:jc w:val="center"/>
            <w:rPr>
              <w:rFonts w:cs="Segoe UI"/>
              <w:lang w:val="en-GB"/>
            </w:rPr>
          </w:pPr>
          <w:r>
            <w:rPr>
              <w:rFonts w:cs="Segoe UI"/>
              <w:noProof/>
              <w:lang w:val="en-GB"/>
            </w:rPr>
            <w:drawing>
              <wp:inline distT="0" distB="0" distL="0" distR="0" wp14:anchorId="02197361" wp14:editId="3C4EBAD8">
                <wp:extent cx="3812958" cy="3124200"/>
                <wp:effectExtent l="0" t="0" r="0" b="0"/>
                <wp:docPr id="110086970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7316" cy="3127771"/>
                        </a:xfrm>
                        <a:prstGeom prst="rect">
                          <a:avLst/>
                        </a:prstGeom>
                        <a:noFill/>
                      </pic:spPr>
                    </pic:pic>
                  </a:graphicData>
                </a:graphic>
              </wp:inline>
            </w:drawing>
          </w:r>
        </w:p>
        <w:p w14:paraId="70C9EF5C" w14:textId="36D17F91" w:rsidR="004101BF" w:rsidRPr="0032337D" w:rsidRDefault="004101BF" w:rsidP="004101BF">
          <w:pPr>
            <w:spacing w:line="240" w:lineRule="auto"/>
            <w:rPr>
              <w:rFonts w:cs="Segoe UI"/>
              <w:lang w:val="en-GB"/>
            </w:rPr>
          </w:pPr>
          <w:r w:rsidRPr="0032337D">
            <w:rPr>
              <w:rFonts w:cs="Segoe UI"/>
              <w:lang w:val="en-GB"/>
            </w:rPr>
            <w:t xml:space="preserve">Exhibits 18 and 19 show the breakdown of rated and defaulted entities grouped in </w:t>
          </w:r>
          <w:r w:rsidRPr="0032337D">
            <w:rPr>
              <w:rFonts w:cs="Segoe UI"/>
              <w:i/>
              <w:lang w:val="en-GB"/>
            </w:rPr>
            <w:t>Investment</w:t>
          </w:r>
          <w:r w:rsidRPr="0032337D">
            <w:rPr>
              <w:rFonts w:cs="Segoe UI"/>
              <w:lang w:val="en-GB"/>
            </w:rPr>
            <w:t xml:space="preserve"> and </w:t>
          </w:r>
          <w:r w:rsidRPr="0032337D">
            <w:rPr>
              <w:rFonts w:cs="Segoe UI"/>
              <w:i/>
              <w:lang w:val="en-GB"/>
            </w:rPr>
            <w:t>Speculati</w:t>
          </w:r>
          <w:r w:rsidRPr="0032337D">
            <w:rPr>
              <w:rFonts w:cs="Segoe UI"/>
              <w:i/>
              <w:lang w:val="en-GB"/>
            </w:rPr>
            <w:softHyphen/>
            <w:t>ve</w:t>
          </w:r>
          <w:r w:rsidRPr="0032337D">
            <w:rPr>
              <w:rFonts w:cs="Segoe UI"/>
              <w:lang w:val="en-GB"/>
            </w:rPr>
            <w:t xml:space="preserve"> </w:t>
          </w:r>
          <w:r w:rsidRPr="0032337D">
            <w:rPr>
              <w:rFonts w:cs="Segoe UI"/>
              <w:i/>
              <w:lang w:val="en-GB"/>
            </w:rPr>
            <w:t>Grade</w:t>
          </w:r>
          <w:r w:rsidR="006C68DE">
            <w:rPr>
              <w:rFonts w:cs="Segoe UI"/>
              <w:i/>
              <w:lang w:val="en-GB"/>
            </w:rPr>
            <w:t xml:space="preserve"> </w:t>
          </w:r>
          <w:r w:rsidR="006C68DE">
            <w:rPr>
              <w:rFonts w:cs="Segoe UI"/>
              <w:iCs/>
              <w:lang w:val="en-GB"/>
            </w:rPr>
            <w:t>classes</w:t>
          </w:r>
          <w:r w:rsidRPr="0032337D">
            <w:rPr>
              <w:rFonts w:cs="Segoe UI"/>
              <w:lang w:val="en-GB"/>
            </w:rPr>
            <w:t>.</w:t>
          </w:r>
        </w:p>
        <w:p w14:paraId="0DF09D4D" w14:textId="6D7292DD" w:rsidR="004101BF" w:rsidRPr="0032337D" w:rsidRDefault="004101BF" w:rsidP="004101BF">
          <w:pPr>
            <w:pStyle w:val="Didascalia"/>
            <w:rPr>
              <w:rFonts w:ascii="Segoe UI" w:hAnsi="Segoe UI" w:cs="Segoe UI"/>
              <w:i/>
              <w:sz w:val="14"/>
              <w:lang w:val="en-GB"/>
            </w:rPr>
          </w:pPr>
          <w:bookmarkStart w:id="72" w:name="_Toc130806319"/>
          <w:bookmarkStart w:id="73" w:name="_Toc166675659"/>
          <w:bookmarkStart w:id="74" w:name="_Toc167131786"/>
          <w:r w:rsidRPr="0032337D">
            <w:rPr>
              <w:rFonts w:ascii="Segoe UI" w:hAnsi="Segoe UI" w:cs="Segoe UI"/>
              <w:i/>
              <w:sz w:val="14"/>
              <w:lang w:val="en-GB"/>
            </w:rPr>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18</w:t>
          </w:r>
          <w:r>
            <w:rPr>
              <w:rFonts w:ascii="Segoe UI" w:hAnsi="Segoe UI" w:cs="Segoe UI"/>
              <w:i/>
              <w:sz w:val="14"/>
              <w:lang w:val="en-GB"/>
            </w:rPr>
            <w:fldChar w:fldCharType="end"/>
          </w:r>
          <w:r w:rsidRPr="0032337D">
            <w:rPr>
              <w:rFonts w:ascii="Segoe UI" w:hAnsi="Segoe UI" w:cs="Segoe UI"/>
              <w:i/>
              <w:sz w:val="14"/>
              <w:lang w:val="en-GB"/>
            </w:rPr>
            <w:t>: Breakdown of defaulted rated entities by risk categories (1-year default events)</w:t>
          </w:r>
          <w:bookmarkEnd w:id="72"/>
          <w:bookmarkEnd w:id="73"/>
          <w:bookmarkEnd w:id="74"/>
        </w:p>
        <w:p w14:paraId="7F81D23D" w14:textId="2C1D3620" w:rsidR="00D22B80" w:rsidRDefault="00D22B80" w:rsidP="00805942">
          <w:pPr>
            <w:tabs>
              <w:tab w:val="left" w:pos="5529"/>
            </w:tabs>
            <w:spacing w:before="240"/>
            <w:rPr>
              <w:rFonts w:cs="Segoe UI"/>
              <w:lang w:val="en-GB"/>
            </w:rPr>
          </w:pPr>
          <w:r>
            <w:rPr>
              <w:noProof/>
            </w:rPr>
            <w:drawing>
              <wp:inline distT="0" distB="0" distL="0" distR="0" wp14:anchorId="77B2408A" wp14:editId="071AAD26">
                <wp:extent cx="6570980" cy="3563816"/>
                <wp:effectExtent l="0" t="0" r="1270" b="0"/>
                <wp:docPr id="769171094" name="Grafico 1">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73B5F84" w14:textId="44677760" w:rsidR="004101BF" w:rsidRPr="0032337D" w:rsidRDefault="004279D9" w:rsidP="004101BF">
          <w:pPr>
            <w:spacing w:before="240"/>
            <w:rPr>
              <w:rFonts w:cs="Segoe UI"/>
              <w:lang w:val="en-GB"/>
            </w:rPr>
          </w:pPr>
          <w:r>
            <w:rPr>
              <w:rFonts w:cs="Segoe UI"/>
              <w:lang w:val="en-GB"/>
            </w:rPr>
            <w:lastRenderedPageBreak/>
            <w:t>Exhibit 18 shows how</w:t>
          </w:r>
          <w:r w:rsidR="006C68DE">
            <w:rPr>
              <w:rFonts w:cs="Segoe UI"/>
              <w:lang w:val="en-GB"/>
            </w:rPr>
            <w:t xml:space="preserve"> </w:t>
          </w:r>
          <w:r w:rsidR="000F741B">
            <w:rPr>
              <w:rFonts w:cs="Segoe UI"/>
              <w:lang w:val="en-GB"/>
            </w:rPr>
            <w:t xml:space="preserve">the </w:t>
          </w:r>
          <w:r w:rsidR="006C68DE">
            <w:rPr>
              <w:rFonts w:cs="Segoe UI"/>
              <w:lang w:val="en-GB"/>
            </w:rPr>
            <w:t>defaults</w:t>
          </w:r>
          <w:r w:rsidR="000F741B">
            <w:rPr>
              <w:rFonts w:cs="Segoe UI"/>
              <w:lang w:val="en-GB"/>
            </w:rPr>
            <w:t>’</w:t>
          </w:r>
          <w:r w:rsidR="004101BF" w:rsidRPr="0032337D">
            <w:rPr>
              <w:rFonts w:cs="Segoe UI"/>
              <w:lang w:val="en-GB"/>
            </w:rPr>
            <w:t xml:space="preserve"> hit rate (i.e. the percentage of defaulted companies previously assigned in </w:t>
          </w:r>
          <w:r w:rsidR="004101BF" w:rsidRPr="0032337D">
            <w:rPr>
              <w:rFonts w:cs="Segoe UI"/>
              <w:i/>
              <w:lang w:val="en-GB"/>
            </w:rPr>
            <w:t>Speculative Grade</w:t>
          </w:r>
          <w:r w:rsidR="004101BF" w:rsidRPr="0032337D">
            <w:rPr>
              <w:rFonts w:cs="Segoe UI"/>
              <w:lang w:val="en-GB"/>
            </w:rPr>
            <w:t>)</w:t>
          </w:r>
          <w:r w:rsidR="000F741B">
            <w:rPr>
              <w:rFonts w:cs="Segoe UI"/>
              <w:lang w:val="en-GB"/>
            </w:rPr>
            <w:t xml:space="preserve"> is </w:t>
          </w:r>
          <w:r w:rsidR="004101BF" w:rsidRPr="0032337D">
            <w:rPr>
              <w:rFonts w:cs="Segoe UI"/>
              <w:lang w:val="en-GB"/>
            </w:rPr>
            <w:t>on average 95.</w:t>
          </w:r>
          <w:r w:rsidR="00D13D16">
            <w:rPr>
              <w:rFonts w:cs="Segoe UI"/>
              <w:lang w:val="en-GB"/>
            </w:rPr>
            <w:t>09</w:t>
          </w:r>
          <w:r w:rsidR="004101BF" w:rsidRPr="0032337D">
            <w:rPr>
              <w:rFonts w:cs="Segoe UI"/>
              <w:lang w:val="en-GB"/>
            </w:rPr>
            <w:t xml:space="preserve">%. </w:t>
          </w:r>
          <w:r w:rsidR="000F741B">
            <w:rPr>
              <w:rFonts w:cs="Segoe UI"/>
              <w:lang w:val="en-GB"/>
            </w:rPr>
            <w:t>Throughout the years, t</w:t>
          </w:r>
          <w:r w:rsidR="004101BF" w:rsidRPr="0032337D">
            <w:rPr>
              <w:rFonts w:cs="Segoe UI"/>
              <w:lang w:val="en-GB"/>
            </w:rPr>
            <w:t>he range of hit rate</w:t>
          </w:r>
          <w:r w:rsidR="000F0B47">
            <w:rPr>
              <w:rFonts w:cs="Segoe UI"/>
              <w:lang w:val="en-GB"/>
            </w:rPr>
            <w:t>s</w:t>
          </w:r>
          <w:r w:rsidR="004101BF" w:rsidRPr="0032337D">
            <w:rPr>
              <w:rFonts w:cs="Segoe UI"/>
              <w:lang w:val="en-GB"/>
            </w:rPr>
            <w:t xml:space="preserve"> in </w:t>
          </w:r>
          <w:r w:rsidR="000F0B47">
            <w:rPr>
              <w:rFonts w:cs="Segoe UI"/>
              <w:lang w:val="en-GB"/>
            </w:rPr>
            <w:t xml:space="preserve">the </w:t>
          </w:r>
          <w:r w:rsidR="004101BF" w:rsidRPr="0032337D">
            <w:rPr>
              <w:rFonts w:cs="Segoe UI"/>
              <w:i/>
              <w:lang w:val="en-GB"/>
            </w:rPr>
            <w:t>Speculative Grade</w:t>
          </w:r>
          <w:r w:rsidR="004101BF" w:rsidRPr="0032337D">
            <w:rPr>
              <w:rFonts w:cs="Segoe UI"/>
              <w:lang w:val="en-GB"/>
            </w:rPr>
            <w:t xml:space="preserve"> </w:t>
          </w:r>
          <w:r w:rsidR="000F0B47">
            <w:rPr>
              <w:rFonts w:cs="Segoe UI"/>
              <w:lang w:val="en-GB"/>
            </w:rPr>
            <w:t>sample varied</w:t>
          </w:r>
          <w:r w:rsidR="004101BF" w:rsidRPr="0032337D">
            <w:rPr>
              <w:rFonts w:cs="Segoe UI"/>
              <w:lang w:val="en-GB"/>
            </w:rPr>
            <w:t xml:space="preserve"> from 90.34% to 97.24%.</w:t>
          </w:r>
        </w:p>
        <w:p w14:paraId="4BCC1C8D" w14:textId="46705BFD" w:rsidR="004101BF" w:rsidRPr="0032337D" w:rsidRDefault="004101BF" w:rsidP="004101BF">
          <w:pPr>
            <w:pStyle w:val="Didascalia"/>
            <w:rPr>
              <w:rFonts w:ascii="Segoe UI" w:hAnsi="Segoe UI" w:cs="Segoe UI"/>
              <w:i/>
              <w:sz w:val="14"/>
              <w:lang w:val="en-GB"/>
            </w:rPr>
          </w:pPr>
          <w:bookmarkStart w:id="75" w:name="_Toc130806320"/>
          <w:bookmarkStart w:id="76" w:name="_Toc166675660"/>
          <w:bookmarkStart w:id="77" w:name="_Toc167131787"/>
          <w:r w:rsidRPr="0032337D">
            <w:rPr>
              <w:rFonts w:ascii="Segoe UI" w:hAnsi="Segoe UI" w:cs="Segoe UI"/>
              <w:i/>
              <w:sz w:val="14"/>
              <w:lang w:val="en-GB"/>
            </w:rPr>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19</w:t>
          </w:r>
          <w:r>
            <w:rPr>
              <w:rFonts w:ascii="Segoe UI" w:hAnsi="Segoe UI" w:cs="Segoe UI"/>
              <w:i/>
              <w:sz w:val="14"/>
              <w:lang w:val="en-GB"/>
            </w:rPr>
            <w:fldChar w:fldCharType="end"/>
          </w:r>
          <w:r w:rsidRPr="0032337D">
            <w:rPr>
              <w:rFonts w:ascii="Segoe UI" w:hAnsi="Segoe UI" w:cs="Segoe UI"/>
              <w:i/>
              <w:sz w:val="14"/>
              <w:lang w:val="en-GB"/>
            </w:rPr>
            <w:t>: Average 1-year default rates (Investment, Speculative and total portfolio)</w:t>
          </w:r>
          <w:bookmarkEnd w:id="75"/>
          <w:bookmarkEnd w:id="76"/>
          <w:bookmarkEnd w:id="77"/>
        </w:p>
        <w:p w14:paraId="5B6B42DA" w14:textId="74537A73" w:rsidR="001F1FE0" w:rsidRDefault="001F1FE0" w:rsidP="004101BF">
          <w:pPr>
            <w:rPr>
              <w:rFonts w:cs="Segoe UI"/>
              <w:lang w:val="en-GB"/>
            </w:rPr>
          </w:pPr>
          <w:r w:rsidRPr="00805942">
            <w:rPr>
              <w:noProof/>
              <w:sz w:val="14"/>
              <w:szCs w:val="14"/>
            </w:rPr>
            <w:drawing>
              <wp:inline distT="0" distB="0" distL="0" distR="0" wp14:anchorId="418D739B" wp14:editId="6ED35AAE">
                <wp:extent cx="6570980" cy="3675185"/>
                <wp:effectExtent l="0" t="0" r="1270" b="1905"/>
                <wp:docPr id="1215785381" name="Grafico 1">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4B026A0" w14:textId="77777777" w:rsidR="001F1FE0" w:rsidRDefault="001F1FE0" w:rsidP="004101BF">
          <w:pPr>
            <w:rPr>
              <w:rFonts w:cs="Segoe UI"/>
              <w:lang w:val="en-GB"/>
            </w:rPr>
          </w:pPr>
        </w:p>
        <w:p w14:paraId="187ACF4A" w14:textId="749E4BA9" w:rsidR="004101BF" w:rsidRPr="0032337D" w:rsidRDefault="004101BF" w:rsidP="004101BF">
          <w:pPr>
            <w:rPr>
              <w:rFonts w:cs="Segoe UI"/>
              <w:lang w:val="en-GB"/>
            </w:rPr>
          </w:pPr>
          <w:r w:rsidRPr="0032337D">
            <w:rPr>
              <w:rFonts w:cs="Segoe UI"/>
              <w:lang w:val="en-GB"/>
            </w:rPr>
            <w:t xml:space="preserve">Exhibit 19 </w:t>
          </w:r>
          <w:r w:rsidR="00F752E2">
            <w:rPr>
              <w:rFonts w:cs="Segoe UI"/>
              <w:lang w:val="en-GB"/>
            </w:rPr>
            <w:t>compares</w:t>
          </w:r>
          <w:r w:rsidRPr="0032337D">
            <w:rPr>
              <w:rFonts w:cs="Segoe UI"/>
              <w:lang w:val="en-GB"/>
            </w:rPr>
            <w:t xml:space="preserve"> the average default rate </w:t>
          </w:r>
          <w:r w:rsidR="00D70372">
            <w:rPr>
              <w:rFonts w:cs="Segoe UI"/>
              <w:lang w:val="en-GB"/>
            </w:rPr>
            <w:t>of</w:t>
          </w:r>
          <w:r w:rsidRPr="0032337D">
            <w:rPr>
              <w:rFonts w:cs="Segoe UI"/>
              <w:lang w:val="en-GB"/>
            </w:rPr>
            <w:t xml:space="preserve"> the entire </w:t>
          </w:r>
          <w:r w:rsidR="00F752E2">
            <w:rPr>
              <w:rFonts w:cs="Segoe UI"/>
              <w:lang w:val="en-GB"/>
            </w:rPr>
            <w:t>portfolio to</w:t>
          </w:r>
          <w:r w:rsidRPr="0032337D">
            <w:rPr>
              <w:rFonts w:cs="Segoe UI"/>
              <w:lang w:val="en-GB"/>
            </w:rPr>
            <w:t xml:space="preserve"> the average default rate of entities </w:t>
          </w:r>
          <w:r w:rsidR="00F752E2">
            <w:rPr>
              <w:rFonts w:cs="Segoe UI"/>
              <w:lang w:val="en-GB"/>
            </w:rPr>
            <w:t>rated</w:t>
          </w:r>
          <w:r w:rsidRPr="0032337D">
            <w:rPr>
              <w:rFonts w:cs="Segoe UI"/>
              <w:lang w:val="en-GB"/>
            </w:rPr>
            <w:t xml:space="preserve"> </w:t>
          </w:r>
          <w:r w:rsidR="004810F6">
            <w:rPr>
              <w:rFonts w:cs="Segoe UI"/>
              <w:lang w:val="en-GB"/>
            </w:rPr>
            <w:t xml:space="preserve">as either </w:t>
          </w:r>
          <w:r w:rsidR="004810F6" w:rsidRPr="004C1CC4">
            <w:rPr>
              <w:rFonts w:cs="Segoe UI"/>
              <w:i/>
              <w:iCs/>
              <w:lang w:val="en-GB"/>
            </w:rPr>
            <w:t>Investment grade</w:t>
          </w:r>
          <w:r w:rsidR="004810F6">
            <w:rPr>
              <w:rFonts w:cs="Segoe UI"/>
              <w:lang w:val="en-GB"/>
            </w:rPr>
            <w:t xml:space="preserve"> or </w:t>
          </w:r>
          <w:r w:rsidR="004810F6" w:rsidRPr="004C1CC4">
            <w:rPr>
              <w:rFonts w:cs="Segoe UI"/>
              <w:i/>
              <w:iCs/>
              <w:lang w:val="en-GB"/>
            </w:rPr>
            <w:t>Speculative grade</w:t>
          </w:r>
          <w:r w:rsidR="004810F6">
            <w:rPr>
              <w:rFonts w:cs="Segoe UI"/>
              <w:lang w:val="en-GB"/>
            </w:rPr>
            <w:t xml:space="preserve"> </w:t>
          </w:r>
          <w:r w:rsidRPr="0032337D">
            <w:rPr>
              <w:rFonts w:cs="Segoe UI"/>
              <w:lang w:val="en-GB"/>
            </w:rPr>
            <w:t>at the beginning of the period.</w:t>
          </w:r>
        </w:p>
        <w:p w14:paraId="52925AB5" w14:textId="4D41F207" w:rsidR="004101BF" w:rsidRPr="0032337D" w:rsidRDefault="004101BF" w:rsidP="004101BF">
          <w:pPr>
            <w:rPr>
              <w:rFonts w:cs="Segoe UI"/>
              <w:lang w:val="en-GB"/>
            </w:rPr>
          </w:pPr>
          <w:r w:rsidRPr="0032337D">
            <w:rPr>
              <w:rFonts w:cs="Segoe UI"/>
              <w:lang w:val="en-GB"/>
            </w:rPr>
            <w:t xml:space="preserve">As for the </w:t>
          </w:r>
          <w:r w:rsidRPr="0032337D">
            <w:rPr>
              <w:rFonts w:cs="Segoe UI"/>
              <w:i/>
              <w:lang w:val="en-GB"/>
            </w:rPr>
            <w:t>Speculative Grade</w:t>
          </w:r>
          <w:r w:rsidRPr="0032337D">
            <w:rPr>
              <w:rFonts w:cs="Segoe UI"/>
              <w:lang w:val="en-GB"/>
            </w:rPr>
            <w:t xml:space="preserve"> portfolio, the 1-year average default rate is </w:t>
          </w:r>
          <w:r w:rsidR="00D70372">
            <w:rPr>
              <w:rFonts w:cs="Segoe UI"/>
              <w:lang w:val="en-GB"/>
            </w:rPr>
            <w:t>5</w:t>
          </w:r>
          <w:r w:rsidR="00785588">
            <w:rPr>
              <w:rFonts w:cs="Segoe UI"/>
              <w:lang w:val="en-GB"/>
            </w:rPr>
            <w:t>.</w:t>
          </w:r>
          <w:r w:rsidR="00D70372">
            <w:rPr>
              <w:rFonts w:cs="Segoe UI"/>
              <w:lang w:val="en-GB"/>
            </w:rPr>
            <w:t>92</w:t>
          </w:r>
          <w:r w:rsidRPr="0032337D">
            <w:rPr>
              <w:rFonts w:cs="Segoe UI"/>
              <w:lang w:val="en-GB"/>
            </w:rPr>
            <w:t>%, while</w:t>
          </w:r>
          <w:r w:rsidR="00D67045">
            <w:rPr>
              <w:rFonts w:cs="Segoe UI"/>
              <w:lang w:val="en-GB"/>
            </w:rPr>
            <w:t xml:space="preserve"> the same statistic stands at 0</w:t>
          </w:r>
          <w:r w:rsidR="00785588">
            <w:rPr>
              <w:rFonts w:cs="Segoe UI"/>
              <w:lang w:val="en-GB"/>
            </w:rPr>
            <w:t>.</w:t>
          </w:r>
          <w:r w:rsidR="00D67045">
            <w:rPr>
              <w:rFonts w:cs="Segoe UI"/>
              <w:lang w:val="en-GB"/>
            </w:rPr>
            <w:t>31%</w:t>
          </w:r>
          <w:r w:rsidRPr="0032337D">
            <w:rPr>
              <w:rFonts w:cs="Segoe UI"/>
              <w:lang w:val="en-GB"/>
            </w:rPr>
            <w:t xml:space="preserve"> for the </w:t>
          </w:r>
          <w:r w:rsidRPr="0032337D">
            <w:rPr>
              <w:rFonts w:cs="Segoe UI"/>
              <w:i/>
              <w:lang w:val="en-GB"/>
            </w:rPr>
            <w:t>Investment Grade</w:t>
          </w:r>
          <w:r w:rsidRPr="0032337D">
            <w:rPr>
              <w:rFonts w:cs="Segoe UI"/>
              <w:lang w:val="en-GB"/>
            </w:rPr>
            <w:t xml:space="preserve"> portfolio</w:t>
          </w:r>
          <w:r w:rsidR="00D67045">
            <w:rPr>
              <w:rFonts w:cs="Segoe UI"/>
              <w:lang w:val="en-GB"/>
            </w:rPr>
            <w:t xml:space="preserve">. </w:t>
          </w:r>
        </w:p>
        <w:p w14:paraId="53AEC31F" w14:textId="5F405E5E" w:rsidR="004101BF" w:rsidRPr="0032337D" w:rsidRDefault="004101BF" w:rsidP="004101BF">
          <w:pPr>
            <w:rPr>
              <w:rFonts w:cs="Segoe UI"/>
              <w:lang w:val="en-GB"/>
            </w:rPr>
          </w:pPr>
          <w:r w:rsidRPr="0032337D">
            <w:rPr>
              <w:rFonts w:cs="Segoe UI"/>
              <w:lang w:val="en-GB"/>
            </w:rPr>
            <w:t xml:space="preserve">The </w:t>
          </w:r>
          <w:r w:rsidR="00E73060">
            <w:rPr>
              <w:rFonts w:cs="Segoe UI"/>
              <w:lang w:val="en-GB"/>
            </w:rPr>
            <w:t>accuracy</w:t>
          </w:r>
          <w:r w:rsidRPr="0032337D">
            <w:rPr>
              <w:rFonts w:cs="Segoe UI"/>
              <w:lang w:val="en-GB"/>
            </w:rPr>
            <w:t xml:space="preserve"> </w:t>
          </w:r>
          <w:r w:rsidR="00540A60">
            <w:rPr>
              <w:rFonts w:cs="Segoe UI"/>
              <w:lang w:val="en-GB"/>
            </w:rPr>
            <w:t>with which</w:t>
          </w:r>
          <w:r w:rsidRPr="0032337D">
            <w:rPr>
              <w:rFonts w:cs="Segoe UI"/>
              <w:lang w:val="en-GB"/>
            </w:rPr>
            <w:t xml:space="preserve"> the rating process </w:t>
          </w:r>
          <w:proofErr w:type="gramStart"/>
          <w:r w:rsidR="00540A60">
            <w:rPr>
              <w:rFonts w:cs="Segoe UI"/>
              <w:lang w:val="en-GB"/>
            </w:rPr>
            <w:t>is able to</w:t>
          </w:r>
          <w:proofErr w:type="gramEnd"/>
          <w:r w:rsidR="00540A60">
            <w:rPr>
              <w:rFonts w:cs="Segoe UI"/>
              <w:lang w:val="en-GB"/>
            </w:rPr>
            <w:t xml:space="preserve"> </w:t>
          </w:r>
          <w:r w:rsidRPr="0032337D">
            <w:rPr>
              <w:rFonts w:cs="Segoe UI"/>
              <w:lang w:val="en-GB"/>
            </w:rPr>
            <w:t xml:space="preserve">identify </w:t>
          </w:r>
          <w:r w:rsidR="009804A3">
            <w:rPr>
              <w:rFonts w:cs="Segoe UI"/>
              <w:lang w:val="en-GB"/>
            </w:rPr>
            <w:t>clusters with well differentiated</w:t>
          </w:r>
          <w:r w:rsidRPr="0032337D">
            <w:rPr>
              <w:rFonts w:cs="Segoe UI"/>
              <w:lang w:val="en-GB"/>
            </w:rPr>
            <w:t xml:space="preserve"> levels</w:t>
          </w:r>
          <w:r w:rsidR="000748C9">
            <w:rPr>
              <w:rFonts w:cs="Segoe UI"/>
              <w:lang w:val="en-GB"/>
            </w:rPr>
            <w:t xml:space="preserve"> of risk</w:t>
          </w:r>
          <w:r w:rsidRPr="0032337D">
            <w:rPr>
              <w:rFonts w:cs="Segoe UI"/>
              <w:lang w:val="en-GB"/>
            </w:rPr>
            <w:t xml:space="preserve"> is further confirmed</w:t>
          </w:r>
          <w:r w:rsidR="000748C9">
            <w:rPr>
              <w:rFonts w:cs="Segoe UI"/>
              <w:lang w:val="en-GB"/>
            </w:rPr>
            <w:t xml:space="preserve"> by </w:t>
          </w:r>
          <w:r w:rsidRPr="0032337D">
            <w:rPr>
              <w:rFonts w:cs="Segoe UI"/>
              <w:lang w:val="en-GB"/>
            </w:rPr>
            <w:t>Exhibits 20 and 21</w:t>
          </w:r>
          <w:r w:rsidR="000748C9">
            <w:rPr>
              <w:rFonts w:cs="Segoe UI"/>
              <w:lang w:val="en-GB"/>
            </w:rPr>
            <w:t xml:space="preserve">. The </w:t>
          </w:r>
          <w:r w:rsidR="00013548">
            <w:rPr>
              <w:rFonts w:cs="Segoe UI"/>
              <w:lang w:val="en-GB"/>
            </w:rPr>
            <w:t xml:space="preserve">graphs display information </w:t>
          </w:r>
          <w:r w:rsidR="001B35A4">
            <w:rPr>
              <w:rFonts w:cs="Segoe UI"/>
              <w:lang w:val="en-GB"/>
            </w:rPr>
            <w:t>on</w:t>
          </w:r>
          <w:r w:rsidR="000748C9" w:rsidRPr="0032337D">
            <w:rPr>
              <w:rFonts w:cs="Segoe UI"/>
              <w:lang w:val="en-GB"/>
            </w:rPr>
            <w:t xml:space="preserve"> the four identified macro risk areas</w:t>
          </w:r>
          <w:r w:rsidR="001B35A4">
            <w:rPr>
              <w:rFonts w:cs="Segoe UI"/>
              <w:lang w:val="en-GB"/>
            </w:rPr>
            <w:t>.</w:t>
          </w:r>
        </w:p>
        <w:p w14:paraId="3F6E60E3" w14:textId="18697ED1" w:rsidR="004101BF" w:rsidRPr="007B46FC" w:rsidRDefault="004101BF" w:rsidP="00DB7C4B">
          <w:pPr>
            <w:pStyle w:val="Didascalia"/>
            <w:jc w:val="left"/>
            <w:rPr>
              <w:rFonts w:ascii="Segoe UI" w:hAnsi="Segoe UI" w:cs="Segoe UI"/>
              <w:i/>
              <w:sz w:val="14"/>
              <w:lang w:val="en-GB"/>
            </w:rPr>
          </w:pPr>
          <w:bookmarkStart w:id="78" w:name="_Toc130806321"/>
          <w:bookmarkStart w:id="79" w:name="_Toc166675661"/>
          <w:bookmarkStart w:id="80" w:name="_Toc167131788"/>
          <w:r w:rsidRPr="0032337D">
            <w:rPr>
              <w:rFonts w:ascii="Segoe UI" w:hAnsi="Segoe UI" w:cs="Segoe UI"/>
              <w:i/>
              <w:sz w:val="14"/>
              <w:lang w:val="en-GB"/>
            </w:rPr>
            <w:lastRenderedPageBreak/>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20</w:t>
          </w:r>
          <w:r>
            <w:rPr>
              <w:rFonts w:ascii="Segoe UI" w:hAnsi="Segoe UI" w:cs="Segoe UI"/>
              <w:i/>
              <w:sz w:val="14"/>
              <w:lang w:val="en-GB"/>
            </w:rPr>
            <w:fldChar w:fldCharType="end"/>
          </w:r>
          <w:r w:rsidRPr="0032337D">
            <w:rPr>
              <w:rFonts w:ascii="Segoe UI" w:hAnsi="Segoe UI" w:cs="Segoe UI"/>
              <w:i/>
              <w:sz w:val="14"/>
              <w:lang w:val="en-GB"/>
            </w:rPr>
            <w:t>: Breakdown of defaulted entities by risk area</w:t>
          </w:r>
          <w:bookmarkEnd w:id="78"/>
          <w:bookmarkEnd w:id="79"/>
          <w:bookmarkEnd w:id="80"/>
        </w:p>
        <w:p w14:paraId="2236DFB4" w14:textId="247980E2" w:rsidR="007B46FC" w:rsidRDefault="00B534EA" w:rsidP="00894686">
          <w:pPr>
            <w:pStyle w:val="Didascalia"/>
            <w:jc w:val="center"/>
            <w:rPr>
              <w:rFonts w:ascii="Segoe UI" w:hAnsi="Segoe UI" w:cs="Segoe UI"/>
              <w:i/>
              <w:sz w:val="14"/>
              <w:lang w:val="en-GB"/>
            </w:rPr>
          </w:pPr>
          <w:bookmarkStart w:id="81" w:name="_Toc130806322"/>
          <w:r>
            <w:rPr>
              <w:noProof/>
            </w:rPr>
            <w:drawing>
              <wp:inline distT="0" distB="0" distL="0" distR="0" wp14:anchorId="52145AA5" wp14:editId="1B299C48">
                <wp:extent cx="4687747" cy="3363450"/>
                <wp:effectExtent l="0" t="0" r="0" b="8890"/>
                <wp:docPr id="177411826" name="Grafico 1">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F95044C" w14:textId="1D0CB114" w:rsidR="00807473" w:rsidRDefault="004101BF" w:rsidP="00807473">
          <w:pPr>
            <w:pStyle w:val="Didascalia"/>
          </w:pPr>
          <w:bookmarkStart w:id="82" w:name="_Toc166675662"/>
          <w:bookmarkStart w:id="83" w:name="_Toc167131789"/>
          <w:r w:rsidRPr="0032337D">
            <w:rPr>
              <w:rFonts w:ascii="Segoe UI" w:hAnsi="Segoe UI" w:cs="Segoe UI"/>
              <w:i/>
              <w:sz w:val="14"/>
              <w:lang w:val="en-GB"/>
            </w:rPr>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21</w:t>
          </w:r>
          <w:r>
            <w:rPr>
              <w:rFonts w:ascii="Segoe UI" w:hAnsi="Segoe UI" w:cs="Segoe UI"/>
              <w:i/>
              <w:sz w:val="14"/>
              <w:lang w:val="en-GB"/>
            </w:rPr>
            <w:fldChar w:fldCharType="end"/>
          </w:r>
          <w:r w:rsidRPr="0032337D">
            <w:rPr>
              <w:rFonts w:ascii="Segoe UI" w:hAnsi="Segoe UI" w:cs="Segoe UI"/>
              <w:i/>
              <w:sz w:val="14"/>
              <w:lang w:val="en-GB"/>
            </w:rPr>
            <w:t>: Average default rates by risk area (1-year default rates)</w:t>
          </w:r>
          <w:bookmarkEnd w:id="81"/>
          <w:bookmarkEnd w:id="82"/>
          <w:bookmarkEnd w:id="83"/>
        </w:p>
        <w:p w14:paraId="600B8962" w14:textId="215F605C" w:rsidR="00DE4CA4" w:rsidRDefault="00DE4CA4" w:rsidP="00894686">
          <w:pPr>
            <w:pStyle w:val="Didascalia"/>
            <w:jc w:val="center"/>
            <w:rPr>
              <w:rFonts w:cs="Segoe UI"/>
              <w:lang w:val="en-GB"/>
            </w:rPr>
          </w:pPr>
          <w:r>
            <w:rPr>
              <w:noProof/>
            </w:rPr>
            <w:drawing>
              <wp:inline distT="0" distB="0" distL="0" distR="0" wp14:anchorId="2C685C19" wp14:editId="6932E618">
                <wp:extent cx="6600825" cy="3497580"/>
                <wp:effectExtent l="0" t="0" r="0" b="7620"/>
                <wp:docPr id="1380938824" name="Grafico 1">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A131A19" w14:textId="7E5CBC80" w:rsidR="004101BF" w:rsidRPr="0032337D" w:rsidRDefault="004101BF" w:rsidP="004101BF">
          <w:pPr>
            <w:rPr>
              <w:rFonts w:cs="Segoe UI"/>
              <w:lang w:val="en-GB"/>
            </w:rPr>
          </w:pPr>
          <w:r w:rsidRPr="0032337D">
            <w:rPr>
              <w:rFonts w:cs="Segoe UI"/>
              <w:lang w:val="en-GB"/>
            </w:rPr>
            <w:t>Over the 1</w:t>
          </w:r>
          <w:r w:rsidR="00527CE6">
            <w:rPr>
              <w:rFonts w:cs="Segoe UI"/>
              <w:lang w:val="en-GB"/>
            </w:rPr>
            <w:t>5</w:t>
          </w:r>
          <w:r w:rsidRPr="0032337D">
            <w:rPr>
              <w:rFonts w:cs="Segoe UI"/>
              <w:lang w:val="en-GB"/>
            </w:rPr>
            <w:t xml:space="preserve">-year </w:t>
          </w:r>
          <w:r w:rsidR="00527CE6">
            <w:rPr>
              <w:rFonts w:cs="Segoe UI"/>
              <w:lang w:val="en-GB"/>
            </w:rPr>
            <w:t>time span considered</w:t>
          </w:r>
          <w:r w:rsidR="00DD2E2C">
            <w:rPr>
              <w:rFonts w:cs="Segoe UI"/>
              <w:lang w:val="en-GB"/>
            </w:rPr>
            <w:t xml:space="preserve"> for</w:t>
          </w:r>
          <w:r w:rsidR="00527CE6">
            <w:rPr>
              <w:rFonts w:cs="Segoe UI"/>
              <w:lang w:val="en-GB"/>
            </w:rPr>
            <w:t xml:space="preserve"> the study</w:t>
          </w:r>
          <w:r w:rsidRPr="0032337D">
            <w:rPr>
              <w:rFonts w:cs="Segoe UI"/>
              <w:lang w:val="en-GB"/>
            </w:rPr>
            <w:t xml:space="preserve">, </w:t>
          </w:r>
          <w:r w:rsidR="00527CE6">
            <w:rPr>
              <w:rFonts w:cs="Segoe UI"/>
              <w:lang w:val="en-GB"/>
            </w:rPr>
            <w:t xml:space="preserve">only </w:t>
          </w:r>
          <w:r w:rsidRPr="0032337D">
            <w:rPr>
              <w:rFonts w:cs="Segoe UI"/>
              <w:lang w:val="en-GB"/>
            </w:rPr>
            <w:t>a</w:t>
          </w:r>
          <w:r w:rsidR="00527CE6">
            <w:rPr>
              <w:rFonts w:cs="Segoe UI"/>
              <w:lang w:val="en-GB"/>
            </w:rPr>
            <w:t>n extremely low</w:t>
          </w:r>
          <w:r w:rsidRPr="0032337D">
            <w:rPr>
              <w:rFonts w:cs="Segoe UI"/>
              <w:lang w:val="en-GB"/>
            </w:rPr>
            <w:t xml:space="preserve"> number of 1-year defaults </w:t>
          </w:r>
          <w:r w:rsidR="00527CE6">
            <w:rPr>
              <w:rFonts w:cs="Segoe UI"/>
              <w:lang w:val="en-GB"/>
            </w:rPr>
            <w:t>can be attributed to</w:t>
          </w:r>
          <w:r w:rsidRPr="0032337D">
            <w:rPr>
              <w:rFonts w:cs="Segoe UI"/>
              <w:lang w:val="en-GB"/>
            </w:rPr>
            <w:t xml:space="preserve"> </w:t>
          </w:r>
          <w:r w:rsidR="00527CE6">
            <w:rPr>
              <w:rFonts w:cs="Segoe UI"/>
              <w:lang w:val="en-GB"/>
            </w:rPr>
            <w:t xml:space="preserve">either </w:t>
          </w:r>
          <w:r w:rsidRPr="0032337D">
            <w:rPr>
              <w:rFonts w:cs="Segoe UI"/>
              <w:lang w:val="en-GB"/>
            </w:rPr>
            <w:t xml:space="preserve">the </w:t>
          </w:r>
          <w:r w:rsidRPr="0032337D">
            <w:rPr>
              <w:rFonts w:cs="Segoe UI"/>
              <w:i/>
              <w:lang w:val="en-GB"/>
            </w:rPr>
            <w:t>Safety Area</w:t>
          </w:r>
          <w:r w:rsidRPr="0032337D">
            <w:rPr>
              <w:rFonts w:cs="Segoe UI"/>
              <w:lang w:val="en-GB"/>
            </w:rPr>
            <w:t xml:space="preserve"> (4</w:t>
          </w:r>
          <w:r w:rsidR="002965A5">
            <w:rPr>
              <w:rFonts w:cs="Segoe UI"/>
              <w:lang w:val="en-GB"/>
            </w:rPr>
            <w:t>6</w:t>
          </w:r>
          <w:r w:rsidRPr="0032337D">
            <w:rPr>
              <w:rFonts w:cs="Segoe UI"/>
              <w:lang w:val="en-GB"/>
            </w:rPr>
            <w:t xml:space="preserve"> out of 16,</w:t>
          </w:r>
          <w:r w:rsidR="00527CE6">
            <w:rPr>
              <w:rFonts w:cs="Segoe UI"/>
              <w:lang w:val="en-GB"/>
            </w:rPr>
            <w:t>6</w:t>
          </w:r>
          <w:r>
            <w:rPr>
              <w:rFonts w:cs="Segoe UI"/>
              <w:lang w:val="en-GB"/>
            </w:rPr>
            <w:t>2</w:t>
          </w:r>
          <w:r w:rsidR="00527CE6">
            <w:rPr>
              <w:rFonts w:cs="Segoe UI"/>
              <w:lang w:val="en-GB"/>
            </w:rPr>
            <w:t>4</w:t>
          </w:r>
          <w:r w:rsidRPr="0032337D">
            <w:rPr>
              <w:rFonts w:cs="Segoe UI"/>
              <w:lang w:val="en-GB"/>
            </w:rPr>
            <w:t xml:space="preserve"> defaults, or 0.2</w:t>
          </w:r>
          <w:r w:rsidR="00527CE6">
            <w:rPr>
              <w:rFonts w:cs="Segoe UI"/>
              <w:lang w:val="en-GB"/>
            </w:rPr>
            <w:t>8</w:t>
          </w:r>
          <w:r w:rsidRPr="0032337D">
            <w:rPr>
              <w:rFonts w:cs="Segoe UI"/>
              <w:lang w:val="en-GB"/>
            </w:rPr>
            <w:t xml:space="preserve">%) </w:t>
          </w:r>
          <w:r w:rsidR="00527CE6">
            <w:rPr>
              <w:rFonts w:cs="Segoe UI"/>
              <w:lang w:val="en-GB"/>
            </w:rPr>
            <w:t>or</w:t>
          </w:r>
          <w:r w:rsidRPr="0032337D">
            <w:rPr>
              <w:rFonts w:cs="Segoe UI"/>
              <w:lang w:val="en-GB"/>
            </w:rPr>
            <w:t xml:space="preserve"> the </w:t>
          </w:r>
          <w:r w:rsidRPr="0032337D">
            <w:rPr>
              <w:rFonts w:cs="Segoe UI"/>
              <w:i/>
              <w:lang w:val="en-GB"/>
            </w:rPr>
            <w:t>Solvency Area</w:t>
          </w:r>
          <w:r w:rsidRPr="0032337D">
            <w:rPr>
              <w:rFonts w:cs="Segoe UI"/>
              <w:lang w:val="en-GB"/>
            </w:rPr>
            <w:t xml:space="preserve"> (7</w:t>
          </w:r>
          <w:r w:rsidR="00100459">
            <w:rPr>
              <w:rFonts w:cs="Segoe UI"/>
              <w:lang w:val="en-GB"/>
            </w:rPr>
            <w:t>71</w:t>
          </w:r>
          <w:r w:rsidRPr="0032337D">
            <w:rPr>
              <w:rFonts w:cs="Segoe UI"/>
              <w:lang w:val="en-GB"/>
            </w:rPr>
            <w:t xml:space="preserve"> out of 16,</w:t>
          </w:r>
          <w:r w:rsidR="00100459">
            <w:rPr>
              <w:rFonts w:cs="Segoe UI"/>
              <w:lang w:val="en-GB"/>
            </w:rPr>
            <w:t>624</w:t>
          </w:r>
          <w:r w:rsidRPr="0032337D">
            <w:rPr>
              <w:rFonts w:cs="Segoe UI"/>
              <w:lang w:val="en-GB"/>
            </w:rPr>
            <w:t xml:space="preserve"> </w:t>
          </w:r>
          <w:r w:rsidRPr="0032337D">
            <w:rPr>
              <w:rFonts w:cs="Segoe UI"/>
              <w:lang w:val="en-GB"/>
            </w:rPr>
            <w:lastRenderedPageBreak/>
            <w:t>defaults, or 4.6</w:t>
          </w:r>
          <w:r w:rsidR="00100459">
            <w:rPr>
              <w:rFonts w:cs="Segoe UI"/>
              <w:lang w:val="en-GB"/>
            </w:rPr>
            <w:t>4</w:t>
          </w:r>
          <w:r w:rsidRPr="0032337D">
            <w:rPr>
              <w:rFonts w:cs="Segoe UI"/>
              <w:lang w:val="en-GB"/>
            </w:rPr>
            <w:t>%).</w:t>
          </w:r>
          <w:r w:rsidR="00894686">
            <w:rPr>
              <w:rFonts w:cs="Segoe UI"/>
              <w:lang w:val="en-GB"/>
            </w:rPr>
            <w:t xml:space="preserve"> </w:t>
          </w:r>
          <w:r w:rsidRPr="0032337D">
            <w:rPr>
              <w:rFonts w:cs="Segoe UI"/>
              <w:lang w:val="en-GB"/>
            </w:rPr>
            <w:t xml:space="preserve">The 1-year default rate observed for credit ratings falling in the </w:t>
          </w:r>
          <w:r w:rsidRPr="0032337D">
            <w:rPr>
              <w:rFonts w:cs="Segoe UI"/>
              <w:i/>
              <w:lang w:val="en-GB"/>
            </w:rPr>
            <w:t>Safety Area</w:t>
          </w:r>
          <w:r w:rsidRPr="0032337D">
            <w:rPr>
              <w:rFonts w:cs="Segoe UI"/>
              <w:lang w:val="en-GB"/>
            </w:rPr>
            <w:t xml:space="preserve"> and in the </w:t>
          </w:r>
          <w:proofErr w:type="gramStart"/>
          <w:r w:rsidRPr="0032337D">
            <w:rPr>
              <w:rFonts w:cs="Segoe UI"/>
              <w:i/>
              <w:lang w:val="en-GB"/>
            </w:rPr>
            <w:t>Solvency</w:t>
          </w:r>
          <w:proofErr w:type="gramEnd"/>
          <w:r w:rsidRPr="0032337D">
            <w:rPr>
              <w:rFonts w:cs="Segoe UI"/>
              <w:i/>
              <w:lang w:val="en-GB"/>
            </w:rPr>
            <w:t xml:space="preserve"> Area</w:t>
          </w:r>
          <w:r w:rsidRPr="0032337D">
            <w:rPr>
              <w:rFonts w:cs="Segoe UI"/>
              <w:lang w:val="en-GB"/>
            </w:rPr>
            <w:t xml:space="preserve"> is consistently very low, on average 0.0</w:t>
          </w:r>
          <w:r>
            <w:rPr>
              <w:rFonts w:cs="Segoe UI"/>
              <w:lang w:val="en-GB"/>
            </w:rPr>
            <w:t>6</w:t>
          </w:r>
          <w:r w:rsidRPr="0032337D">
            <w:rPr>
              <w:rFonts w:cs="Segoe UI"/>
              <w:lang w:val="en-GB"/>
            </w:rPr>
            <w:t>% and 0.4</w:t>
          </w:r>
          <w:r w:rsidR="00B16739">
            <w:rPr>
              <w:rFonts w:cs="Segoe UI"/>
              <w:lang w:val="en-GB"/>
            </w:rPr>
            <w:t>1</w:t>
          </w:r>
          <w:r w:rsidRPr="0032337D">
            <w:rPr>
              <w:rFonts w:cs="Segoe UI"/>
              <w:lang w:val="en-GB"/>
            </w:rPr>
            <w:t>% respectively.</w:t>
          </w:r>
        </w:p>
        <w:p w14:paraId="207FEB55" w14:textId="3DA673E4" w:rsidR="004101BF" w:rsidRPr="0032337D" w:rsidRDefault="00B16739" w:rsidP="004101BF">
          <w:pPr>
            <w:rPr>
              <w:rFonts w:cs="Segoe UI"/>
              <w:lang w:val="en-GB"/>
            </w:rPr>
          </w:pPr>
          <w:r>
            <w:rPr>
              <w:rFonts w:cs="Segoe UI"/>
              <w:lang w:val="en-GB"/>
            </w:rPr>
            <w:t>As far as t</w:t>
          </w:r>
          <w:r w:rsidR="004101BF" w:rsidRPr="0032337D">
            <w:rPr>
              <w:rFonts w:cs="Segoe UI"/>
              <w:lang w:val="en-GB"/>
            </w:rPr>
            <w:t xml:space="preserve">he </w:t>
          </w:r>
          <w:r w:rsidR="004101BF" w:rsidRPr="0032337D">
            <w:rPr>
              <w:rFonts w:cs="Segoe UI"/>
              <w:i/>
              <w:lang w:val="en-GB"/>
            </w:rPr>
            <w:t>Vulnerability Area</w:t>
          </w:r>
          <w:r>
            <w:rPr>
              <w:rFonts w:cs="Segoe UI"/>
              <w:lang w:val="en-GB"/>
            </w:rPr>
            <w:t xml:space="preserve"> is considered, </w:t>
          </w:r>
          <w:r w:rsidR="004C3C88">
            <w:rPr>
              <w:rFonts w:cs="Segoe UI"/>
              <w:lang w:val="en-GB"/>
            </w:rPr>
            <w:t>the data show</w:t>
          </w:r>
          <w:r w:rsidR="00EA61CC">
            <w:rPr>
              <w:rFonts w:cs="Segoe UI"/>
              <w:lang w:val="en-GB"/>
            </w:rPr>
            <w:t xml:space="preserve"> how the cluster is associated with a </w:t>
          </w:r>
          <w:r w:rsidR="00EB2C15">
            <w:rPr>
              <w:rFonts w:cs="Segoe UI"/>
              <w:lang w:val="en-GB"/>
            </w:rPr>
            <w:t>lower-than-average risk</w:t>
          </w:r>
          <w:r w:rsidR="00EA61CC">
            <w:rPr>
              <w:rFonts w:cs="Segoe UI"/>
              <w:lang w:val="en-GB"/>
            </w:rPr>
            <w:t xml:space="preserve">, even though </w:t>
          </w:r>
          <w:r w:rsidR="007148F5">
            <w:rPr>
              <w:rFonts w:cs="Segoe UI"/>
              <w:lang w:val="en-GB"/>
            </w:rPr>
            <w:t>the category is comprised</w:t>
          </w:r>
          <w:r w:rsidR="00EA61CC">
            <w:rPr>
              <w:rFonts w:cs="Segoe UI"/>
              <w:lang w:val="en-GB"/>
            </w:rPr>
            <w:t xml:space="preserve"> of</w:t>
          </w:r>
          <w:r w:rsidR="004101BF" w:rsidRPr="0032337D">
            <w:rPr>
              <w:rFonts w:cs="Segoe UI"/>
              <w:lang w:val="en-GB"/>
            </w:rPr>
            <w:t xml:space="preserve"> entities with a significant level of risk.</w:t>
          </w:r>
          <w:r w:rsidR="00B937D7">
            <w:rPr>
              <w:rFonts w:cs="Segoe UI"/>
              <w:lang w:val="en-GB"/>
            </w:rPr>
            <w:t xml:space="preserve"> Indeed, t</w:t>
          </w:r>
          <w:r w:rsidR="004101BF" w:rsidRPr="0032337D">
            <w:rPr>
              <w:rFonts w:cs="Segoe UI"/>
              <w:lang w:val="en-GB"/>
            </w:rPr>
            <w:t xml:space="preserve">he 1-year default rate in the </w:t>
          </w:r>
          <w:r w:rsidR="004101BF" w:rsidRPr="0032337D">
            <w:rPr>
              <w:rFonts w:cs="Segoe UI"/>
              <w:i/>
              <w:lang w:val="en-GB"/>
            </w:rPr>
            <w:t>Vulnerability Area</w:t>
          </w:r>
          <w:r w:rsidR="004101BF" w:rsidRPr="0032337D">
            <w:rPr>
              <w:rFonts w:cs="Segoe UI"/>
              <w:lang w:val="en-GB"/>
            </w:rPr>
            <w:t xml:space="preserve"> </w:t>
          </w:r>
          <w:r w:rsidR="00C452EB">
            <w:rPr>
              <w:rFonts w:cs="Segoe UI"/>
              <w:lang w:val="en-GB"/>
            </w:rPr>
            <w:t>stands at 1</w:t>
          </w:r>
          <w:r w:rsidR="00EC4806">
            <w:rPr>
              <w:rFonts w:cs="Segoe UI"/>
              <w:lang w:val="en-GB"/>
            </w:rPr>
            <w:t>.</w:t>
          </w:r>
          <w:r w:rsidR="00C452EB">
            <w:rPr>
              <w:rFonts w:cs="Segoe UI"/>
              <w:lang w:val="en-GB"/>
            </w:rPr>
            <w:t xml:space="preserve">77%, </w:t>
          </w:r>
          <w:r w:rsidR="00992141">
            <w:rPr>
              <w:rFonts w:cs="Segoe UI"/>
              <w:lang w:val="en-GB"/>
            </w:rPr>
            <w:t>considerably lower</w:t>
          </w:r>
          <w:r w:rsidR="00C452EB">
            <w:rPr>
              <w:rFonts w:cs="Segoe UI"/>
              <w:lang w:val="en-GB"/>
            </w:rPr>
            <w:t xml:space="preserve"> </w:t>
          </w:r>
          <w:r w:rsidR="00992141">
            <w:rPr>
              <w:rFonts w:cs="Segoe UI"/>
              <w:lang w:val="en-GB"/>
            </w:rPr>
            <w:t>than the</w:t>
          </w:r>
          <w:r w:rsidR="00C452EB">
            <w:rPr>
              <w:rFonts w:cs="Segoe UI"/>
              <w:lang w:val="en-GB"/>
            </w:rPr>
            <w:t xml:space="preserve"> 3.22% average of the whole portfolio</w:t>
          </w:r>
          <w:r w:rsidR="00992141">
            <w:rPr>
              <w:rFonts w:cs="Segoe UI"/>
              <w:lang w:val="en-GB"/>
            </w:rPr>
            <w:t>. It is however worth</w:t>
          </w:r>
          <w:r w:rsidR="0061667D">
            <w:rPr>
              <w:rFonts w:cs="Segoe UI"/>
              <w:lang w:val="en-GB"/>
            </w:rPr>
            <w:t xml:space="preserve"> noting that in 2023</w:t>
          </w:r>
          <w:r w:rsidR="00846FD5">
            <w:rPr>
              <w:rFonts w:cs="Segoe UI"/>
              <w:lang w:val="en-GB"/>
            </w:rPr>
            <w:t xml:space="preserve"> the</w:t>
          </w:r>
          <w:r w:rsidR="0061667D">
            <w:rPr>
              <w:rFonts w:cs="Segoe UI"/>
              <w:lang w:val="en-GB"/>
            </w:rPr>
            <w:t xml:space="preserve"> vulnerability area </w:t>
          </w:r>
          <w:r w:rsidR="002C6569">
            <w:rPr>
              <w:rFonts w:cs="Segoe UI"/>
              <w:lang w:val="en-GB"/>
            </w:rPr>
            <w:t>showed a</w:t>
          </w:r>
          <w:r w:rsidR="0061667D">
            <w:rPr>
              <w:rFonts w:cs="Segoe UI"/>
              <w:lang w:val="en-GB"/>
            </w:rPr>
            <w:t xml:space="preserve"> higher</w:t>
          </w:r>
          <w:r w:rsidR="002C6569">
            <w:rPr>
              <w:rFonts w:cs="Segoe UI"/>
              <w:lang w:val="en-GB"/>
            </w:rPr>
            <w:t xml:space="preserve"> 1-year default rate</w:t>
          </w:r>
          <w:r w:rsidR="0061667D">
            <w:rPr>
              <w:rFonts w:cs="Segoe UI"/>
              <w:lang w:val="en-GB"/>
            </w:rPr>
            <w:t xml:space="preserve"> </w:t>
          </w:r>
          <w:r w:rsidR="00846FD5">
            <w:rPr>
              <w:rFonts w:cs="Segoe UI"/>
              <w:lang w:val="en-GB"/>
            </w:rPr>
            <w:t>compared to the overall sample (0</w:t>
          </w:r>
          <w:r w:rsidR="00A84617">
            <w:rPr>
              <w:rFonts w:cs="Segoe UI"/>
              <w:lang w:val="en-GB"/>
            </w:rPr>
            <w:t>.</w:t>
          </w:r>
          <w:r w:rsidR="00846FD5">
            <w:rPr>
              <w:rFonts w:cs="Segoe UI"/>
              <w:lang w:val="en-GB"/>
            </w:rPr>
            <w:t>63% and 0</w:t>
          </w:r>
          <w:r w:rsidR="00A84617">
            <w:rPr>
              <w:rFonts w:cs="Segoe UI"/>
              <w:lang w:val="en-GB"/>
            </w:rPr>
            <w:t>.</w:t>
          </w:r>
          <w:r w:rsidR="00846FD5">
            <w:rPr>
              <w:rFonts w:cs="Segoe UI"/>
              <w:lang w:val="en-GB"/>
            </w:rPr>
            <w:t>62% respectively).</w:t>
          </w:r>
        </w:p>
        <w:p w14:paraId="038D8BBE" w14:textId="26C7D5D3" w:rsidR="004101BF" w:rsidRPr="0032337D" w:rsidRDefault="00C46B15" w:rsidP="004101BF">
          <w:pPr>
            <w:rPr>
              <w:rFonts w:cs="Segoe UI"/>
              <w:lang w:val="en-GB"/>
            </w:rPr>
          </w:pPr>
          <w:r>
            <w:rPr>
              <w:rFonts w:cs="Segoe UI"/>
              <w:lang w:val="en-GB"/>
            </w:rPr>
            <w:t xml:space="preserve">The highest number of defaults </w:t>
          </w:r>
          <w:r w:rsidR="00544EB7">
            <w:rPr>
              <w:rFonts w:cs="Segoe UI"/>
              <w:lang w:val="en-GB"/>
            </w:rPr>
            <w:t xml:space="preserve">falls within the </w:t>
          </w:r>
          <w:r w:rsidR="004101BF" w:rsidRPr="0032337D">
            <w:rPr>
              <w:rFonts w:cs="Segoe UI"/>
              <w:i/>
              <w:lang w:val="en-GB"/>
            </w:rPr>
            <w:t>Risk Area</w:t>
          </w:r>
          <w:r w:rsidR="003320D7">
            <w:rPr>
              <w:rFonts w:cs="Segoe UI"/>
              <w:i/>
              <w:lang w:val="en-GB"/>
            </w:rPr>
            <w:t xml:space="preserve"> </w:t>
          </w:r>
          <w:r w:rsidR="0061215A">
            <w:rPr>
              <w:rFonts w:cs="Segoe UI"/>
              <w:iCs/>
              <w:lang w:val="en-GB"/>
            </w:rPr>
            <w:t>(</w:t>
          </w:r>
          <w:r w:rsidR="00F4025C">
            <w:rPr>
              <w:rFonts w:cs="Segoe UI"/>
              <w:iCs/>
              <w:lang w:val="en-GB"/>
            </w:rPr>
            <w:t>12,504 out of</w:t>
          </w:r>
          <w:r w:rsidR="003320D7">
            <w:rPr>
              <w:rFonts w:cs="Segoe UI"/>
              <w:iCs/>
              <w:lang w:val="en-GB"/>
            </w:rPr>
            <w:t xml:space="preserve"> 16,624 total defaults</w:t>
          </w:r>
          <w:r w:rsidR="00C722D0">
            <w:rPr>
              <w:rFonts w:cs="Segoe UI"/>
              <w:iCs/>
              <w:lang w:val="en-GB"/>
            </w:rPr>
            <w:t>, totalling 75</w:t>
          </w:r>
          <w:r w:rsidR="00404031">
            <w:rPr>
              <w:rFonts w:cs="Segoe UI"/>
              <w:iCs/>
              <w:lang w:val="en-GB"/>
            </w:rPr>
            <w:t>.</w:t>
          </w:r>
          <w:r w:rsidR="00C722D0">
            <w:rPr>
              <w:rFonts w:cs="Segoe UI"/>
              <w:iCs/>
              <w:lang w:val="en-GB"/>
            </w:rPr>
            <w:t>22% of the defaults</w:t>
          </w:r>
          <w:r w:rsidR="0061215A">
            <w:rPr>
              <w:rFonts w:cs="Segoe UI"/>
              <w:iCs/>
              <w:lang w:val="en-GB"/>
            </w:rPr>
            <w:t>)</w:t>
          </w:r>
          <w:r w:rsidR="00C722D0">
            <w:rPr>
              <w:rFonts w:cs="Segoe UI"/>
              <w:iCs/>
              <w:lang w:val="en-GB"/>
            </w:rPr>
            <w:t xml:space="preserve">. </w:t>
          </w:r>
          <w:r w:rsidR="004101BF" w:rsidRPr="0032337D">
            <w:rPr>
              <w:rFonts w:cs="Segoe UI"/>
              <w:lang w:val="en-GB"/>
            </w:rPr>
            <w:t>The 1-y</w:t>
          </w:r>
          <w:r w:rsidR="00C722D0">
            <w:rPr>
              <w:rFonts w:cs="Segoe UI"/>
              <w:lang w:val="en-GB"/>
            </w:rPr>
            <w:t>ear</w:t>
          </w:r>
          <w:r w:rsidR="004101BF" w:rsidRPr="0032337D">
            <w:rPr>
              <w:rFonts w:cs="Segoe UI"/>
              <w:lang w:val="en-GB"/>
            </w:rPr>
            <w:t xml:space="preserve"> average default rate observed in the </w:t>
          </w:r>
          <w:r w:rsidR="004101BF" w:rsidRPr="0032337D">
            <w:rPr>
              <w:rFonts w:cs="Segoe UI"/>
              <w:i/>
              <w:lang w:val="en-GB"/>
            </w:rPr>
            <w:t>Risk Area</w:t>
          </w:r>
          <w:r w:rsidR="004101BF" w:rsidRPr="0032337D">
            <w:rPr>
              <w:rFonts w:cs="Segoe UI"/>
              <w:lang w:val="en-GB"/>
            </w:rPr>
            <w:t xml:space="preserve"> is very high, 1</w:t>
          </w:r>
          <w:r w:rsidR="004101BF">
            <w:rPr>
              <w:rFonts w:cs="Segoe UI"/>
              <w:lang w:val="en-GB"/>
            </w:rPr>
            <w:t>5</w:t>
          </w:r>
          <w:r w:rsidR="004101BF" w:rsidRPr="0032337D">
            <w:rPr>
              <w:rFonts w:cs="Segoe UI"/>
              <w:lang w:val="en-GB"/>
            </w:rPr>
            <w:t>.</w:t>
          </w:r>
          <w:r w:rsidR="002A777F">
            <w:rPr>
              <w:rFonts w:cs="Segoe UI"/>
              <w:lang w:val="en-GB"/>
            </w:rPr>
            <w:t>56</w:t>
          </w:r>
          <w:r w:rsidR="004101BF" w:rsidRPr="0032337D">
            <w:rPr>
              <w:rFonts w:cs="Segoe UI"/>
              <w:lang w:val="en-GB"/>
            </w:rPr>
            <w:t>%.</w:t>
          </w:r>
        </w:p>
        <w:p w14:paraId="6836B7B6" w14:textId="5C91CC54" w:rsidR="004101BF" w:rsidRPr="0032337D" w:rsidRDefault="004101BF" w:rsidP="004101BF">
          <w:pPr>
            <w:rPr>
              <w:rFonts w:cs="Segoe UI"/>
              <w:lang w:val="en-GB"/>
            </w:rPr>
          </w:pPr>
          <w:r w:rsidRPr="0032337D">
            <w:rPr>
              <w:rFonts w:cs="Segoe UI"/>
              <w:lang w:val="en-GB"/>
            </w:rPr>
            <w:t xml:space="preserve">Exhibit 22 shows </w:t>
          </w:r>
          <w:r w:rsidR="00894686">
            <w:rPr>
              <w:rFonts w:cs="Segoe UI"/>
              <w:lang w:val="en-GB"/>
            </w:rPr>
            <w:t xml:space="preserve">the </w:t>
          </w:r>
          <w:r w:rsidRPr="0032337D">
            <w:rPr>
              <w:rFonts w:cs="Segoe UI"/>
              <w:lang w:val="en-GB"/>
            </w:rPr>
            <w:t>details of 1-y</w:t>
          </w:r>
          <w:r w:rsidR="00894686">
            <w:rPr>
              <w:rFonts w:cs="Segoe UI"/>
              <w:lang w:val="en-GB"/>
            </w:rPr>
            <w:t>ear</w:t>
          </w:r>
          <w:r w:rsidRPr="0032337D">
            <w:rPr>
              <w:rFonts w:cs="Segoe UI"/>
              <w:lang w:val="en-GB"/>
            </w:rPr>
            <w:t xml:space="preserve"> default rate for each static pool.</w:t>
          </w:r>
        </w:p>
        <w:p w14:paraId="4DD88B69" w14:textId="001023F0" w:rsidR="004101BF" w:rsidRPr="005679D1" w:rsidRDefault="004101BF" w:rsidP="005679D1">
          <w:pPr>
            <w:pStyle w:val="Didascalia"/>
            <w:rPr>
              <w:rFonts w:ascii="Segoe UI" w:hAnsi="Segoe UI" w:cs="Segoe UI"/>
              <w:i/>
              <w:sz w:val="14"/>
              <w:lang w:val="en-GB"/>
            </w:rPr>
          </w:pPr>
          <w:bookmarkStart w:id="84" w:name="_Toc130806323"/>
          <w:bookmarkStart w:id="85" w:name="_Toc166675663"/>
          <w:bookmarkStart w:id="86" w:name="_Toc167131790"/>
          <w:r w:rsidRPr="0032337D">
            <w:rPr>
              <w:rFonts w:ascii="Segoe UI" w:hAnsi="Segoe UI" w:cs="Segoe UI"/>
              <w:i/>
              <w:sz w:val="14"/>
              <w:lang w:val="en-GB"/>
            </w:rPr>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22</w:t>
          </w:r>
          <w:r>
            <w:rPr>
              <w:rFonts w:ascii="Segoe UI" w:hAnsi="Segoe UI" w:cs="Segoe UI"/>
              <w:i/>
              <w:sz w:val="14"/>
              <w:lang w:val="en-GB"/>
            </w:rPr>
            <w:fldChar w:fldCharType="end"/>
          </w:r>
          <w:r w:rsidRPr="0032337D">
            <w:rPr>
              <w:rFonts w:ascii="Segoe UI" w:hAnsi="Segoe UI" w:cs="Segoe UI"/>
              <w:i/>
              <w:sz w:val="14"/>
              <w:lang w:val="en-GB"/>
            </w:rPr>
            <w:t>: Breakdown of average default rates by rating class detailed by static pool</w:t>
          </w:r>
          <w:bookmarkEnd w:id="84"/>
          <w:bookmarkEnd w:id="85"/>
          <w:bookmarkEnd w:id="86"/>
        </w:p>
        <w:tbl>
          <w:tblPr>
            <w:tblW w:w="5000" w:type="pct"/>
            <w:jc w:val="center"/>
            <w:tblBorders>
              <w:top w:val="single" w:sz="4" w:space="0" w:color="AFAFB4" w:themeColor="accent4"/>
              <w:bottom w:val="single" w:sz="4" w:space="0" w:color="AFAFB4" w:themeColor="accent4"/>
              <w:insideH w:val="single" w:sz="4" w:space="0" w:color="AFAFB4" w:themeColor="accent4"/>
            </w:tblBorders>
            <w:shd w:val="clear" w:color="auto" w:fill="FFFFFF" w:themeFill="background2"/>
            <w:tblCellMar>
              <w:left w:w="0" w:type="dxa"/>
              <w:right w:w="0" w:type="dxa"/>
            </w:tblCellMar>
            <w:tblLook w:val="0620" w:firstRow="1" w:lastRow="0" w:firstColumn="0" w:lastColumn="0" w:noHBand="1" w:noVBand="1"/>
            <w:tblDescription w:val="{&quot;Ott&quot;:{&quot;FirstRow&quot;:{&quot;BackgroundColor&quot;:{&quot;Key&quot;:&quot;Light2&quot;},&quot;Font&quot;:{&quot;Name&quot;:&quot;Source Sans Pro&quot;,&quot;Size&quot;:14.0,&quot;Bold&quot;:false,&quot;Italic&quot;:false,&quot;Color&quot;:{&quot;Key&quot;:&quot;Dark2&quot;}},&quot;ExcelCellFormatting&quot;:&quot;General&quot;,&quot;Alignment&quot;:{&quot;Horizontal&quot;:&quot;Left&quot;,&quot;Vertical&quot;:&quot;Bottom&quot;},&quot;Borders&quot;:{&quot;Vertical&quot;:{&quot;Visible&quot;:false},&quot;Left&quot;:{&quot;Visible&quot;:false},&quot;Top&quot;:{&quot;Visible&quot;:false},&quot;Right&quot;:{&quot;Visible&quot;:false},&quot;Bottom&quot;:{&quot;Color&quot;:{&quot;Key&quot;:&quot;Accent4&quot;},&quot;BorderWeight&quot;:&quot;Pt1_5&quot;,&quot;Type&quot;:&quot;Solid&quot;,&quot;Visible&quot;:true}}},&quot;FitRowHeightPp&quot;:true,&quot;ZeroMarginsWord&quot;:true,&quot;BackgroundColor&quot;:{&quot;Key&quot;:&quot;Light2&quot;},&quot;Font&quot;:{&quot;Name&quot;:&quot;Source Sans Pro&quot;,&quot;Size&quot;:11.0,&quot;Bold&quot;:false,&quot;Italic&quot;:false,&quot;Color&quot;:{&quot;Key&quot;:&quot;Dark2&quot;}},&quot;LineSpacing&quot;:{&quot;Rule&quot;:&quot;Single&quot;},&quot;Alignment&quot;:{&quot;Horizontal&quot;:&quot;Left&quot;,&quot;Vertical&quot;:&quot;Top&quot;},&quot;Margin&quot;:{&quot;Left&quot;:5.7,&quot;Top&quot;:3.0,&quot;Right&quot;:5.7,&quot;Bottom&quot;:3.0},&quot;Borders&quot;:{&quot;Vertical&quot;:{&quot;Visible&quot;:false},&quot;Horizontal&quot;:{&quot;Color&quot;:{&quot;Key&quot;:&quot;Accent4&quot;},&quot;BorderWeight&quot;:&quot;Pt0_5&quot;,&quot;Type&quot;:&quot;Solid&quot;,&quot;Visible&quot;:true}},&quot;ParagraphSpacing&quot;:{&quot;SpaceBefore&quot;:2.0,&quot;SpaceAfter&quot;:2.0},&quot;ExcelWrapText&quot;:true},&quot;Ccs&quot;:{&quot;DarkBlue&quot;:&quot;0, 20, 55&quot;,&quot;Turquoise&quot;:&quot;0, 164, 230&quot;,&quot;Red&quot;:&quot;214, 70, 65&quot;,&quot;LightGrey&quot;:&quot;174, 174, 180&quot;,&quot;BlueGrey&quot;:&quot;77, 91, 115&quot;,&quot;IceBlue&quot;:&quot;178, 184, 195&quot;,&quot;Grey&quot;:&quot;145, 147, 153&quot;,&quot;Background&quot;:&quot;0, 0, 0, 0&quot;,&quot;White&quot;:&quot;White&quot;,&quot;Accent1&quot;:&quot;1, 1, 1, 1&quot;,&quot;Accent2&quot;:&quot;1, 1, 1, 2&quot;,&quot;Accent3&quot;:&quot;1, 1, 1, 3&quot;,&quot;Accent4&quot;:&quot;1, 1, 1, 4&quot;,&quot;Accent5&quot;:&quot;1, 1, 1, 5&quot;,&quot;Accent6&quot;:&quot;1, 1, 1, 6&quot;,&quot;Dark1&quot;:&quot;1, 1, 1, 7&quot;,&quot;Dark2&quot;:&quot;1, 1, 1, 9&quot;,&quot;Light1&quot;:&quot;1, 1, 1, 8&quot;,&quot;Light2&quot;:&quot;1, 1, 1, 10&quot;},&quot;Cop&quot;:{&quot;FirstRow&quot;:true,&quot;LastRow&quot;:false,&quot;FirstColumn&quot;:false,&quot;LastColumn&quot;:false,&quot;BandedRows&quot;:false,&quot;BandedColumns&quot;:false},&quot;Aaf&quot;:false}"/>
          </w:tblPr>
          <w:tblGrid>
            <w:gridCol w:w="517"/>
            <w:gridCol w:w="697"/>
            <w:gridCol w:w="670"/>
            <w:gridCol w:w="661"/>
            <w:gridCol w:w="521"/>
            <w:gridCol w:w="518"/>
            <w:gridCol w:w="154"/>
            <w:gridCol w:w="363"/>
            <w:gridCol w:w="518"/>
            <w:gridCol w:w="518"/>
            <w:gridCol w:w="521"/>
            <w:gridCol w:w="518"/>
            <w:gridCol w:w="518"/>
            <w:gridCol w:w="347"/>
            <w:gridCol w:w="171"/>
            <w:gridCol w:w="518"/>
            <w:gridCol w:w="521"/>
            <w:gridCol w:w="518"/>
            <w:gridCol w:w="518"/>
            <w:gridCol w:w="518"/>
            <w:gridCol w:w="543"/>
          </w:tblGrid>
          <w:tr w:rsidR="00B67630" w:rsidRPr="004E4A85" w14:paraId="14042B72" w14:textId="4F8D6AF2" w:rsidTr="00103A4B">
            <w:trPr>
              <w:cantSplit/>
              <w:trHeight w:val="397"/>
              <w:jc w:val="center"/>
            </w:trPr>
            <w:tc>
              <w:tcPr>
                <w:tcW w:w="1798" w:type="pct"/>
                <w:gridSpan w:val="7"/>
                <w:tcBorders>
                  <w:top w:val="single" w:sz="12" w:space="0" w:color="AFAFB4" w:themeColor="accent4"/>
                </w:tcBorders>
                <w:shd w:val="clear" w:color="auto" w:fill="FFFFFF" w:themeFill="background2"/>
                <w:vAlign w:val="center"/>
              </w:tcPr>
              <w:p w14:paraId="40012EC9" w14:textId="00C96B24" w:rsidR="00DC521A" w:rsidRPr="004E4A85" w:rsidRDefault="00DC521A" w:rsidP="00E05C6F">
                <w:pPr>
                  <w:spacing w:before="0" w:line="240" w:lineRule="auto"/>
                  <w:jc w:val="center"/>
                  <w:rPr>
                    <w:b/>
                    <w:color w:val="33A1AB" w:themeColor="accent2"/>
                    <w:sz w:val="14"/>
                    <w:szCs w:val="14"/>
                  </w:rPr>
                </w:pPr>
              </w:p>
            </w:tc>
            <w:tc>
              <w:tcPr>
                <w:tcW w:w="1600" w:type="pct"/>
                <w:gridSpan w:val="7"/>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61019028" w14:textId="593FB997" w:rsidR="00DC521A" w:rsidRPr="004E4A85" w:rsidRDefault="00DC521A" w:rsidP="00E05C6F">
                <w:pPr>
                  <w:spacing w:before="0" w:line="240" w:lineRule="auto"/>
                  <w:jc w:val="center"/>
                  <w:rPr>
                    <w:b/>
                    <w:color w:val="33A1AB" w:themeColor="accent2"/>
                    <w:sz w:val="14"/>
                    <w:szCs w:val="14"/>
                  </w:rPr>
                </w:pPr>
                <w:r w:rsidRPr="004E4A85">
                  <w:rPr>
                    <w:b/>
                    <w:color w:val="33A1AB" w:themeColor="accent2"/>
                    <w:sz w:val="14"/>
                    <w:szCs w:val="14"/>
                  </w:rPr>
                  <w:t>1-YEAR DEFAULT RATE BY STATIC POOL</w:t>
                </w:r>
              </w:p>
            </w:tc>
            <w:tc>
              <w:tcPr>
                <w:tcW w:w="1601" w:type="pct"/>
                <w:gridSpan w:val="7"/>
                <w:tcBorders>
                  <w:top w:val="single" w:sz="12" w:space="0" w:color="AFAFB4" w:themeColor="accent4"/>
                </w:tcBorders>
                <w:shd w:val="clear" w:color="auto" w:fill="FFFFFF" w:themeFill="background2"/>
                <w:vAlign w:val="center"/>
              </w:tcPr>
              <w:p w14:paraId="7F4C9D5A" w14:textId="77777777" w:rsidR="00DC521A" w:rsidRPr="004E4A85" w:rsidRDefault="00DC521A" w:rsidP="00E05C6F">
                <w:pPr>
                  <w:spacing w:before="0" w:line="240" w:lineRule="auto"/>
                  <w:jc w:val="center"/>
                  <w:rPr>
                    <w:b/>
                    <w:color w:val="33A1AB" w:themeColor="accent2"/>
                    <w:sz w:val="14"/>
                    <w:szCs w:val="14"/>
                  </w:rPr>
                </w:pPr>
              </w:p>
            </w:tc>
          </w:tr>
          <w:tr w:rsidR="00992F35" w:rsidRPr="004E4A85" w14:paraId="74A6DAD0" w14:textId="7E09DB9E" w:rsidTr="00103A4B">
            <w:trPr>
              <w:cantSplit/>
              <w:trHeight w:val="397"/>
              <w:jc w:val="center"/>
            </w:trPr>
            <w:tc>
              <w:tcPr>
                <w:tcW w:w="251" w:type="pct"/>
                <w:vMerge w:val="restart"/>
                <w:tcBorders>
                  <w:top w:val="single" w:sz="12" w:space="0" w:color="AFAFB4" w:themeColor="accent4"/>
                </w:tcBorders>
                <w:shd w:val="clear" w:color="auto" w:fill="FFFFFF" w:themeFill="background2"/>
                <w:textDirection w:val="btLr"/>
                <w:vAlign w:val="center"/>
              </w:tcPr>
              <w:p w14:paraId="701E27E3" w14:textId="55633AC4" w:rsidR="00B67630" w:rsidRPr="004E4A85" w:rsidRDefault="00B67630" w:rsidP="00E05C6F">
                <w:pPr>
                  <w:pStyle w:val="TableTextLeft"/>
                  <w:spacing w:before="0" w:after="0"/>
                  <w:ind w:left="113" w:right="113"/>
                  <w:jc w:val="center"/>
                  <w:rPr>
                    <w:b/>
                    <w:color w:val="33A1AB" w:themeColor="accent2"/>
                    <w:sz w:val="14"/>
                    <w:szCs w:val="14"/>
                  </w:rPr>
                </w:pPr>
                <w:r w:rsidRPr="004E4A85">
                  <w:rPr>
                    <w:rFonts w:cs="Segoe UI"/>
                    <w:b/>
                    <w:bCs/>
                    <w:sz w:val="14"/>
                    <w:szCs w:val="14"/>
                    <w:lang w:eastAsia="it-IT"/>
                  </w:rPr>
                  <w:t>SAFETY</w:t>
                </w:r>
              </w:p>
            </w:tc>
            <w:tc>
              <w:tcPr>
                <w:tcW w:w="325"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3CCF045B" w14:textId="31B10BCB" w:rsidR="00B67630" w:rsidRPr="004E4A85" w:rsidRDefault="00B67630" w:rsidP="00E05C6F">
                <w:pPr>
                  <w:spacing w:before="0" w:line="240" w:lineRule="auto"/>
                  <w:jc w:val="center"/>
                  <w:rPr>
                    <w:b/>
                    <w:color w:val="33A1AB" w:themeColor="accent2"/>
                    <w:sz w:val="14"/>
                    <w:szCs w:val="14"/>
                  </w:rPr>
                </w:pPr>
                <w:r w:rsidRPr="004E4A85">
                  <w:rPr>
                    <w:b/>
                    <w:color w:val="33A1AB" w:themeColor="accent2"/>
                    <w:sz w:val="14"/>
                    <w:szCs w:val="14"/>
                  </w:rPr>
                  <w:t>RATING</w:t>
                </w:r>
              </w:p>
            </w:tc>
            <w:tc>
              <w:tcPr>
                <w:tcW w:w="324"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6CE6FE3C" w14:textId="77777777" w:rsidR="00B67630" w:rsidRPr="004E4A85" w:rsidRDefault="00B67630" w:rsidP="00E05C6F">
                <w:pPr>
                  <w:spacing w:before="0" w:line="240" w:lineRule="auto"/>
                  <w:jc w:val="center"/>
                  <w:rPr>
                    <w:b/>
                    <w:color w:val="33A1AB" w:themeColor="accent2"/>
                    <w:sz w:val="14"/>
                    <w:szCs w:val="14"/>
                  </w:rPr>
                </w:pPr>
                <w:r w:rsidRPr="004E4A85">
                  <w:rPr>
                    <w:b/>
                    <w:color w:val="33A1AB" w:themeColor="accent2"/>
                    <w:sz w:val="14"/>
                    <w:szCs w:val="14"/>
                  </w:rPr>
                  <w:t>31 Dec 2008</w:t>
                </w:r>
              </w:p>
            </w:tc>
            <w:tc>
              <w:tcPr>
                <w:tcW w:w="320"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74B42234" w14:textId="4B3203DA" w:rsidR="00B67630" w:rsidRPr="004E4A85" w:rsidRDefault="00B67630" w:rsidP="00E05C6F">
                <w:pPr>
                  <w:spacing w:before="0" w:line="240" w:lineRule="auto"/>
                  <w:jc w:val="center"/>
                  <w:rPr>
                    <w:b/>
                    <w:color w:val="33A1AB" w:themeColor="accent2"/>
                    <w:sz w:val="14"/>
                    <w:szCs w:val="14"/>
                  </w:rPr>
                </w:pPr>
                <w:r w:rsidRPr="004E4A85">
                  <w:rPr>
                    <w:b/>
                    <w:color w:val="33A1AB" w:themeColor="accent2"/>
                    <w:sz w:val="14"/>
                    <w:szCs w:val="14"/>
                  </w:rPr>
                  <w:t>31 Dec 2009</w:t>
                </w:r>
              </w:p>
            </w:tc>
            <w:tc>
              <w:tcPr>
                <w:tcW w:w="252" w:type="pct"/>
                <w:tcBorders>
                  <w:top w:val="single" w:sz="12" w:space="0" w:color="AFAFB4" w:themeColor="accent4"/>
                </w:tcBorders>
                <w:shd w:val="clear" w:color="auto" w:fill="FFFFFF" w:themeFill="background2"/>
                <w:vAlign w:val="center"/>
              </w:tcPr>
              <w:p w14:paraId="3D912000" w14:textId="77777777" w:rsidR="00B67630" w:rsidRPr="004E4A85" w:rsidRDefault="00B67630" w:rsidP="00E05C6F">
                <w:pPr>
                  <w:spacing w:before="0" w:line="240" w:lineRule="auto"/>
                  <w:jc w:val="center"/>
                  <w:rPr>
                    <w:b/>
                    <w:color w:val="33A1AB" w:themeColor="accent2"/>
                    <w:sz w:val="14"/>
                    <w:szCs w:val="14"/>
                  </w:rPr>
                </w:pPr>
                <w:r w:rsidRPr="004E4A85">
                  <w:rPr>
                    <w:b/>
                    <w:color w:val="33A1AB" w:themeColor="accent2"/>
                    <w:sz w:val="14"/>
                    <w:szCs w:val="14"/>
                  </w:rPr>
                  <w:t>31 Dec 2010</w:t>
                </w:r>
              </w:p>
            </w:tc>
            <w:tc>
              <w:tcPr>
                <w:tcW w:w="251" w:type="pct"/>
                <w:tcBorders>
                  <w:top w:val="single" w:sz="12" w:space="0" w:color="AFAFB4" w:themeColor="accent4"/>
                </w:tcBorders>
                <w:shd w:val="clear" w:color="auto" w:fill="FFFFFF" w:themeFill="background2"/>
                <w:vAlign w:val="center"/>
              </w:tcPr>
              <w:p w14:paraId="03856444" w14:textId="77777777" w:rsidR="00B67630" w:rsidRPr="004E4A85" w:rsidRDefault="00B67630" w:rsidP="00E05C6F">
                <w:pPr>
                  <w:spacing w:before="0" w:line="240" w:lineRule="auto"/>
                  <w:jc w:val="center"/>
                  <w:rPr>
                    <w:b/>
                    <w:color w:val="33A1AB" w:themeColor="accent2"/>
                    <w:sz w:val="14"/>
                    <w:szCs w:val="14"/>
                  </w:rPr>
                </w:pPr>
                <w:r w:rsidRPr="004E4A85">
                  <w:rPr>
                    <w:b/>
                    <w:color w:val="33A1AB" w:themeColor="accent2"/>
                    <w:sz w:val="14"/>
                    <w:szCs w:val="14"/>
                  </w:rPr>
                  <w:t>31 Dec 2011</w:t>
                </w:r>
              </w:p>
            </w:tc>
            <w:tc>
              <w:tcPr>
                <w:tcW w:w="251" w:type="pct"/>
                <w:gridSpan w:val="2"/>
                <w:tcBorders>
                  <w:top w:val="single" w:sz="12" w:space="0" w:color="AFAFB4" w:themeColor="accent4"/>
                </w:tcBorders>
                <w:shd w:val="clear" w:color="auto" w:fill="FFFFFF" w:themeFill="background2"/>
                <w:vAlign w:val="center"/>
              </w:tcPr>
              <w:p w14:paraId="2F642406" w14:textId="77777777" w:rsidR="00B67630" w:rsidRPr="004E4A85" w:rsidRDefault="00B67630" w:rsidP="00E05C6F">
                <w:pPr>
                  <w:spacing w:before="0" w:line="240" w:lineRule="auto"/>
                  <w:jc w:val="center"/>
                  <w:rPr>
                    <w:b/>
                    <w:color w:val="33A1AB" w:themeColor="accent2"/>
                    <w:sz w:val="14"/>
                    <w:szCs w:val="14"/>
                  </w:rPr>
                </w:pPr>
                <w:r w:rsidRPr="004E4A85">
                  <w:rPr>
                    <w:b/>
                    <w:color w:val="33A1AB" w:themeColor="accent2"/>
                    <w:sz w:val="14"/>
                    <w:szCs w:val="14"/>
                  </w:rPr>
                  <w:t>31 Dec 2012</w:t>
                </w:r>
              </w:p>
            </w:tc>
            <w:tc>
              <w:tcPr>
                <w:tcW w:w="251" w:type="pct"/>
                <w:tcBorders>
                  <w:top w:val="single" w:sz="12" w:space="0" w:color="AFAFB4" w:themeColor="accent4"/>
                </w:tcBorders>
                <w:shd w:val="clear" w:color="auto" w:fill="FFFFFF" w:themeFill="background2"/>
                <w:vAlign w:val="center"/>
              </w:tcPr>
              <w:p w14:paraId="2FC6D12C" w14:textId="77777777" w:rsidR="00B67630" w:rsidRPr="004E4A85" w:rsidRDefault="00B67630" w:rsidP="00E05C6F">
                <w:pPr>
                  <w:spacing w:before="0" w:line="240" w:lineRule="auto"/>
                  <w:jc w:val="center"/>
                  <w:rPr>
                    <w:b/>
                    <w:color w:val="33A1AB" w:themeColor="accent2"/>
                    <w:sz w:val="14"/>
                    <w:szCs w:val="14"/>
                  </w:rPr>
                </w:pPr>
                <w:r w:rsidRPr="004E4A85">
                  <w:rPr>
                    <w:b/>
                    <w:color w:val="33A1AB" w:themeColor="accent2"/>
                    <w:sz w:val="14"/>
                    <w:szCs w:val="14"/>
                  </w:rPr>
                  <w:t>31 Dec 2013</w:t>
                </w:r>
              </w:p>
            </w:tc>
            <w:tc>
              <w:tcPr>
                <w:tcW w:w="251" w:type="pct"/>
                <w:tcBorders>
                  <w:top w:val="single" w:sz="12" w:space="0" w:color="AFAFB4" w:themeColor="accent4"/>
                </w:tcBorders>
                <w:shd w:val="clear" w:color="auto" w:fill="FFFFFF" w:themeFill="background2"/>
                <w:vAlign w:val="center"/>
              </w:tcPr>
              <w:p w14:paraId="79535A66" w14:textId="77777777" w:rsidR="00B67630" w:rsidRPr="004E4A85" w:rsidRDefault="00B67630" w:rsidP="00E05C6F">
                <w:pPr>
                  <w:spacing w:before="0" w:line="240" w:lineRule="auto"/>
                  <w:jc w:val="center"/>
                  <w:rPr>
                    <w:b/>
                    <w:color w:val="33A1AB" w:themeColor="accent2"/>
                    <w:sz w:val="14"/>
                    <w:szCs w:val="14"/>
                  </w:rPr>
                </w:pPr>
                <w:r w:rsidRPr="004E4A85">
                  <w:rPr>
                    <w:b/>
                    <w:color w:val="33A1AB" w:themeColor="accent2"/>
                    <w:sz w:val="14"/>
                    <w:szCs w:val="14"/>
                  </w:rPr>
                  <w:t>31 Dec 2014</w:t>
                </w:r>
              </w:p>
            </w:tc>
            <w:tc>
              <w:tcPr>
                <w:tcW w:w="252" w:type="pct"/>
                <w:tcBorders>
                  <w:top w:val="single" w:sz="12" w:space="0" w:color="AFAFB4" w:themeColor="accent4"/>
                </w:tcBorders>
                <w:shd w:val="clear" w:color="auto" w:fill="FFFFFF" w:themeFill="background2"/>
                <w:vAlign w:val="center"/>
              </w:tcPr>
              <w:p w14:paraId="0DBFFDF5" w14:textId="77777777" w:rsidR="00B67630" w:rsidRPr="004E4A85" w:rsidRDefault="00B67630" w:rsidP="00E05C6F">
                <w:pPr>
                  <w:spacing w:before="0" w:line="240" w:lineRule="auto"/>
                  <w:jc w:val="center"/>
                  <w:rPr>
                    <w:b/>
                    <w:color w:val="33A1AB" w:themeColor="accent2"/>
                    <w:sz w:val="14"/>
                    <w:szCs w:val="14"/>
                  </w:rPr>
                </w:pPr>
                <w:r w:rsidRPr="004E4A85">
                  <w:rPr>
                    <w:b/>
                    <w:color w:val="33A1AB" w:themeColor="accent2"/>
                    <w:sz w:val="14"/>
                    <w:szCs w:val="14"/>
                  </w:rPr>
                  <w:t>31 Dec 2015</w:t>
                </w:r>
              </w:p>
            </w:tc>
            <w:tc>
              <w:tcPr>
                <w:tcW w:w="251" w:type="pct"/>
                <w:tcBorders>
                  <w:top w:val="single" w:sz="12" w:space="0" w:color="AFAFB4" w:themeColor="accent4"/>
                </w:tcBorders>
                <w:shd w:val="clear" w:color="auto" w:fill="FFFFFF" w:themeFill="background2"/>
                <w:vAlign w:val="center"/>
              </w:tcPr>
              <w:p w14:paraId="197E6012" w14:textId="77777777" w:rsidR="00B67630" w:rsidRPr="004E4A85" w:rsidRDefault="00B67630" w:rsidP="00E05C6F">
                <w:pPr>
                  <w:spacing w:before="0" w:line="240" w:lineRule="auto"/>
                  <w:jc w:val="center"/>
                  <w:rPr>
                    <w:b/>
                    <w:color w:val="33A1AB" w:themeColor="accent2"/>
                    <w:sz w:val="14"/>
                    <w:szCs w:val="14"/>
                  </w:rPr>
                </w:pPr>
                <w:r w:rsidRPr="004E4A85">
                  <w:rPr>
                    <w:b/>
                    <w:color w:val="33A1AB" w:themeColor="accent2"/>
                    <w:sz w:val="14"/>
                    <w:szCs w:val="14"/>
                  </w:rPr>
                  <w:t>31 Dec 2016</w:t>
                </w:r>
              </w:p>
            </w:tc>
            <w:tc>
              <w:tcPr>
                <w:tcW w:w="251" w:type="pct"/>
                <w:tcBorders>
                  <w:top w:val="single" w:sz="12" w:space="0" w:color="AFAFB4" w:themeColor="accent4"/>
                </w:tcBorders>
                <w:shd w:val="clear" w:color="auto" w:fill="FFFFFF" w:themeFill="background2"/>
                <w:vAlign w:val="center"/>
              </w:tcPr>
              <w:p w14:paraId="203851A2" w14:textId="77777777" w:rsidR="00B67630" w:rsidRPr="004E4A85" w:rsidRDefault="00B67630" w:rsidP="00E05C6F">
                <w:pPr>
                  <w:spacing w:before="0" w:line="240" w:lineRule="auto"/>
                  <w:jc w:val="center"/>
                  <w:rPr>
                    <w:b/>
                    <w:color w:val="33A1AB" w:themeColor="accent2"/>
                    <w:sz w:val="14"/>
                    <w:szCs w:val="14"/>
                  </w:rPr>
                </w:pPr>
                <w:r w:rsidRPr="004E4A85">
                  <w:rPr>
                    <w:b/>
                    <w:color w:val="33A1AB" w:themeColor="accent2"/>
                    <w:sz w:val="14"/>
                    <w:szCs w:val="14"/>
                  </w:rPr>
                  <w:t>31 Dec 2017</w:t>
                </w:r>
              </w:p>
            </w:tc>
            <w:tc>
              <w:tcPr>
                <w:tcW w:w="251" w:type="pct"/>
                <w:gridSpan w:val="2"/>
                <w:tcBorders>
                  <w:top w:val="single" w:sz="12" w:space="0" w:color="AFAFB4" w:themeColor="accent4"/>
                </w:tcBorders>
                <w:shd w:val="clear" w:color="auto" w:fill="FFFFFF" w:themeFill="background2"/>
                <w:vAlign w:val="center"/>
              </w:tcPr>
              <w:p w14:paraId="2BA06515" w14:textId="77777777" w:rsidR="00B67630" w:rsidRPr="004E4A85" w:rsidRDefault="00B67630" w:rsidP="00E05C6F">
                <w:pPr>
                  <w:spacing w:before="0" w:line="240" w:lineRule="auto"/>
                  <w:jc w:val="center"/>
                  <w:rPr>
                    <w:b/>
                    <w:color w:val="33A1AB" w:themeColor="accent2"/>
                    <w:sz w:val="14"/>
                    <w:szCs w:val="14"/>
                  </w:rPr>
                </w:pPr>
                <w:r w:rsidRPr="004E4A85">
                  <w:rPr>
                    <w:b/>
                    <w:color w:val="33A1AB" w:themeColor="accent2"/>
                    <w:sz w:val="14"/>
                    <w:szCs w:val="14"/>
                  </w:rPr>
                  <w:t>31 Dec 2018</w:t>
                </w:r>
              </w:p>
            </w:tc>
            <w:tc>
              <w:tcPr>
                <w:tcW w:w="251" w:type="pct"/>
                <w:tcBorders>
                  <w:top w:val="single" w:sz="12" w:space="0" w:color="AFAFB4" w:themeColor="accent4"/>
                </w:tcBorders>
                <w:shd w:val="clear" w:color="auto" w:fill="FFFFFF" w:themeFill="background2"/>
                <w:vAlign w:val="center"/>
              </w:tcPr>
              <w:p w14:paraId="43529711" w14:textId="77777777" w:rsidR="00B67630" w:rsidRPr="004E4A85" w:rsidRDefault="00B67630" w:rsidP="00E05C6F">
                <w:pPr>
                  <w:spacing w:before="0" w:line="240" w:lineRule="auto"/>
                  <w:jc w:val="center"/>
                  <w:rPr>
                    <w:b/>
                    <w:color w:val="33A1AB" w:themeColor="accent2"/>
                    <w:sz w:val="14"/>
                    <w:szCs w:val="14"/>
                  </w:rPr>
                </w:pPr>
                <w:r w:rsidRPr="004E4A85">
                  <w:rPr>
                    <w:b/>
                    <w:color w:val="33A1AB" w:themeColor="accent2"/>
                    <w:sz w:val="14"/>
                    <w:szCs w:val="14"/>
                  </w:rPr>
                  <w:t>31 Dec 2019</w:t>
                </w:r>
              </w:p>
            </w:tc>
            <w:tc>
              <w:tcPr>
                <w:tcW w:w="252" w:type="pct"/>
                <w:tcBorders>
                  <w:top w:val="single" w:sz="12" w:space="0" w:color="AFAFB4" w:themeColor="accent4"/>
                </w:tcBorders>
                <w:shd w:val="clear" w:color="auto" w:fill="FFFFFF" w:themeFill="background2"/>
                <w:vAlign w:val="center"/>
              </w:tcPr>
              <w:p w14:paraId="527A491B" w14:textId="77777777" w:rsidR="00B67630" w:rsidRPr="004E4A85" w:rsidRDefault="00B67630" w:rsidP="00E05C6F">
                <w:pPr>
                  <w:spacing w:before="0" w:line="240" w:lineRule="auto"/>
                  <w:jc w:val="center"/>
                  <w:rPr>
                    <w:b/>
                    <w:color w:val="33A1AB" w:themeColor="accent2"/>
                    <w:sz w:val="14"/>
                    <w:szCs w:val="14"/>
                  </w:rPr>
                </w:pPr>
                <w:r w:rsidRPr="004E4A85">
                  <w:rPr>
                    <w:b/>
                    <w:color w:val="33A1AB" w:themeColor="accent2"/>
                    <w:sz w:val="14"/>
                    <w:szCs w:val="14"/>
                  </w:rPr>
                  <w:t>31 Dec 2020</w:t>
                </w:r>
              </w:p>
            </w:tc>
            <w:tc>
              <w:tcPr>
                <w:tcW w:w="251" w:type="pct"/>
                <w:tcBorders>
                  <w:top w:val="single" w:sz="12" w:space="0" w:color="AFAFB4" w:themeColor="accent4"/>
                </w:tcBorders>
                <w:shd w:val="clear" w:color="auto" w:fill="FFFFFF" w:themeFill="background2"/>
                <w:vAlign w:val="center"/>
              </w:tcPr>
              <w:p w14:paraId="38537A29" w14:textId="77777777" w:rsidR="00B67630" w:rsidRPr="004E4A85" w:rsidRDefault="00B67630" w:rsidP="00E05C6F">
                <w:pPr>
                  <w:spacing w:before="0" w:line="240" w:lineRule="auto"/>
                  <w:jc w:val="center"/>
                  <w:rPr>
                    <w:b/>
                    <w:color w:val="33A1AB" w:themeColor="accent2"/>
                    <w:sz w:val="14"/>
                    <w:szCs w:val="14"/>
                  </w:rPr>
                </w:pPr>
                <w:r w:rsidRPr="004E4A85">
                  <w:rPr>
                    <w:b/>
                    <w:color w:val="33A1AB" w:themeColor="accent2"/>
                    <w:sz w:val="14"/>
                    <w:szCs w:val="14"/>
                  </w:rPr>
                  <w:t>31 Dec 2021</w:t>
                </w:r>
              </w:p>
            </w:tc>
            <w:tc>
              <w:tcPr>
                <w:tcW w:w="251" w:type="pct"/>
                <w:tcBorders>
                  <w:top w:val="single" w:sz="12" w:space="0" w:color="AFAFB4" w:themeColor="accent4"/>
                </w:tcBorders>
                <w:shd w:val="clear" w:color="auto" w:fill="FFFFFF" w:themeFill="background2"/>
                <w:vAlign w:val="center"/>
              </w:tcPr>
              <w:p w14:paraId="75823934" w14:textId="77777777" w:rsidR="00B67630" w:rsidRPr="004E4A85" w:rsidRDefault="00B67630" w:rsidP="00E05C6F">
                <w:pPr>
                  <w:spacing w:before="0" w:line="240" w:lineRule="auto"/>
                  <w:jc w:val="center"/>
                  <w:rPr>
                    <w:b/>
                    <w:color w:val="33A1AB" w:themeColor="accent2"/>
                    <w:sz w:val="14"/>
                    <w:szCs w:val="14"/>
                  </w:rPr>
                </w:pPr>
                <w:r w:rsidRPr="004E4A85">
                  <w:rPr>
                    <w:b/>
                    <w:color w:val="33A1AB" w:themeColor="accent2"/>
                    <w:sz w:val="14"/>
                    <w:szCs w:val="14"/>
                  </w:rPr>
                  <w:t>31 Dec 2022</w:t>
                </w:r>
              </w:p>
            </w:tc>
            <w:tc>
              <w:tcPr>
                <w:tcW w:w="251" w:type="pct"/>
                <w:tcBorders>
                  <w:top w:val="single" w:sz="12" w:space="0" w:color="AFAFB4" w:themeColor="accent4"/>
                </w:tcBorders>
                <w:shd w:val="clear" w:color="auto" w:fill="FFFFFF" w:themeFill="background2"/>
                <w:vAlign w:val="center"/>
              </w:tcPr>
              <w:p w14:paraId="1FD97694" w14:textId="6D080C8D" w:rsidR="00B67630" w:rsidRPr="004E4A85" w:rsidRDefault="00B67630" w:rsidP="00E05C6F">
                <w:pPr>
                  <w:spacing w:before="0" w:line="240" w:lineRule="auto"/>
                  <w:jc w:val="center"/>
                  <w:rPr>
                    <w:b/>
                    <w:color w:val="33A1AB" w:themeColor="accent2"/>
                    <w:sz w:val="14"/>
                    <w:szCs w:val="14"/>
                  </w:rPr>
                </w:pPr>
                <w:r w:rsidRPr="004E4A85">
                  <w:rPr>
                    <w:b/>
                    <w:color w:val="33A1AB" w:themeColor="accent2"/>
                    <w:sz w:val="14"/>
                    <w:szCs w:val="14"/>
                  </w:rPr>
                  <w:t>Avg</w:t>
                </w:r>
              </w:p>
            </w:tc>
            <w:tc>
              <w:tcPr>
                <w:tcW w:w="263" w:type="pct"/>
                <w:tcBorders>
                  <w:top w:val="single" w:sz="12" w:space="0" w:color="AFAFB4" w:themeColor="accent4"/>
                </w:tcBorders>
                <w:shd w:val="clear" w:color="auto" w:fill="FFFFFF" w:themeFill="background2"/>
                <w:vAlign w:val="center"/>
              </w:tcPr>
              <w:p w14:paraId="5B3B4A3D" w14:textId="77777777" w:rsidR="00B67630" w:rsidRPr="004E4A85" w:rsidRDefault="00B67630" w:rsidP="00E05C6F">
                <w:pPr>
                  <w:spacing w:before="0" w:line="240" w:lineRule="auto"/>
                  <w:jc w:val="center"/>
                  <w:rPr>
                    <w:b/>
                    <w:color w:val="33A1AB" w:themeColor="accent2"/>
                    <w:sz w:val="14"/>
                    <w:szCs w:val="14"/>
                  </w:rPr>
                </w:pPr>
              </w:p>
            </w:tc>
          </w:tr>
          <w:tr w:rsidR="00992F35" w:rsidRPr="004E4A85" w14:paraId="608991AF" w14:textId="57232967" w:rsidTr="00103A4B">
            <w:trPr>
              <w:cantSplit/>
              <w:trHeight w:val="397"/>
              <w:jc w:val="center"/>
            </w:trPr>
            <w:tc>
              <w:tcPr>
                <w:tcW w:w="251" w:type="pct"/>
                <w:vMerge/>
                <w:shd w:val="clear" w:color="auto" w:fill="FFFFFF" w:themeFill="background2"/>
                <w:textDirection w:val="btLr"/>
                <w:vAlign w:val="center"/>
              </w:tcPr>
              <w:p w14:paraId="4806DAB9" w14:textId="031DC435" w:rsidR="00B67630" w:rsidRPr="004E4A85" w:rsidRDefault="00B67630" w:rsidP="00E05C6F">
                <w:pPr>
                  <w:pStyle w:val="TableTextLeft"/>
                  <w:spacing w:before="0" w:after="0"/>
                  <w:ind w:left="113" w:right="113"/>
                  <w:jc w:val="center"/>
                  <w:rPr>
                    <w:rFonts w:cs="Segoe UI"/>
                    <w:b/>
                    <w:bCs/>
                    <w:sz w:val="14"/>
                    <w:szCs w:val="14"/>
                    <w:lang w:eastAsia="it-IT"/>
                  </w:rPr>
                </w:pPr>
              </w:p>
            </w:tc>
            <w:tc>
              <w:tcPr>
                <w:tcW w:w="325" w:type="pct"/>
                <w:shd w:val="clear" w:color="auto" w:fill="FFFFFF" w:themeFill="background2"/>
                <w:tcMar>
                  <w:top w:w="60" w:type="dxa"/>
                  <w:left w:w="114" w:type="dxa"/>
                  <w:bottom w:w="60" w:type="dxa"/>
                  <w:right w:w="114" w:type="dxa"/>
                </w:tcMar>
                <w:vAlign w:val="center"/>
              </w:tcPr>
              <w:p w14:paraId="40254F9B" w14:textId="4CD2A4BE" w:rsidR="00B67630" w:rsidRPr="004E4A85" w:rsidRDefault="00B67630" w:rsidP="00E05C6F">
                <w:pPr>
                  <w:pStyle w:val="TableTextLeft"/>
                  <w:spacing w:before="0" w:after="0"/>
                  <w:jc w:val="center"/>
                  <w:rPr>
                    <w:rFonts w:cs="Segoe UI"/>
                    <w:b/>
                    <w:bCs/>
                    <w:sz w:val="14"/>
                    <w:szCs w:val="14"/>
                    <w:lang w:eastAsia="it-IT"/>
                  </w:rPr>
                </w:pPr>
                <w:r w:rsidRPr="004E4A85">
                  <w:rPr>
                    <w:rFonts w:cs="Segoe UI"/>
                    <w:b/>
                    <w:bCs/>
                    <w:sz w:val="14"/>
                    <w:szCs w:val="14"/>
                    <w:lang w:eastAsia="it-IT"/>
                  </w:rPr>
                  <w:t>A1.1</w:t>
                </w:r>
              </w:p>
            </w:tc>
            <w:tc>
              <w:tcPr>
                <w:tcW w:w="324" w:type="pct"/>
                <w:shd w:val="clear" w:color="auto" w:fill="FFFFFF" w:themeFill="background2"/>
                <w:tcMar>
                  <w:top w:w="60" w:type="dxa"/>
                  <w:left w:w="114" w:type="dxa"/>
                  <w:bottom w:w="60" w:type="dxa"/>
                  <w:right w:w="114" w:type="dxa"/>
                </w:tcMar>
                <w:vAlign w:val="center"/>
              </w:tcPr>
              <w:p w14:paraId="726BB277" w14:textId="796F91C1"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320" w:type="pct"/>
                <w:shd w:val="clear" w:color="auto" w:fill="FFFFFF" w:themeFill="background2"/>
                <w:tcMar>
                  <w:top w:w="60" w:type="dxa"/>
                  <w:left w:w="114" w:type="dxa"/>
                  <w:bottom w:w="60" w:type="dxa"/>
                  <w:right w:w="114" w:type="dxa"/>
                </w:tcMar>
                <w:vAlign w:val="center"/>
              </w:tcPr>
              <w:p w14:paraId="28AA722C" w14:textId="16695C8A"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2" w:type="pct"/>
                <w:shd w:val="clear" w:color="auto" w:fill="FFFFFF" w:themeFill="background2"/>
                <w:vAlign w:val="center"/>
              </w:tcPr>
              <w:p w14:paraId="2DEACE0A" w14:textId="72BF6F47"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23EF171F" w14:textId="31621BCC"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gridSpan w:val="2"/>
                <w:shd w:val="clear" w:color="auto" w:fill="FFFFFF" w:themeFill="background2"/>
                <w:vAlign w:val="center"/>
              </w:tcPr>
              <w:p w14:paraId="2656D0A9" w14:textId="453F68E8"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6B8FB969" w14:textId="523A7241"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03C8DF11" w14:textId="11182D53"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2" w:type="pct"/>
                <w:shd w:val="clear" w:color="auto" w:fill="FFFFFF" w:themeFill="background2"/>
                <w:vAlign w:val="center"/>
              </w:tcPr>
              <w:p w14:paraId="4C2254A2" w14:textId="072E5858"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5C15B34D" w14:textId="4E758BDE"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478C72C1" w14:textId="6D2054D8"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gridSpan w:val="2"/>
                <w:shd w:val="clear" w:color="auto" w:fill="FFFFFF" w:themeFill="background2"/>
                <w:vAlign w:val="center"/>
              </w:tcPr>
              <w:p w14:paraId="721B3186" w14:textId="6B6C7B4D"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1847D299" w14:textId="48088C9D"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2" w:type="pct"/>
                <w:shd w:val="clear" w:color="auto" w:fill="FFFFFF" w:themeFill="background2"/>
                <w:vAlign w:val="center"/>
              </w:tcPr>
              <w:p w14:paraId="1667073C" w14:textId="3060C76B"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098D3F80" w14:textId="2416E7F1"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0AC9B58B" w14:textId="53953BDC"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77465721" w14:textId="19EE263F" w:rsidR="00B67630" w:rsidRPr="004E4A85" w:rsidRDefault="00B67630" w:rsidP="00E05C6F">
                <w:pPr>
                  <w:pStyle w:val="TableTextLeft"/>
                  <w:spacing w:before="0" w:after="0"/>
                  <w:jc w:val="center"/>
                  <w:rPr>
                    <w:rFonts w:cs="Segoe UI"/>
                    <w:b/>
                    <w:bCs/>
                    <w:sz w:val="14"/>
                    <w:szCs w:val="14"/>
                    <w:lang w:eastAsia="it-IT"/>
                  </w:rPr>
                </w:pPr>
                <w:r w:rsidRPr="004E4A85">
                  <w:rPr>
                    <w:rFonts w:cs="Segoe UI"/>
                    <w:b/>
                    <w:bCs/>
                    <w:sz w:val="14"/>
                    <w:szCs w:val="14"/>
                    <w:lang w:eastAsia="it-IT"/>
                  </w:rPr>
                  <w:t>0</w:t>
                </w:r>
                <w:r w:rsidR="00404031" w:rsidRPr="004E4A85">
                  <w:rPr>
                    <w:rFonts w:cs="Segoe UI"/>
                    <w:b/>
                    <w:bCs/>
                    <w:sz w:val="14"/>
                    <w:szCs w:val="14"/>
                    <w:lang w:eastAsia="it-IT"/>
                  </w:rPr>
                  <w:t>.</w:t>
                </w:r>
                <w:r w:rsidRPr="004E4A85">
                  <w:rPr>
                    <w:rFonts w:cs="Segoe UI"/>
                    <w:b/>
                    <w:bCs/>
                    <w:sz w:val="14"/>
                    <w:szCs w:val="14"/>
                    <w:lang w:eastAsia="it-IT"/>
                  </w:rPr>
                  <w:t>00%</w:t>
                </w:r>
              </w:p>
            </w:tc>
            <w:tc>
              <w:tcPr>
                <w:tcW w:w="263" w:type="pct"/>
                <w:vMerge w:val="restart"/>
                <w:shd w:val="clear" w:color="auto" w:fill="FFFFFF" w:themeFill="background2"/>
                <w:textDirection w:val="tbRl"/>
                <w:vAlign w:val="center"/>
              </w:tcPr>
              <w:p w14:paraId="7AF82BC8" w14:textId="45A8D3A0" w:rsidR="00B67630" w:rsidRPr="004E4A85" w:rsidRDefault="00B67630" w:rsidP="00E05C6F">
                <w:pPr>
                  <w:pStyle w:val="TableTextLeft"/>
                  <w:spacing w:before="0" w:after="0"/>
                  <w:ind w:left="113" w:right="113"/>
                  <w:jc w:val="center"/>
                  <w:rPr>
                    <w:rFonts w:cs="Segoe UI"/>
                    <w:b/>
                    <w:bCs/>
                    <w:sz w:val="14"/>
                    <w:szCs w:val="14"/>
                    <w:lang w:eastAsia="it-IT"/>
                  </w:rPr>
                </w:pPr>
                <w:r w:rsidRPr="004E4A85">
                  <w:rPr>
                    <w:rFonts w:cs="Segoe UI"/>
                    <w:b/>
                    <w:bCs/>
                    <w:sz w:val="14"/>
                    <w:szCs w:val="14"/>
                    <w:lang w:eastAsia="it-IT"/>
                  </w:rPr>
                  <w:t>INVESTMENT GRADE</w:t>
                </w:r>
              </w:p>
            </w:tc>
          </w:tr>
          <w:tr w:rsidR="00992F35" w:rsidRPr="004E4A85" w14:paraId="5602BBA8" w14:textId="6CBC3C11" w:rsidTr="00103A4B">
            <w:trPr>
              <w:cantSplit/>
              <w:trHeight w:val="397"/>
              <w:jc w:val="center"/>
            </w:trPr>
            <w:tc>
              <w:tcPr>
                <w:tcW w:w="251" w:type="pct"/>
                <w:vMerge/>
                <w:shd w:val="clear" w:color="auto" w:fill="FFFFFF" w:themeFill="background2"/>
                <w:vAlign w:val="center"/>
              </w:tcPr>
              <w:p w14:paraId="05316A5A" w14:textId="77777777" w:rsidR="00B67630" w:rsidRPr="004E4A85" w:rsidRDefault="00B67630" w:rsidP="00E05C6F">
                <w:pPr>
                  <w:pStyle w:val="TableTextLeft"/>
                  <w:spacing w:before="0" w:after="0"/>
                  <w:jc w:val="center"/>
                  <w:rPr>
                    <w:rFonts w:cs="Segoe UI"/>
                    <w:b/>
                    <w:bCs/>
                    <w:sz w:val="14"/>
                    <w:szCs w:val="14"/>
                    <w:lang w:eastAsia="it-IT"/>
                  </w:rPr>
                </w:pPr>
              </w:p>
            </w:tc>
            <w:tc>
              <w:tcPr>
                <w:tcW w:w="325" w:type="pct"/>
                <w:shd w:val="clear" w:color="auto" w:fill="FFFFFF" w:themeFill="background2"/>
                <w:tcMar>
                  <w:top w:w="60" w:type="dxa"/>
                  <w:left w:w="114" w:type="dxa"/>
                  <w:bottom w:w="60" w:type="dxa"/>
                  <w:right w:w="114" w:type="dxa"/>
                </w:tcMar>
                <w:vAlign w:val="center"/>
              </w:tcPr>
              <w:p w14:paraId="18A6DACA" w14:textId="3088A512" w:rsidR="00B67630" w:rsidRPr="004E4A85" w:rsidRDefault="00B67630" w:rsidP="00E05C6F">
                <w:pPr>
                  <w:pStyle w:val="TableTextLeft"/>
                  <w:spacing w:before="0" w:after="0"/>
                  <w:jc w:val="center"/>
                  <w:rPr>
                    <w:rFonts w:cs="Segoe UI"/>
                    <w:b/>
                    <w:bCs/>
                    <w:sz w:val="14"/>
                    <w:szCs w:val="14"/>
                    <w:lang w:eastAsia="it-IT"/>
                  </w:rPr>
                </w:pPr>
                <w:r w:rsidRPr="004E4A85">
                  <w:rPr>
                    <w:rFonts w:cs="Segoe UI"/>
                    <w:b/>
                    <w:bCs/>
                    <w:sz w:val="14"/>
                    <w:szCs w:val="14"/>
                    <w:lang w:eastAsia="it-IT"/>
                  </w:rPr>
                  <w:t>A1.2</w:t>
                </w:r>
              </w:p>
            </w:tc>
            <w:tc>
              <w:tcPr>
                <w:tcW w:w="324" w:type="pct"/>
                <w:shd w:val="clear" w:color="auto" w:fill="FFFFFF" w:themeFill="background2"/>
                <w:tcMar>
                  <w:top w:w="60" w:type="dxa"/>
                  <w:left w:w="114" w:type="dxa"/>
                  <w:bottom w:w="60" w:type="dxa"/>
                  <w:right w:w="114" w:type="dxa"/>
                </w:tcMar>
                <w:vAlign w:val="center"/>
              </w:tcPr>
              <w:p w14:paraId="542446A8" w14:textId="46142E1A"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320" w:type="pct"/>
                <w:shd w:val="clear" w:color="auto" w:fill="FFFFFF" w:themeFill="background2"/>
                <w:tcMar>
                  <w:top w:w="60" w:type="dxa"/>
                  <w:left w:w="114" w:type="dxa"/>
                  <w:bottom w:w="60" w:type="dxa"/>
                  <w:right w:w="114" w:type="dxa"/>
                </w:tcMar>
                <w:vAlign w:val="center"/>
              </w:tcPr>
              <w:p w14:paraId="0EB77B9E" w14:textId="280DBD72"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2" w:type="pct"/>
                <w:shd w:val="clear" w:color="auto" w:fill="FFFFFF" w:themeFill="background2"/>
                <w:vAlign w:val="center"/>
              </w:tcPr>
              <w:p w14:paraId="300E150C" w14:textId="7F94F4DC"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274A2D20" w14:textId="7F361793"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gridSpan w:val="2"/>
                <w:shd w:val="clear" w:color="auto" w:fill="FFFFFF" w:themeFill="background2"/>
                <w:vAlign w:val="center"/>
              </w:tcPr>
              <w:p w14:paraId="63B1EE34" w14:textId="24EA3428"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3C0C28F7" w14:textId="69F4A097"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398C7109" w14:textId="6B7A153B"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2" w:type="pct"/>
                <w:shd w:val="clear" w:color="auto" w:fill="FFFFFF" w:themeFill="background2"/>
                <w:vAlign w:val="center"/>
              </w:tcPr>
              <w:p w14:paraId="5BD92FEC" w14:textId="5EC17DE4"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36105FC7" w14:textId="784927D1"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2D37367A" w14:textId="17CC2C9B"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gridSpan w:val="2"/>
                <w:shd w:val="clear" w:color="auto" w:fill="FFFFFF" w:themeFill="background2"/>
                <w:vAlign w:val="center"/>
              </w:tcPr>
              <w:p w14:paraId="3A31B05A" w14:textId="0F30132A"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1F4731DB" w14:textId="5C4C7AAA"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2" w:type="pct"/>
                <w:shd w:val="clear" w:color="auto" w:fill="FFFFFF" w:themeFill="background2"/>
                <w:vAlign w:val="center"/>
              </w:tcPr>
              <w:p w14:paraId="09506B24" w14:textId="1D34C81C"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6D2AE99D" w14:textId="11A79C3D"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22512C51" w14:textId="2D4866F6"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1F1DD1B4" w14:textId="73ABCB04" w:rsidR="00B67630" w:rsidRPr="004E4A85" w:rsidRDefault="00B67630" w:rsidP="00E05C6F">
                <w:pPr>
                  <w:pStyle w:val="TableTextLeft"/>
                  <w:spacing w:before="0" w:after="0"/>
                  <w:jc w:val="center"/>
                  <w:rPr>
                    <w:rFonts w:cs="Segoe UI"/>
                    <w:b/>
                    <w:bCs/>
                    <w:sz w:val="14"/>
                    <w:szCs w:val="14"/>
                    <w:lang w:eastAsia="it-IT"/>
                  </w:rPr>
                </w:pPr>
                <w:r w:rsidRPr="004E4A85">
                  <w:rPr>
                    <w:rFonts w:cs="Segoe UI"/>
                    <w:b/>
                    <w:bCs/>
                    <w:sz w:val="14"/>
                    <w:szCs w:val="14"/>
                    <w:lang w:eastAsia="it-IT"/>
                  </w:rPr>
                  <w:t>0</w:t>
                </w:r>
                <w:r w:rsidR="00404031" w:rsidRPr="004E4A85">
                  <w:rPr>
                    <w:rFonts w:cs="Segoe UI"/>
                    <w:b/>
                    <w:bCs/>
                    <w:sz w:val="14"/>
                    <w:szCs w:val="14"/>
                    <w:lang w:eastAsia="it-IT"/>
                  </w:rPr>
                  <w:t>.</w:t>
                </w:r>
                <w:r w:rsidRPr="004E4A85">
                  <w:rPr>
                    <w:rFonts w:cs="Segoe UI"/>
                    <w:b/>
                    <w:bCs/>
                    <w:sz w:val="14"/>
                    <w:szCs w:val="14"/>
                    <w:lang w:eastAsia="it-IT"/>
                  </w:rPr>
                  <w:t>00%</w:t>
                </w:r>
              </w:p>
            </w:tc>
            <w:tc>
              <w:tcPr>
                <w:tcW w:w="263" w:type="pct"/>
                <w:vMerge/>
                <w:shd w:val="clear" w:color="auto" w:fill="FFFFFF" w:themeFill="background2"/>
                <w:vAlign w:val="center"/>
              </w:tcPr>
              <w:p w14:paraId="0C59474C" w14:textId="77777777" w:rsidR="00B67630" w:rsidRPr="004E4A85" w:rsidRDefault="00B67630" w:rsidP="00E05C6F">
                <w:pPr>
                  <w:pStyle w:val="TableTextLeft"/>
                  <w:spacing w:before="0" w:after="0"/>
                  <w:jc w:val="center"/>
                  <w:rPr>
                    <w:rFonts w:cs="Segoe UI"/>
                    <w:b/>
                    <w:bCs/>
                    <w:sz w:val="14"/>
                    <w:szCs w:val="14"/>
                    <w:lang w:eastAsia="it-IT"/>
                  </w:rPr>
                </w:pPr>
              </w:p>
            </w:tc>
          </w:tr>
          <w:tr w:rsidR="00992F35" w:rsidRPr="004E4A85" w14:paraId="7469DAA2" w14:textId="4339B928" w:rsidTr="00103A4B">
            <w:trPr>
              <w:cantSplit/>
              <w:trHeight w:val="397"/>
              <w:jc w:val="center"/>
            </w:trPr>
            <w:tc>
              <w:tcPr>
                <w:tcW w:w="251" w:type="pct"/>
                <w:vMerge/>
                <w:shd w:val="clear" w:color="auto" w:fill="FFFFFF" w:themeFill="background2"/>
                <w:vAlign w:val="center"/>
              </w:tcPr>
              <w:p w14:paraId="28380251" w14:textId="77777777" w:rsidR="00B67630" w:rsidRPr="004E4A85" w:rsidRDefault="00B67630" w:rsidP="00E05C6F">
                <w:pPr>
                  <w:pStyle w:val="TableTextLeft"/>
                  <w:spacing w:before="0" w:after="0"/>
                  <w:jc w:val="center"/>
                  <w:rPr>
                    <w:rFonts w:cs="Segoe UI"/>
                    <w:b/>
                    <w:bCs/>
                    <w:sz w:val="14"/>
                    <w:szCs w:val="14"/>
                    <w:lang w:eastAsia="it-IT"/>
                  </w:rPr>
                </w:pPr>
              </w:p>
            </w:tc>
            <w:tc>
              <w:tcPr>
                <w:tcW w:w="325" w:type="pct"/>
                <w:shd w:val="clear" w:color="auto" w:fill="FFFFFF" w:themeFill="background2"/>
                <w:tcMar>
                  <w:top w:w="60" w:type="dxa"/>
                  <w:left w:w="114" w:type="dxa"/>
                  <w:bottom w:w="60" w:type="dxa"/>
                  <w:right w:w="114" w:type="dxa"/>
                </w:tcMar>
                <w:vAlign w:val="center"/>
              </w:tcPr>
              <w:p w14:paraId="41E610FF" w14:textId="3753E2FE" w:rsidR="00B67630" w:rsidRPr="004E4A85" w:rsidRDefault="00B67630" w:rsidP="00E05C6F">
                <w:pPr>
                  <w:pStyle w:val="TableTextLeft"/>
                  <w:spacing w:before="0" w:after="0"/>
                  <w:jc w:val="center"/>
                  <w:rPr>
                    <w:rFonts w:cs="Segoe UI"/>
                    <w:b/>
                    <w:bCs/>
                    <w:sz w:val="14"/>
                    <w:szCs w:val="14"/>
                    <w:lang w:eastAsia="it-IT"/>
                  </w:rPr>
                </w:pPr>
                <w:r w:rsidRPr="004E4A85">
                  <w:rPr>
                    <w:rFonts w:cs="Segoe UI"/>
                    <w:b/>
                    <w:bCs/>
                    <w:sz w:val="14"/>
                    <w:szCs w:val="14"/>
                    <w:lang w:eastAsia="it-IT"/>
                  </w:rPr>
                  <w:t>A1.3</w:t>
                </w:r>
              </w:p>
            </w:tc>
            <w:tc>
              <w:tcPr>
                <w:tcW w:w="324" w:type="pct"/>
                <w:shd w:val="clear" w:color="auto" w:fill="FFFFFF" w:themeFill="background2"/>
                <w:tcMar>
                  <w:top w:w="60" w:type="dxa"/>
                  <w:left w:w="114" w:type="dxa"/>
                  <w:bottom w:w="60" w:type="dxa"/>
                  <w:right w:w="114" w:type="dxa"/>
                </w:tcMar>
                <w:vAlign w:val="center"/>
              </w:tcPr>
              <w:p w14:paraId="3226CEDE" w14:textId="0E1E0756"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320" w:type="pct"/>
                <w:shd w:val="clear" w:color="auto" w:fill="FFFFFF" w:themeFill="background2"/>
                <w:tcMar>
                  <w:top w:w="60" w:type="dxa"/>
                  <w:left w:w="114" w:type="dxa"/>
                  <w:bottom w:w="60" w:type="dxa"/>
                  <w:right w:w="114" w:type="dxa"/>
                </w:tcMar>
                <w:vAlign w:val="center"/>
              </w:tcPr>
              <w:p w14:paraId="15DAF863" w14:textId="390086D2"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2" w:type="pct"/>
                <w:shd w:val="clear" w:color="auto" w:fill="FFFFFF" w:themeFill="background2"/>
                <w:vAlign w:val="center"/>
              </w:tcPr>
              <w:p w14:paraId="0C77AA5C" w14:textId="2930CBE2"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65CF4E55" w14:textId="3909952F"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gridSpan w:val="2"/>
                <w:shd w:val="clear" w:color="auto" w:fill="FFFFFF" w:themeFill="background2"/>
                <w:vAlign w:val="center"/>
              </w:tcPr>
              <w:p w14:paraId="5CFCF495" w14:textId="6CD407A6"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6F3FF2EF" w14:textId="4BC44C2D"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0357AFDE" w14:textId="79A168B7"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2" w:type="pct"/>
                <w:shd w:val="clear" w:color="auto" w:fill="FFFFFF" w:themeFill="background2"/>
                <w:vAlign w:val="center"/>
              </w:tcPr>
              <w:p w14:paraId="560280A2" w14:textId="38E86030"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390DAE67" w14:textId="48ADF075"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5CE8804E" w14:textId="007A0247"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gridSpan w:val="2"/>
                <w:shd w:val="clear" w:color="auto" w:fill="FFFFFF" w:themeFill="background2"/>
                <w:vAlign w:val="center"/>
              </w:tcPr>
              <w:p w14:paraId="5E8F16D6" w14:textId="598803D6"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326BFC2A" w14:textId="18522010"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2" w:type="pct"/>
                <w:shd w:val="clear" w:color="auto" w:fill="FFFFFF" w:themeFill="background2"/>
                <w:vAlign w:val="center"/>
              </w:tcPr>
              <w:p w14:paraId="73B5AABA" w14:textId="4890101B"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1B6388C0" w14:textId="36253F22"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5481E5DF" w14:textId="1EC504C9"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165C77BA" w14:textId="6EFF767A" w:rsidR="00B67630" w:rsidRPr="004E4A85" w:rsidRDefault="00B67630" w:rsidP="00E05C6F">
                <w:pPr>
                  <w:pStyle w:val="TableTextLeft"/>
                  <w:spacing w:before="0" w:after="0"/>
                  <w:jc w:val="center"/>
                  <w:rPr>
                    <w:rFonts w:cs="Segoe UI"/>
                    <w:b/>
                    <w:bCs/>
                    <w:sz w:val="14"/>
                    <w:szCs w:val="14"/>
                    <w:lang w:eastAsia="it-IT"/>
                  </w:rPr>
                </w:pPr>
                <w:r w:rsidRPr="004E4A85">
                  <w:rPr>
                    <w:rFonts w:cs="Segoe UI"/>
                    <w:b/>
                    <w:bCs/>
                    <w:sz w:val="14"/>
                    <w:szCs w:val="14"/>
                    <w:lang w:eastAsia="it-IT"/>
                  </w:rPr>
                  <w:t>0</w:t>
                </w:r>
                <w:r w:rsidR="00404031" w:rsidRPr="004E4A85">
                  <w:rPr>
                    <w:rFonts w:cs="Segoe UI"/>
                    <w:b/>
                    <w:bCs/>
                    <w:sz w:val="14"/>
                    <w:szCs w:val="14"/>
                    <w:lang w:eastAsia="it-IT"/>
                  </w:rPr>
                  <w:t>.</w:t>
                </w:r>
                <w:r w:rsidRPr="004E4A85">
                  <w:rPr>
                    <w:rFonts w:cs="Segoe UI"/>
                    <w:b/>
                    <w:bCs/>
                    <w:sz w:val="14"/>
                    <w:szCs w:val="14"/>
                    <w:lang w:eastAsia="it-IT"/>
                  </w:rPr>
                  <w:t>00%</w:t>
                </w:r>
              </w:p>
            </w:tc>
            <w:tc>
              <w:tcPr>
                <w:tcW w:w="263" w:type="pct"/>
                <w:vMerge/>
                <w:shd w:val="clear" w:color="auto" w:fill="FFFFFF" w:themeFill="background2"/>
                <w:vAlign w:val="center"/>
              </w:tcPr>
              <w:p w14:paraId="1880FCF7" w14:textId="77777777" w:rsidR="00B67630" w:rsidRPr="004E4A85" w:rsidRDefault="00B67630" w:rsidP="00E05C6F">
                <w:pPr>
                  <w:pStyle w:val="TableTextLeft"/>
                  <w:spacing w:before="0" w:after="0"/>
                  <w:jc w:val="center"/>
                  <w:rPr>
                    <w:rFonts w:cs="Segoe UI"/>
                    <w:b/>
                    <w:bCs/>
                    <w:sz w:val="14"/>
                    <w:szCs w:val="14"/>
                    <w:lang w:eastAsia="it-IT"/>
                  </w:rPr>
                </w:pPr>
              </w:p>
            </w:tc>
          </w:tr>
          <w:tr w:rsidR="00992F35" w:rsidRPr="004E4A85" w14:paraId="181F5FEA" w14:textId="4A291A0D" w:rsidTr="00103A4B">
            <w:trPr>
              <w:cantSplit/>
              <w:trHeight w:val="397"/>
              <w:jc w:val="center"/>
            </w:trPr>
            <w:tc>
              <w:tcPr>
                <w:tcW w:w="251" w:type="pct"/>
                <w:vMerge/>
                <w:shd w:val="clear" w:color="auto" w:fill="FFFFFF" w:themeFill="background2"/>
                <w:vAlign w:val="center"/>
              </w:tcPr>
              <w:p w14:paraId="2AC32485" w14:textId="77777777" w:rsidR="00B67630" w:rsidRPr="004E4A85" w:rsidRDefault="00B67630" w:rsidP="00E05C6F">
                <w:pPr>
                  <w:pStyle w:val="TableTextLeft"/>
                  <w:spacing w:before="0" w:after="0"/>
                  <w:jc w:val="center"/>
                  <w:rPr>
                    <w:rFonts w:cs="Segoe UI"/>
                    <w:b/>
                    <w:bCs/>
                    <w:sz w:val="14"/>
                    <w:szCs w:val="14"/>
                    <w:lang w:eastAsia="it-IT"/>
                  </w:rPr>
                </w:pPr>
              </w:p>
            </w:tc>
            <w:tc>
              <w:tcPr>
                <w:tcW w:w="325" w:type="pct"/>
                <w:shd w:val="clear" w:color="auto" w:fill="FFFFFF" w:themeFill="background2"/>
                <w:tcMar>
                  <w:top w:w="60" w:type="dxa"/>
                  <w:left w:w="114" w:type="dxa"/>
                  <w:bottom w:w="60" w:type="dxa"/>
                  <w:right w:w="114" w:type="dxa"/>
                </w:tcMar>
                <w:vAlign w:val="center"/>
              </w:tcPr>
              <w:p w14:paraId="1BF55E4F" w14:textId="533B734D" w:rsidR="00B67630" w:rsidRPr="004E4A85" w:rsidRDefault="00B67630" w:rsidP="00E05C6F">
                <w:pPr>
                  <w:pStyle w:val="TableTextLeft"/>
                  <w:spacing w:before="0" w:after="0"/>
                  <w:jc w:val="center"/>
                  <w:rPr>
                    <w:rFonts w:cs="Segoe UI"/>
                    <w:b/>
                    <w:bCs/>
                    <w:sz w:val="14"/>
                    <w:szCs w:val="14"/>
                    <w:lang w:eastAsia="it-IT"/>
                  </w:rPr>
                </w:pPr>
                <w:r w:rsidRPr="004E4A85">
                  <w:rPr>
                    <w:rFonts w:cs="Segoe UI"/>
                    <w:b/>
                    <w:bCs/>
                    <w:sz w:val="14"/>
                    <w:szCs w:val="14"/>
                    <w:lang w:eastAsia="it-IT"/>
                  </w:rPr>
                  <w:t>A2.1</w:t>
                </w:r>
              </w:p>
            </w:tc>
            <w:tc>
              <w:tcPr>
                <w:tcW w:w="324" w:type="pct"/>
                <w:shd w:val="clear" w:color="auto" w:fill="FFFFFF" w:themeFill="background2"/>
                <w:tcMar>
                  <w:top w:w="60" w:type="dxa"/>
                  <w:left w:w="114" w:type="dxa"/>
                  <w:bottom w:w="60" w:type="dxa"/>
                  <w:right w:w="114" w:type="dxa"/>
                </w:tcMar>
                <w:vAlign w:val="center"/>
              </w:tcPr>
              <w:p w14:paraId="2F2FAE14" w14:textId="6289CF53"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320" w:type="pct"/>
                <w:shd w:val="clear" w:color="auto" w:fill="FFFFFF" w:themeFill="background2"/>
                <w:tcMar>
                  <w:top w:w="60" w:type="dxa"/>
                  <w:left w:w="114" w:type="dxa"/>
                  <w:bottom w:w="60" w:type="dxa"/>
                  <w:right w:w="114" w:type="dxa"/>
                </w:tcMar>
                <w:vAlign w:val="center"/>
              </w:tcPr>
              <w:p w14:paraId="533603A4" w14:textId="4432EBEF"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2" w:type="pct"/>
                <w:shd w:val="clear" w:color="auto" w:fill="FFFFFF" w:themeFill="background2"/>
                <w:vAlign w:val="center"/>
              </w:tcPr>
              <w:p w14:paraId="5A368444" w14:textId="2C0581E4"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787D0ECC" w14:textId="5276D06B"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gridSpan w:val="2"/>
                <w:shd w:val="clear" w:color="auto" w:fill="FFFFFF" w:themeFill="background2"/>
                <w:vAlign w:val="center"/>
              </w:tcPr>
              <w:p w14:paraId="70ADB01A" w14:textId="6492C738"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5249C95C" w14:textId="690880A3"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73BEA842" w14:textId="4124952B"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2" w:type="pct"/>
                <w:shd w:val="clear" w:color="auto" w:fill="FFFFFF" w:themeFill="background2"/>
                <w:vAlign w:val="center"/>
              </w:tcPr>
              <w:p w14:paraId="7449E402" w14:textId="208401F9"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51BD20A1" w14:textId="270F6164"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5F999CB9" w14:textId="77B3232D"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gridSpan w:val="2"/>
                <w:shd w:val="clear" w:color="auto" w:fill="FFFFFF" w:themeFill="background2"/>
                <w:vAlign w:val="center"/>
              </w:tcPr>
              <w:p w14:paraId="231E560D" w14:textId="38671AE6"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5DD7F954" w14:textId="4EB9E863"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2" w:type="pct"/>
                <w:shd w:val="clear" w:color="auto" w:fill="FFFFFF" w:themeFill="background2"/>
                <w:vAlign w:val="center"/>
              </w:tcPr>
              <w:p w14:paraId="4184E5BB" w14:textId="3B6D293D"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226E0516" w14:textId="09F8085C"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71C5E1C6" w14:textId="4D9FE8EC"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4F735F64" w14:textId="3D5B13ED" w:rsidR="00B67630" w:rsidRPr="004E4A85" w:rsidRDefault="00B67630" w:rsidP="00E05C6F">
                <w:pPr>
                  <w:pStyle w:val="TableTextLeft"/>
                  <w:spacing w:before="0" w:after="0"/>
                  <w:jc w:val="center"/>
                  <w:rPr>
                    <w:rFonts w:cs="Segoe UI"/>
                    <w:b/>
                    <w:bCs/>
                    <w:sz w:val="14"/>
                    <w:szCs w:val="14"/>
                    <w:lang w:eastAsia="it-IT"/>
                  </w:rPr>
                </w:pPr>
                <w:r w:rsidRPr="004E4A85">
                  <w:rPr>
                    <w:rFonts w:cs="Segoe UI"/>
                    <w:b/>
                    <w:bCs/>
                    <w:sz w:val="14"/>
                    <w:szCs w:val="14"/>
                    <w:lang w:eastAsia="it-IT"/>
                  </w:rPr>
                  <w:t>0</w:t>
                </w:r>
                <w:r w:rsidR="00404031" w:rsidRPr="004E4A85">
                  <w:rPr>
                    <w:rFonts w:cs="Segoe UI"/>
                    <w:b/>
                    <w:bCs/>
                    <w:sz w:val="14"/>
                    <w:szCs w:val="14"/>
                    <w:lang w:eastAsia="it-IT"/>
                  </w:rPr>
                  <w:t>.</w:t>
                </w:r>
                <w:r w:rsidRPr="004E4A85">
                  <w:rPr>
                    <w:rFonts w:cs="Segoe UI"/>
                    <w:b/>
                    <w:bCs/>
                    <w:sz w:val="14"/>
                    <w:szCs w:val="14"/>
                    <w:lang w:eastAsia="it-IT"/>
                  </w:rPr>
                  <w:t>00%</w:t>
                </w:r>
              </w:p>
            </w:tc>
            <w:tc>
              <w:tcPr>
                <w:tcW w:w="263" w:type="pct"/>
                <w:vMerge/>
                <w:shd w:val="clear" w:color="auto" w:fill="FFFFFF" w:themeFill="background2"/>
                <w:vAlign w:val="center"/>
              </w:tcPr>
              <w:p w14:paraId="25D93473" w14:textId="77777777" w:rsidR="00B67630" w:rsidRPr="004E4A85" w:rsidRDefault="00B67630" w:rsidP="00E05C6F">
                <w:pPr>
                  <w:pStyle w:val="TableTextLeft"/>
                  <w:spacing w:before="0" w:after="0"/>
                  <w:jc w:val="center"/>
                  <w:rPr>
                    <w:rFonts w:cs="Segoe UI"/>
                    <w:b/>
                    <w:bCs/>
                    <w:sz w:val="14"/>
                    <w:szCs w:val="14"/>
                    <w:lang w:eastAsia="it-IT"/>
                  </w:rPr>
                </w:pPr>
              </w:p>
            </w:tc>
          </w:tr>
          <w:tr w:rsidR="00992F35" w:rsidRPr="004E4A85" w14:paraId="37B5E969" w14:textId="5FBDA90A" w:rsidTr="00103A4B">
            <w:trPr>
              <w:cantSplit/>
              <w:trHeight w:val="397"/>
              <w:jc w:val="center"/>
            </w:trPr>
            <w:tc>
              <w:tcPr>
                <w:tcW w:w="251" w:type="pct"/>
                <w:vMerge/>
                <w:shd w:val="clear" w:color="auto" w:fill="FFFFFF" w:themeFill="background2"/>
                <w:vAlign w:val="center"/>
              </w:tcPr>
              <w:p w14:paraId="251D4784" w14:textId="77777777" w:rsidR="00B67630" w:rsidRPr="004E4A85" w:rsidRDefault="00B67630" w:rsidP="00E05C6F">
                <w:pPr>
                  <w:pStyle w:val="TableTextLeft"/>
                  <w:spacing w:before="0" w:after="0"/>
                  <w:jc w:val="center"/>
                  <w:rPr>
                    <w:rFonts w:cs="Segoe UI"/>
                    <w:b/>
                    <w:bCs/>
                    <w:sz w:val="14"/>
                    <w:szCs w:val="14"/>
                    <w:lang w:eastAsia="it-IT"/>
                  </w:rPr>
                </w:pPr>
              </w:p>
            </w:tc>
            <w:tc>
              <w:tcPr>
                <w:tcW w:w="325" w:type="pct"/>
                <w:shd w:val="clear" w:color="auto" w:fill="FFFFFF" w:themeFill="background2"/>
                <w:tcMar>
                  <w:top w:w="60" w:type="dxa"/>
                  <w:left w:w="114" w:type="dxa"/>
                  <w:bottom w:w="60" w:type="dxa"/>
                  <w:right w:w="114" w:type="dxa"/>
                </w:tcMar>
                <w:vAlign w:val="center"/>
              </w:tcPr>
              <w:p w14:paraId="06AF4CA8" w14:textId="19D540A2" w:rsidR="00B67630" w:rsidRPr="004E4A85" w:rsidRDefault="00B67630" w:rsidP="00E05C6F">
                <w:pPr>
                  <w:pStyle w:val="TableTextLeft"/>
                  <w:spacing w:before="0" w:after="0"/>
                  <w:jc w:val="center"/>
                  <w:rPr>
                    <w:rFonts w:cs="Segoe UI"/>
                    <w:b/>
                    <w:bCs/>
                    <w:sz w:val="14"/>
                    <w:szCs w:val="14"/>
                    <w:lang w:eastAsia="it-IT"/>
                  </w:rPr>
                </w:pPr>
                <w:r w:rsidRPr="004E4A85">
                  <w:rPr>
                    <w:rFonts w:cs="Segoe UI"/>
                    <w:b/>
                    <w:bCs/>
                    <w:sz w:val="14"/>
                    <w:szCs w:val="14"/>
                    <w:lang w:eastAsia="it-IT"/>
                  </w:rPr>
                  <w:t>A2.2</w:t>
                </w:r>
              </w:p>
            </w:tc>
            <w:tc>
              <w:tcPr>
                <w:tcW w:w="324" w:type="pct"/>
                <w:shd w:val="clear" w:color="auto" w:fill="FFFFFF" w:themeFill="background2"/>
                <w:tcMar>
                  <w:top w:w="60" w:type="dxa"/>
                  <w:left w:w="114" w:type="dxa"/>
                  <w:bottom w:w="60" w:type="dxa"/>
                  <w:right w:w="114" w:type="dxa"/>
                </w:tcMar>
                <w:vAlign w:val="center"/>
              </w:tcPr>
              <w:p w14:paraId="0E1C88CC" w14:textId="415E4E3F"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320" w:type="pct"/>
                <w:shd w:val="clear" w:color="auto" w:fill="FFFFFF" w:themeFill="background2"/>
                <w:tcMar>
                  <w:top w:w="60" w:type="dxa"/>
                  <w:left w:w="114" w:type="dxa"/>
                  <w:bottom w:w="60" w:type="dxa"/>
                  <w:right w:w="114" w:type="dxa"/>
                </w:tcMar>
                <w:vAlign w:val="center"/>
              </w:tcPr>
              <w:p w14:paraId="77B8C3B0" w14:textId="65017B33"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03%</w:t>
                </w:r>
              </w:p>
            </w:tc>
            <w:tc>
              <w:tcPr>
                <w:tcW w:w="252" w:type="pct"/>
                <w:shd w:val="clear" w:color="auto" w:fill="FFFFFF" w:themeFill="background2"/>
                <w:vAlign w:val="center"/>
              </w:tcPr>
              <w:p w14:paraId="06381F04" w14:textId="28B78F9F"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320A9B78" w14:textId="151F3968"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gridSpan w:val="2"/>
                <w:shd w:val="clear" w:color="auto" w:fill="FFFFFF" w:themeFill="background2"/>
                <w:vAlign w:val="center"/>
              </w:tcPr>
              <w:p w14:paraId="5BFB1B37" w14:textId="533BBF95"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4B4FF7E7" w14:textId="2A78BEE4"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55E63A79" w14:textId="333F86CE"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2" w:type="pct"/>
                <w:shd w:val="clear" w:color="auto" w:fill="FFFFFF" w:themeFill="background2"/>
                <w:vAlign w:val="center"/>
              </w:tcPr>
              <w:p w14:paraId="7C5E20D3" w14:textId="12E4DB02"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421E3BEF" w14:textId="0D494E46"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1CEE0E47" w14:textId="2261C9A5"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gridSpan w:val="2"/>
                <w:shd w:val="clear" w:color="auto" w:fill="FFFFFF" w:themeFill="background2"/>
                <w:vAlign w:val="center"/>
              </w:tcPr>
              <w:p w14:paraId="73A67416" w14:textId="312B5536"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53C055F8" w14:textId="0F63B9E8"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2" w:type="pct"/>
                <w:shd w:val="clear" w:color="auto" w:fill="FFFFFF" w:themeFill="background2"/>
                <w:vAlign w:val="center"/>
              </w:tcPr>
              <w:p w14:paraId="14AEED2E" w14:textId="43271DD2"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15CDA846" w14:textId="4BC6CF0A"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0DBD3F81" w14:textId="475A10EC"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3039E293" w14:textId="17B35FF0" w:rsidR="00B67630" w:rsidRPr="004E4A85" w:rsidRDefault="00B67630" w:rsidP="00E05C6F">
                <w:pPr>
                  <w:pStyle w:val="TableTextLeft"/>
                  <w:spacing w:before="0" w:after="0"/>
                  <w:jc w:val="center"/>
                  <w:rPr>
                    <w:rFonts w:cs="Segoe UI"/>
                    <w:b/>
                    <w:bCs/>
                    <w:sz w:val="14"/>
                    <w:szCs w:val="14"/>
                    <w:lang w:eastAsia="it-IT"/>
                  </w:rPr>
                </w:pPr>
                <w:r w:rsidRPr="004E4A85">
                  <w:rPr>
                    <w:rFonts w:cs="Segoe UI"/>
                    <w:b/>
                    <w:bCs/>
                    <w:sz w:val="14"/>
                    <w:szCs w:val="14"/>
                    <w:lang w:eastAsia="it-IT"/>
                  </w:rPr>
                  <w:t>0</w:t>
                </w:r>
                <w:r w:rsidR="00404031" w:rsidRPr="004E4A85">
                  <w:rPr>
                    <w:rFonts w:cs="Segoe UI"/>
                    <w:b/>
                    <w:bCs/>
                    <w:sz w:val="14"/>
                    <w:szCs w:val="14"/>
                    <w:lang w:eastAsia="it-IT"/>
                  </w:rPr>
                  <w:t>.</w:t>
                </w:r>
                <w:r w:rsidRPr="004E4A85">
                  <w:rPr>
                    <w:rFonts w:cs="Segoe UI"/>
                    <w:b/>
                    <w:bCs/>
                    <w:sz w:val="14"/>
                    <w:szCs w:val="14"/>
                    <w:lang w:eastAsia="it-IT"/>
                  </w:rPr>
                  <w:t>01%</w:t>
                </w:r>
              </w:p>
            </w:tc>
            <w:tc>
              <w:tcPr>
                <w:tcW w:w="263" w:type="pct"/>
                <w:vMerge/>
                <w:shd w:val="clear" w:color="auto" w:fill="FFFFFF" w:themeFill="background2"/>
                <w:vAlign w:val="center"/>
              </w:tcPr>
              <w:p w14:paraId="0A0ABF73" w14:textId="77777777" w:rsidR="00B67630" w:rsidRPr="004E4A85" w:rsidRDefault="00B67630" w:rsidP="00E05C6F">
                <w:pPr>
                  <w:pStyle w:val="TableTextLeft"/>
                  <w:spacing w:before="0" w:after="0"/>
                  <w:jc w:val="center"/>
                  <w:rPr>
                    <w:rFonts w:cs="Segoe UI"/>
                    <w:b/>
                    <w:bCs/>
                    <w:sz w:val="14"/>
                    <w:szCs w:val="14"/>
                    <w:lang w:eastAsia="it-IT"/>
                  </w:rPr>
                </w:pPr>
              </w:p>
            </w:tc>
          </w:tr>
          <w:tr w:rsidR="00992F35" w:rsidRPr="004E4A85" w14:paraId="30501712" w14:textId="41CC8E99" w:rsidTr="00103A4B">
            <w:trPr>
              <w:cantSplit/>
              <w:trHeight w:val="397"/>
              <w:jc w:val="center"/>
            </w:trPr>
            <w:tc>
              <w:tcPr>
                <w:tcW w:w="251" w:type="pct"/>
                <w:vMerge/>
                <w:shd w:val="clear" w:color="auto" w:fill="FFFFFF" w:themeFill="background2"/>
                <w:vAlign w:val="center"/>
              </w:tcPr>
              <w:p w14:paraId="12BFAA18" w14:textId="77777777" w:rsidR="00B67630" w:rsidRPr="004E4A85" w:rsidRDefault="00B67630" w:rsidP="00E05C6F">
                <w:pPr>
                  <w:pStyle w:val="TableTextLeft"/>
                  <w:spacing w:before="0" w:after="0"/>
                  <w:jc w:val="center"/>
                  <w:rPr>
                    <w:rFonts w:cs="Segoe UI"/>
                    <w:b/>
                    <w:bCs/>
                    <w:sz w:val="14"/>
                    <w:szCs w:val="14"/>
                    <w:lang w:eastAsia="it-IT"/>
                  </w:rPr>
                </w:pPr>
              </w:p>
            </w:tc>
            <w:tc>
              <w:tcPr>
                <w:tcW w:w="325" w:type="pct"/>
                <w:shd w:val="clear" w:color="auto" w:fill="FFFFFF" w:themeFill="background2"/>
                <w:tcMar>
                  <w:top w:w="60" w:type="dxa"/>
                  <w:left w:w="114" w:type="dxa"/>
                  <w:bottom w:w="60" w:type="dxa"/>
                  <w:right w:w="114" w:type="dxa"/>
                </w:tcMar>
                <w:vAlign w:val="center"/>
              </w:tcPr>
              <w:p w14:paraId="58C829F9" w14:textId="2D042301" w:rsidR="00B67630" w:rsidRPr="004E4A85" w:rsidRDefault="00B67630" w:rsidP="00E05C6F">
                <w:pPr>
                  <w:pStyle w:val="TableTextLeft"/>
                  <w:spacing w:before="0" w:after="0"/>
                  <w:jc w:val="center"/>
                  <w:rPr>
                    <w:rFonts w:cs="Segoe UI"/>
                    <w:b/>
                    <w:bCs/>
                    <w:sz w:val="14"/>
                    <w:szCs w:val="14"/>
                    <w:lang w:eastAsia="it-IT"/>
                  </w:rPr>
                </w:pPr>
                <w:r w:rsidRPr="004E4A85">
                  <w:rPr>
                    <w:rFonts w:cs="Segoe UI"/>
                    <w:b/>
                    <w:bCs/>
                    <w:sz w:val="14"/>
                    <w:szCs w:val="14"/>
                    <w:lang w:eastAsia="it-IT"/>
                  </w:rPr>
                  <w:t>A3.1</w:t>
                </w:r>
              </w:p>
            </w:tc>
            <w:tc>
              <w:tcPr>
                <w:tcW w:w="324" w:type="pct"/>
                <w:shd w:val="clear" w:color="auto" w:fill="FFFFFF" w:themeFill="background2"/>
                <w:tcMar>
                  <w:top w:w="60" w:type="dxa"/>
                  <w:left w:w="114" w:type="dxa"/>
                  <w:bottom w:w="60" w:type="dxa"/>
                  <w:right w:w="114" w:type="dxa"/>
                </w:tcMar>
                <w:vAlign w:val="center"/>
              </w:tcPr>
              <w:p w14:paraId="11FF2494" w14:textId="22333FF6"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09%</w:t>
                </w:r>
              </w:p>
            </w:tc>
            <w:tc>
              <w:tcPr>
                <w:tcW w:w="320" w:type="pct"/>
                <w:shd w:val="clear" w:color="auto" w:fill="FFFFFF" w:themeFill="background2"/>
                <w:tcMar>
                  <w:top w:w="60" w:type="dxa"/>
                  <w:left w:w="114" w:type="dxa"/>
                  <w:bottom w:w="60" w:type="dxa"/>
                  <w:right w:w="114" w:type="dxa"/>
                </w:tcMar>
                <w:vAlign w:val="center"/>
              </w:tcPr>
              <w:p w14:paraId="042B038F" w14:textId="0C4D491B"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06%</w:t>
                </w:r>
              </w:p>
            </w:tc>
            <w:tc>
              <w:tcPr>
                <w:tcW w:w="252" w:type="pct"/>
                <w:shd w:val="clear" w:color="auto" w:fill="FFFFFF" w:themeFill="background2"/>
                <w:vAlign w:val="center"/>
              </w:tcPr>
              <w:p w14:paraId="01342480" w14:textId="19A4C702"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11%</w:t>
                </w:r>
              </w:p>
            </w:tc>
            <w:tc>
              <w:tcPr>
                <w:tcW w:w="251" w:type="pct"/>
                <w:shd w:val="clear" w:color="auto" w:fill="FFFFFF" w:themeFill="background2"/>
                <w:vAlign w:val="center"/>
              </w:tcPr>
              <w:p w14:paraId="4868E1AC" w14:textId="1ED3DEAB"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05%</w:t>
                </w:r>
              </w:p>
            </w:tc>
            <w:tc>
              <w:tcPr>
                <w:tcW w:w="251" w:type="pct"/>
                <w:gridSpan w:val="2"/>
                <w:shd w:val="clear" w:color="auto" w:fill="FFFFFF" w:themeFill="background2"/>
                <w:vAlign w:val="center"/>
              </w:tcPr>
              <w:p w14:paraId="7AA64C8A" w14:textId="6CE2CEBF"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08%</w:t>
                </w:r>
              </w:p>
            </w:tc>
            <w:tc>
              <w:tcPr>
                <w:tcW w:w="251" w:type="pct"/>
                <w:shd w:val="clear" w:color="auto" w:fill="FFFFFF" w:themeFill="background2"/>
                <w:vAlign w:val="center"/>
              </w:tcPr>
              <w:p w14:paraId="58D33342" w14:textId="48147E77"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16%</w:t>
                </w:r>
              </w:p>
            </w:tc>
            <w:tc>
              <w:tcPr>
                <w:tcW w:w="251" w:type="pct"/>
                <w:shd w:val="clear" w:color="auto" w:fill="FFFFFF" w:themeFill="background2"/>
                <w:vAlign w:val="center"/>
              </w:tcPr>
              <w:p w14:paraId="39623ED2" w14:textId="3F689868"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25%</w:t>
                </w:r>
              </w:p>
            </w:tc>
            <w:tc>
              <w:tcPr>
                <w:tcW w:w="252" w:type="pct"/>
                <w:shd w:val="clear" w:color="auto" w:fill="FFFFFF" w:themeFill="background2"/>
                <w:vAlign w:val="center"/>
              </w:tcPr>
              <w:p w14:paraId="0910E1F3" w14:textId="18529907"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09%</w:t>
                </w:r>
              </w:p>
            </w:tc>
            <w:tc>
              <w:tcPr>
                <w:tcW w:w="251" w:type="pct"/>
                <w:shd w:val="clear" w:color="auto" w:fill="FFFFFF" w:themeFill="background2"/>
                <w:vAlign w:val="center"/>
              </w:tcPr>
              <w:p w14:paraId="67B8CAB7" w14:textId="377D6E68"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04%</w:t>
                </w:r>
              </w:p>
            </w:tc>
            <w:tc>
              <w:tcPr>
                <w:tcW w:w="251" w:type="pct"/>
                <w:shd w:val="clear" w:color="auto" w:fill="FFFFFF" w:themeFill="background2"/>
                <w:vAlign w:val="center"/>
              </w:tcPr>
              <w:p w14:paraId="3745CB76" w14:textId="6ABE3544"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gridSpan w:val="2"/>
                <w:shd w:val="clear" w:color="auto" w:fill="FFFFFF" w:themeFill="background2"/>
                <w:vAlign w:val="center"/>
              </w:tcPr>
              <w:p w14:paraId="0B9B46D0" w14:textId="2B544188"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09%</w:t>
                </w:r>
              </w:p>
            </w:tc>
            <w:tc>
              <w:tcPr>
                <w:tcW w:w="251" w:type="pct"/>
                <w:shd w:val="clear" w:color="auto" w:fill="FFFFFF" w:themeFill="background2"/>
                <w:vAlign w:val="center"/>
              </w:tcPr>
              <w:p w14:paraId="5EF83DFA" w14:textId="1BF2275D"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09%</w:t>
                </w:r>
              </w:p>
            </w:tc>
            <w:tc>
              <w:tcPr>
                <w:tcW w:w="252" w:type="pct"/>
                <w:shd w:val="clear" w:color="auto" w:fill="FFFFFF" w:themeFill="background2"/>
                <w:vAlign w:val="center"/>
              </w:tcPr>
              <w:p w14:paraId="746E844C" w14:textId="3C76A8C2"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4ED647B4" w14:textId="1BF28B98"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06%</w:t>
                </w:r>
              </w:p>
            </w:tc>
            <w:tc>
              <w:tcPr>
                <w:tcW w:w="251" w:type="pct"/>
                <w:shd w:val="clear" w:color="auto" w:fill="FFFFFF" w:themeFill="background2"/>
                <w:vAlign w:val="center"/>
              </w:tcPr>
              <w:p w14:paraId="0D89940B" w14:textId="74377C2F"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05%</w:t>
                </w:r>
              </w:p>
            </w:tc>
            <w:tc>
              <w:tcPr>
                <w:tcW w:w="251" w:type="pct"/>
                <w:shd w:val="clear" w:color="auto" w:fill="FFFFFF" w:themeFill="background2"/>
                <w:vAlign w:val="center"/>
              </w:tcPr>
              <w:p w14:paraId="720120B1" w14:textId="23BC4060" w:rsidR="00B67630" w:rsidRPr="004E4A85" w:rsidRDefault="00B67630" w:rsidP="00E05C6F">
                <w:pPr>
                  <w:pStyle w:val="TableTextLeft"/>
                  <w:spacing w:before="0" w:after="0"/>
                  <w:jc w:val="center"/>
                  <w:rPr>
                    <w:rFonts w:cs="Segoe UI"/>
                    <w:b/>
                    <w:bCs/>
                    <w:sz w:val="14"/>
                    <w:szCs w:val="14"/>
                    <w:lang w:eastAsia="it-IT"/>
                  </w:rPr>
                </w:pPr>
                <w:r w:rsidRPr="004E4A85">
                  <w:rPr>
                    <w:rFonts w:cs="Segoe UI"/>
                    <w:b/>
                    <w:bCs/>
                    <w:sz w:val="14"/>
                    <w:szCs w:val="14"/>
                    <w:lang w:eastAsia="it-IT"/>
                  </w:rPr>
                  <w:t>0</w:t>
                </w:r>
                <w:r w:rsidR="00404031" w:rsidRPr="004E4A85">
                  <w:rPr>
                    <w:rFonts w:cs="Segoe UI"/>
                    <w:b/>
                    <w:bCs/>
                    <w:sz w:val="14"/>
                    <w:szCs w:val="14"/>
                    <w:lang w:eastAsia="it-IT"/>
                  </w:rPr>
                  <w:t>.</w:t>
                </w:r>
                <w:r w:rsidRPr="004E4A85">
                  <w:rPr>
                    <w:rFonts w:cs="Segoe UI"/>
                    <w:b/>
                    <w:bCs/>
                    <w:sz w:val="14"/>
                    <w:szCs w:val="14"/>
                    <w:lang w:eastAsia="it-IT"/>
                  </w:rPr>
                  <w:t>09%</w:t>
                </w:r>
              </w:p>
            </w:tc>
            <w:tc>
              <w:tcPr>
                <w:tcW w:w="263" w:type="pct"/>
                <w:vMerge/>
                <w:shd w:val="clear" w:color="auto" w:fill="FFFFFF" w:themeFill="background2"/>
                <w:vAlign w:val="center"/>
              </w:tcPr>
              <w:p w14:paraId="5F876E47" w14:textId="77777777" w:rsidR="00B67630" w:rsidRPr="004E4A85" w:rsidRDefault="00B67630" w:rsidP="00E05C6F">
                <w:pPr>
                  <w:pStyle w:val="TableTextLeft"/>
                  <w:spacing w:before="0" w:after="0"/>
                  <w:jc w:val="center"/>
                  <w:rPr>
                    <w:rFonts w:cs="Segoe UI"/>
                    <w:b/>
                    <w:bCs/>
                    <w:sz w:val="14"/>
                    <w:szCs w:val="14"/>
                    <w:lang w:eastAsia="it-IT"/>
                  </w:rPr>
                </w:pPr>
              </w:p>
            </w:tc>
          </w:tr>
          <w:tr w:rsidR="00992F35" w:rsidRPr="004E4A85" w14:paraId="57798ADC" w14:textId="1D606D29" w:rsidTr="00103A4B">
            <w:trPr>
              <w:cantSplit/>
              <w:trHeight w:val="397"/>
              <w:jc w:val="center"/>
            </w:trPr>
            <w:tc>
              <w:tcPr>
                <w:tcW w:w="251" w:type="pct"/>
                <w:vMerge w:val="restart"/>
                <w:shd w:val="clear" w:color="auto" w:fill="FFFFFF" w:themeFill="background2"/>
                <w:textDirection w:val="btLr"/>
                <w:vAlign w:val="center"/>
              </w:tcPr>
              <w:p w14:paraId="50C3C582" w14:textId="548FDB4C" w:rsidR="00B67630" w:rsidRPr="004E4A85" w:rsidRDefault="00B67630" w:rsidP="00E05C6F">
                <w:pPr>
                  <w:pStyle w:val="TableTextLeft"/>
                  <w:spacing w:before="0" w:after="0"/>
                  <w:ind w:left="113" w:right="113"/>
                  <w:jc w:val="center"/>
                  <w:rPr>
                    <w:rFonts w:cs="Segoe UI"/>
                    <w:b/>
                    <w:bCs/>
                    <w:sz w:val="14"/>
                    <w:szCs w:val="14"/>
                    <w:lang w:eastAsia="it-IT"/>
                  </w:rPr>
                </w:pPr>
                <w:r w:rsidRPr="004E4A85">
                  <w:rPr>
                    <w:rFonts w:cs="Segoe UI"/>
                    <w:b/>
                    <w:bCs/>
                    <w:sz w:val="14"/>
                    <w:szCs w:val="14"/>
                    <w:lang w:eastAsia="it-IT"/>
                  </w:rPr>
                  <w:t>SOLVENCY</w:t>
                </w:r>
              </w:p>
            </w:tc>
            <w:tc>
              <w:tcPr>
                <w:tcW w:w="325" w:type="pct"/>
                <w:shd w:val="clear" w:color="auto" w:fill="FFFFFF" w:themeFill="background2"/>
                <w:tcMar>
                  <w:top w:w="60" w:type="dxa"/>
                  <w:left w:w="114" w:type="dxa"/>
                  <w:bottom w:w="60" w:type="dxa"/>
                  <w:right w:w="114" w:type="dxa"/>
                </w:tcMar>
                <w:vAlign w:val="center"/>
              </w:tcPr>
              <w:p w14:paraId="0F6F5BE1" w14:textId="2B7C0B21" w:rsidR="00B67630" w:rsidRPr="004E4A85" w:rsidRDefault="00B67630" w:rsidP="00E05C6F">
                <w:pPr>
                  <w:pStyle w:val="TableTextLeft"/>
                  <w:spacing w:before="0" w:after="0"/>
                  <w:jc w:val="center"/>
                  <w:rPr>
                    <w:rFonts w:cs="Segoe UI"/>
                    <w:b/>
                    <w:bCs/>
                    <w:sz w:val="14"/>
                    <w:szCs w:val="14"/>
                    <w:lang w:eastAsia="it-IT"/>
                  </w:rPr>
                </w:pPr>
                <w:r w:rsidRPr="004E4A85">
                  <w:rPr>
                    <w:rFonts w:cs="Segoe UI"/>
                    <w:b/>
                    <w:bCs/>
                    <w:sz w:val="14"/>
                    <w:szCs w:val="14"/>
                    <w:lang w:eastAsia="it-IT"/>
                  </w:rPr>
                  <w:t>B1.1</w:t>
                </w:r>
              </w:p>
            </w:tc>
            <w:tc>
              <w:tcPr>
                <w:tcW w:w="324" w:type="pct"/>
                <w:shd w:val="clear" w:color="auto" w:fill="FFFFFF" w:themeFill="background2"/>
                <w:tcMar>
                  <w:top w:w="60" w:type="dxa"/>
                  <w:left w:w="114" w:type="dxa"/>
                  <w:bottom w:w="60" w:type="dxa"/>
                  <w:right w:w="114" w:type="dxa"/>
                </w:tcMar>
                <w:vAlign w:val="center"/>
              </w:tcPr>
              <w:p w14:paraId="3E2483E1" w14:textId="446B9F0C"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19%</w:t>
                </w:r>
              </w:p>
            </w:tc>
            <w:tc>
              <w:tcPr>
                <w:tcW w:w="320" w:type="pct"/>
                <w:shd w:val="clear" w:color="auto" w:fill="FFFFFF" w:themeFill="background2"/>
                <w:tcMar>
                  <w:top w:w="60" w:type="dxa"/>
                  <w:left w:w="114" w:type="dxa"/>
                  <w:bottom w:w="60" w:type="dxa"/>
                  <w:right w:w="114" w:type="dxa"/>
                </w:tcMar>
                <w:vAlign w:val="center"/>
              </w:tcPr>
              <w:p w14:paraId="19E430F9" w14:textId="697D803E"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16%</w:t>
                </w:r>
              </w:p>
            </w:tc>
            <w:tc>
              <w:tcPr>
                <w:tcW w:w="252" w:type="pct"/>
                <w:shd w:val="clear" w:color="auto" w:fill="FFFFFF" w:themeFill="background2"/>
                <w:vAlign w:val="center"/>
              </w:tcPr>
              <w:p w14:paraId="623778F4" w14:textId="378FC98F"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25%</w:t>
                </w:r>
              </w:p>
            </w:tc>
            <w:tc>
              <w:tcPr>
                <w:tcW w:w="251" w:type="pct"/>
                <w:shd w:val="clear" w:color="auto" w:fill="FFFFFF" w:themeFill="background2"/>
                <w:vAlign w:val="center"/>
              </w:tcPr>
              <w:p w14:paraId="052800D6" w14:textId="4C0DEC12"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41%</w:t>
                </w:r>
              </w:p>
            </w:tc>
            <w:tc>
              <w:tcPr>
                <w:tcW w:w="251" w:type="pct"/>
                <w:gridSpan w:val="2"/>
                <w:shd w:val="clear" w:color="auto" w:fill="FFFFFF" w:themeFill="background2"/>
                <w:vAlign w:val="center"/>
              </w:tcPr>
              <w:p w14:paraId="6AB4BD33" w14:textId="51C7767E"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27%</w:t>
                </w:r>
              </w:p>
            </w:tc>
            <w:tc>
              <w:tcPr>
                <w:tcW w:w="251" w:type="pct"/>
                <w:shd w:val="clear" w:color="auto" w:fill="FFFFFF" w:themeFill="background2"/>
                <w:vAlign w:val="center"/>
              </w:tcPr>
              <w:p w14:paraId="32CB34DB" w14:textId="310980F6"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25%</w:t>
                </w:r>
              </w:p>
            </w:tc>
            <w:tc>
              <w:tcPr>
                <w:tcW w:w="251" w:type="pct"/>
                <w:shd w:val="clear" w:color="auto" w:fill="FFFFFF" w:themeFill="background2"/>
                <w:vAlign w:val="center"/>
              </w:tcPr>
              <w:p w14:paraId="38B77B8B" w14:textId="603B49D2"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42%</w:t>
                </w:r>
              </w:p>
            </w:tc>
            <w:tc>
              <w:tcPr>
                <w:tcW w:w="252" w:type="pct"/>
                <w:shd w:val="clear" w:color="auto" w:fill="FFFFFF" w:themeFill="background2"/>
                <w:vAlign w:val="center"/>
              </w:tcPr>
              <w:p w14:paraId="720B4FFF" w14:textId="5DCAE4FB"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23%</w:t>
                </w:r>
              </w:p>
            </w:tc>
            <w:tc>
              <w:tcPr>
                <w:tcW w:w="251" w:type="pct"/>
                <w:shd w:val="clear" w:color="auto" w:fill="FFFFFF" w:themeFill="background2"/>
                <w:vAlign w:val="center"/>
              </w:tcPr>
              <w:p w14:paraId="3708D4EF" w14:textId="0520F1AF"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28%</w:t>
                </w:r>
              </w:p>
            </w:tc>
            <w:tc>
              <w:tcPr>
                <w:tcW w:w="251" w:type="pct"/>
                <w:shd w:val="clear" w:color="auto" w:fill="FFFFFF" w:themeFill="background2"/>
                <w:vAlign w:val="center"/>
              </w:tcPr>
              <w:p w14:paraId="68DDB2DB" w14:textId="6564EAD3"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08%</w:t>
                </w:r>
              </w:p>
            </w:tc>
            <w:tc>
              <w:tcPr>
                <w:tcW w:w="251" w:type="pct"/>
                <w:gridSpan w:val="2"/>
                <w:shd w:val="clear" w:color="auto" w:fill="FFFFFF" w:themeFill="background2"/>
                <w:vAlign w:val="center"/>
              </w:tcPr>
              <w:p w14:paraId="1C237A31" w14:textId="4C9B45D1"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15%</w:t>
                </w:r>
              </w:p>
            </w:tc>
            <w:tc>
              <w:tcPr>
                <w:tcW w:w="251" w:type="pct"/>
                <w:shd w:val="clear" w:color="auto" w:fill="FFFFFF" w:themeFill="background2"/>
                <w:vAlign w:val="center"/>
              </w:tcPr>
              <w:p w14:paraId="18135C3B" w14:textId="4C40F390"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17%</w:t>
                </w:r>
              </w:p>
            </w:tc>
            <w:tc>
              <w:tcPr>
                <w:tcW w:w="252" w:type="pct"/>
                <w:shd w:val="clear" w:color="auto" w:fill="FFFFFF" w:themeFill="background2"/>
                <w:vAlign w:val="center"/>
              </w:tcPr>
              <w:p w14:paraId="39C60047" w14:textId="33C9D9C5"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08%</w:t>
                </w:r>
              </w:p>
            </w:tc>
            <w:tc>
              <w:tcPr>
                <w:tcW w:w="251" w:type="pct"/>
                <w:shd w:val="clear" w:color="auto" w:fill="FFFFFF" w:themeFill="background2"/>
                <w:vAlign w:val="center"/>
              </w:tcPr>
              <w:p w14:paraId="7C056A26" w14:textId="583757DE"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05%</w:t>
                </w:r>
              </w:p>
            </w:tc>
            <w:tc>
              <w:tcPr>
                <w:tcW w:w="251" w:type="pct"/>
                <w:shd w:val="clear" w:color="auto" w:fill="FFFFFF" w:themeFill="background2"/>
                <w:vAlign w:val="center"/>
              </w:tcPr>
              <w:p w14:paraId="76C62325" w14:textId="5CBD6E2A"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09%</w:t>
                </w:r>
              </w:p>
            </w:tc>
            <w:tc>
              <w:tcPr>
                <w:tcW w:w="251" w:type="pct"/>
                <w:shd w:val="clear" w:color="auto" w:fill="FFFFFF" w:themeFill="background2"/>
                <w:vAlign w:val="center"/>
              </w:tcPr>
              <w:p w14:paraId="2A3F3FA6" w14:textId="0803C245" w:rsidR="00B67630" w:rsidRPr="004E4A85" w:rsidRDefault="00B67630" w:rsidP="00E05C6F">
                <w:pPr>
                  <w:pStyle w:val="TableTextLeft"/>
                  <w:spacing w:before="0" w:after="0"/>
                  <w:jc w:val="center"/>
                  <w:rPr>
                    <w:rFonts w:cs="Segoe UI"/>
                    <w:b/>
                    <w:bCs/>
                    <w:sz w:val="14"/>
                    <w:szCs w:val="14"/>
                    <w:lang w:eastAsia="it-IT"/>
                  </w:rPr>
                </w:pPr>
                <w:r w:rsidRPr="004E4A85">
                  <w:rPr>
                    <w:rFonts w:cs="Segoe UI"/>
                    <w:b/>
                    <w:bCs/>
                    <w:sz w:val="14"/>
                    <w:szCs w:val="14"/>
                    <w:lang w:eastAsia="it-IT"/>
                  </w:rPr>
                  <w:t>0</w:t>
                </w:r>
                <w:r w:rsidR="00404031" w:rsidRPr="004E4A85">
                  <w:rPr>
                    <w:rFonts w:cs="Segoe UI"/>
                    <w:b/>
                    <w:bCs/>
                    <w:sz w:val="14"/>
                    <w:szCs w:val="14"/>
                    <w:lang w:eastAsia="it-IT"/>
                  </w:rPr>
                  <w:t>.</w:t>
                </w:r>
                <w:r w:rsidRPr="004E4A85">
                  <w:rPr>
                    <w:rFonts w:cs="Segoe UI"/>
                    <w:b/>
                    <w:bCs/>
                    <w:sz w:val="14"/>
                    <w:szCs w:val="14"/>
                    <w:lang w:eastAsia="it-IT"/>
                  </w:rPr>
                  <w:t>23%</w:t>
                </w:r>
              </w:p>
            </w:tc>
            <w:tc>
              <w:tcPr>
                <w:tcW w:w="263" w:type="pct"/>
                <w:vMerge/>
                <w:shd w:val="clear" w:color="auto" w:fill="FFFFFF" w:themeFill="background2"/>
                <w:vAlign w:val="center"/>
              </w:tcPr>
              <w:p w14:paraId="17488634" w14:textId="77777777" w:rsidR="00B67630" w:rsidRPr="004E4A85" w:rsidRDefault="00B67630" w:rsidP="00E05C6F">
                <w:pPr>
                  <w:pStyle w:val="TableTextLeft"/>
                  <w:spacing w:before="0" w:after="0"/>
                  <w:jc w:val="center"/>
                  <w:rPr>
                    <w:rFonts w:cs="Segoe UI"/>
                    <w:b/>
                    <w:bCs/>
                    <w:sz w:val="14"/>
                    <w:szCs w:val="14"/>
                    <w:lang w:eastAsia="it-IT"/>
                  </w:rPr>
                </w:pPr>
              </w:p>
            </w:tc>
          </w:tr>
          <w:tr w:rsidR="00992F35" w:rsidRPr="004E4A85" w14:paraId="79D0E917" w14:textId="5D55C2D3" w:rsidTr="00103A4B">
            <w:trPr>
              <w:cantSplit/>
              <w:trHeight w:val="397"/>
              <w:jc w:val="center"/>
            </w:trPr>
            <w:tc>
              <w:tcPr>
                <w:tcW w:w="251" w:type="pct"/>
                <w:vMerge/>
                <w:shd w:val="clear" w:color="auto" w:fill="FFFFFF" w:themeFill="background2"/>
                <w:textDirection w:val="btLr"/>
                <w:vAlign w:val="center"/>
              </w:tcPr>
              <w:p w14:paraId="24AC8215" w14:textId="77777777" w:rsidR="00B67630" w:rsidRPr="004E4A85" w:rsidRDefault="00B67630" w:rsidP="00E05C6F">
                <w:pPr>
                  <w:pStyle w:val="TableTextLeft"/>
                  <w:spacing w:before="0" w:after="0"/>
                  <w:ind w:left="113" w:right="113"/>
                  <w:jc w:val="center"/>
                  <w:rPr>
                    <w:rFonts w:cs="Segoe UI"/>
                    <w:b/>
                    <w:bCs/>
                    <w:sz w:val="14"/>
                    <w:szCs w:val="14"/>
                    <w:lang w:eastAsia="it-IT"/>
                  </w:rPr>
                </w:pPr>
              </w:p>
            </w:tc>
            <w:tc>
              <w:tcPr>
                <w:tcW w:w="325" w:type="pct"/>
                <w:shd w:val="clear" w:color="auto" w:fill="FFFFFF" w:themeFill="background2"/>
                <w:tcMar>
                  <w:top w:w="60" w:type="dxa"/>
                  <w:left w:w="114" w:type="dxa"/>
                  <w:bottom w:w="60" w:type="dxa"/>
                  <w:right w:w="114" w:type="dxa"/>
                </w:tcMar>
                <w:vAlign w:val="center"/>
              </w:tcPr>
              <w:p w14:paraId="6CD105AB" w14:textId="13079359" w:rsidR="00B67630" w:rsidRPr="004E4A85" w:rsidRDefault="00B67630" w:rsidP="00E05C6F">
                <w:pPr>
                  <w:pStyle w:val="TableTextLeft"/>
                  <w:spacing w:before="0" w:after="0"/>
                  <w:jc w:val="center"/>
                  <w:rPr>
                    <w:rFonts w:cs="Segoe UI"/>
                    <w:b/>
                    <w:bCs/>
                    <w:sz w:val="14"/>
                    <w:szCs w:val="14"/>
                    <w:lang w:eastAsia="it-IT"/>
                  </w:rPr>
                </w:pPr>
                <w:r w:rsidRPr="004E4A85">
                  <w:rPr>
                    <w:rFonts w:cs="Segoe UI"/>
                    <w:b/>
                    <w:bCs/>
                    <w:sz w:val="14"/>
                    <w:szCs w:val="14"/>
                    <w:lang w:eastAsia="it-IT"/>
                  </w:rPr>
                  <w:t>B1.2</w:t>
                </w:r>
              </w:p>
            </w:tc>
            <w:tc>
              <w:tcPr>
                <w:tcW w:w="324" w:type="pct"/>
                <w:shd w:val="clear" w:color="auto" w:fill="FFFFFF" w:themeFill="background2"/>
                <w:tcMar>
                  <w:top w:w="60" w:type="dxa"/>
                  <w:left w:w="114" w:type="dxa"/>
                  <w:bottom w:w="60" w:type="dxa"/>
                  <w:right w:w="114" w:type="dxa"/>
                </w:tcMar>
                <w:vAlign w:val="center"/>
              </w:tcPr>
              <w:p w14:paraId="29D3529B" w14:textId="3003B952"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75%</w:t>
                </w:r>
              </w:p>
            </w:tc>
            <w:tc>
              <w:tcPr>
                <w:tcW w:w="320" w:type="pct"/>
                <w:shd w:val="clear" w:color="auto" w:fill="FFFFFF" w:themeFill="background2"/>
                <w:tcMar>
                  <w:top w:w="60" w:type="dxa"/>
                  <w:left w:w="114" w:type="dxa"/>
                  <w:bottom w:w="60" w:type="dxa"/>
                  <w:right w:w="114" w:type="dxa"/>
                </w:tcMar>
                <w:vAlign w:val="center"/>
              </w:tcPr>
              <w:p w14:paraId="2B14C3ED" w14:textId="2644FDD2"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48%</w:t>
                </w:r>
              </w:p>
            </w:tc>
            <w:tc>
              <w:tcPr>
                <w:tcW w:w="252" w:type="pct"/>
                <w:shd w:val="clear" w:color="auto" w:fill="FFFFFF" w:themeFill="background2"/>
                <w:vAlign w:val="center"/>
              </w:tcPr>
              <w:p w14:paraId="56AD16BD" w14:textId="485D1FED"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61%</w:t>
                </w:r>
              </w:p>
            </w:tc>
            <w:tc>
              <w:tcPr>
                <w:tcW w:w="251" w:type="pct"/>
                <w:shd w:val="clear" w:color="auto" w:fill="FFFFFF" w:themeFill="background2"/>
                <w:vAlign w:val="center"/>
              </w:tcPr>
              <w:p w14:paraId="494E40FA" w14:textId="592F8446"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1</w:t>
                </w:r>
                <w:r w:rsidR="00404031" w:rsidRPr="004E4A85">
                  <w:rPr>
                    <w:rFonts w:cs="Segoe UI"/>
                    <w:sz w:val="14"/>
                    <w:szCs w:val="14"/>
                    <w:lang w:eastAsia="it-IT"/>
                  </w:rPr>
                  <w:t>.</w:t>
                </w:r>
                <w:r w:rsidRPr="004E4A85">
                  <w:rPr>
                    <w:rFonts w:cs="Segoe UI"/>
                    <w:sz w:val="14"/>
                    <w:szCs w:val="14"/>
                    <w:lang w:eastAsia="it-IT"/>
                  </w:rPr>
                  <w:t>07%</w:t>
                </w:r>
              </w:p>
            </w:tc>
            <w:tc>
              <w:tcPr>
                <w:tcW w:w="251" w:type="pct"/>
                <w:gridSpan w:val="2"/>
                <w:shd w:val="clear" w:color="auto" w:fill="FFFFFF" w:themeFill="background2"/>
                <w:vAlign w:val="center"/>
              </w:tcPr>
              <w:p w14:paraId="5A1F9B5F" w14:textId="049F754E"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87%</w:t>
                </w:r>
              </w:p>
            </w:tc>
            <w:tc>
              <w:tcPr>
                <w:tcW w:w="251" w:type="pct"/>
                <w:shd w:val="clear" w:color="auto" w:fill="FFFFFF" w:themeFill="background2"/>
                <w:vAlign w:val="center"/>
              </w:tcPr>
              <w:p w14:paraId="09988294" w14:textId="37D7CB07"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1</w:t>
                </w:r>
                <w:r w:rsidR="00404031" w:rsidRPr="004E4A85">
                  <w:rPr>
                    <w:rFonts w:cs="Segoe UI"/>
                    <w:sz w:val="14"/>
                    <w:szCs w:val="14"/>
                    <w:lang w:eastAsia="it-IT"/>
                  </w:rPr>
                  <w:t>.</w:t>
                </w:r>
                <w:r w:rsidRPr="004E4A85">
                  <w:rPr>
                    <w:rFonts w:cs="Segoe UI"/>
                    <w:sz w:val="14"/>
                    <w:szCs w:val="14"/>
                    <w:lang w:eastAsia="it-IT"/>
                  </w:rPr>
                  <w:t>17%</w:t>
                </w:r>
              </w:p>
            </w:tc>
            <w:tc>
              <w:tcPr>
                <w:tcW w:w="251" w:type="pct"/>
                <w:shd w:val="clear" w:color="auto" w:fill="FFFFFF" w:themeFill="background2"/>
                <w:vAlign w:val="center"/>
              </w:tcPr>
              <w:p w14:paraId="3AD60CEE" w14:textId="1CA7FD24"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85%</w:t>
                </w:r>
              </w:p>
            </w:tc>
            <w:tc>
              <w:tcPr>
                <w:tcW w:w="252" w:type="pct"/>
                <w:shd w:val="clear" w:color="auto" w:fill="FFFFFF" w:themeFill="background2"/>
                <w:vAlign w:val="center"/>
              </w:tcPr>
              <w:p w14:paraId="40BAE3E6" w14:textId="690A7539"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64%</w:t>
                </w:r>
              </w:p>
            </w:tc>
            <w:tc>
              <w:tcPr>
                <w:tcW w:w="251" w:type="pct"/>
                <w:shd w:val="clear" w:color="auto" w:fill="FFFFFF" w:themeFill="background2"/>
                <w:vAlign w:val="center"/>
              </w:tcPr>
              <w:p w14:paraId="5CC5B56F" w14:textId="1C1974BD"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29%</w:t>
                </w:r>
              </w:p>
            </w:tc>
            <w:tc>
              <w:tcPr>
                <w:tcW w:w="251" w:type="pct"/>
                <w:shd w:val="clear" w:color="auto" w:fill="FFFFFF" w:themeFill="background2"/>
                <w:vAlign w:val="center"/>
              </w:tcPr>
              <w:p w14:paraId="27CE5D16" w14:textId="7A6B651F"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30%</w:t>
                </w:r>
              </w:p>
            </w:tc>
            <w:tc>
              <w:tcPr>
                <w:tcW w:w="251" w:type="pct"/>
                <w:gridSpan w:val="2"/>
                <w:shd w:val="clear" w:color="auto" w:fill="FFFFFF" w:themeFill="background2"/>
                <w:vAlign w:val="center"/>
              </w:tcPr>
              <w:p w14:paraId="32D5CED7" w14:textId="4E680D54"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33%</w:t>
                </w:r>
              </w:p>
            </w:tc>
            <w:tc>
              <w:tcPr>
                <w:tcW w:w="251" w:type="pct"/>
                <w:shd w:val="clear" w:color="auto" w:fill="FFFFFF" w:themeFill="background2"/>
                <w:vAlign w:val="center"/>
              </w:tcPr>
              <w:p w14:paraId="4F6CCA46" w14:textId="4C748E8D"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19%</w:t>
                </w:r>
              </w:p>
            </w:tc>
            <w:tc>
              <w:tcPr>
                <w:tcW w:w="252" w:type="pct"/>
                <w:shd w:val="clear" w:color="auto" w:fill="FFFFFF" w:themeFill="background2"/>
                <w:vAlign w:val="center"/>
              </w:tcPr>
              <w:p w14:paraId="1B98B3CD" w14:textId="09A3B1BC"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08%</w:t>
                </w:r>
              </w:p>
            </w:tc>
            <w:tc>
              <w:tcPr>
                <w:tcW w:w="251" w:type="pct"/>
                <w:shd w:val="clear" w:color="auto" w:fill="FFFFFF" w:themeFill="background2"/>
                <w:vAlign w:val="center"/>
              </w:tcPr>
              <w:p w14:paraId="4C36872E" w14:textId="06AEFE51"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07%</w:t>
                </w:r>
              </w:p>
            </w:tc>
            <w:tc>
              <w:tcPr>
                <w:tcW w:w="251" w:type="pct"/>
                <w:shd w:val="clear" w:color="auto" w:fill="FFFFFF" w:themeFill="background2"/>
                <w:vAlign w:val="center"/>
              </w:tcPr>
              <w:p w14:paraId="62ECC308" w14:textId="17BEE641"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12%</w:t>
                </w:r>
              </w:p>
            </w:tc>
            <w:tc>
              <w:tcPr>
                <w:tcW w:w="251" w:type="pct"/>
                <w:shd w:val="clear" w:color="auto" w:fill="FFFFFF" w:themeFill="background2"/>
                <w:vAlign w:val="center"/>
              </w:tcPr>
              <w:p w14:paraId="3002E326" w14:textId="77320C91" w:rsidR="00B67630" w:rsidRPr="004E4A85" w:rsidRDefault="00B67630" w:rsidP="00E05C6F">
                <w:pPr>
                  <w:pStyle w:val="TableTextLeft"/>
                  <w:spacing w:before="0" w:after="0"/>
                  <w:jc w:val="center"/>
                  <w:rPr>
                    <w:rFonts w:cs="Segoe UI"/>
                    <w:b/>
                    <w:bCs/>
                    <w:sz w:val="14"/>
                    <w:szCs w:val="14"/>
                    <w:lang w:eastAsia="it-IT"/>
                  </w:rPr>
                </w:pPr>
                <w:r w:rsidRPr="004E4A85">
                  <w:rPr>
                    <w:rFonts w:cs="Segoe UI"/>
                    <w:b/>
                    <w:bCs/>
                    <w:sz w:val="14"/>
                    <w:szCs w:val="14"/>
                    <w:lang w:eastAsia="it-IT"/>
                  </w:rPr>
                  <w:t>0</w:t>
                </w:r>
                <w:r w:rsidR="00404031" w:rsidRPr="004E4A85">
                  <w:rPr>
                    <w:rFonts w:cs="Segoe UI"/>
                    <w:b/>
                    <w:bCs/>
                    <w:sz w:val="14"/>
                    <w:szCs w:val="14"/>
                    <w:lang w:eastAsia="it-IT"/>
                  </w:rPr>
                  <w:t>.</w:t>
                </w:r>
                <w:r w:rsidRPr="004E4A85">
                  <w:rPr>
                    <w:rFonts w:cs="Segoe UI"/>
                    <w:b/>
                    <w:bCs/>
                    <w:sz w:val="14"/>
                    <w:szCs w:val="14"/>
                    <w:lang w:eastAsia="it-IT"/>
                  </w:rPr>
                  <w:t>56%</w:t>
                </w:r>
              </w:p>
            </w:tc>
            <w:tc>
              <w:tcPr>
                <w:tcW w:w="263" w:type="pct"/>
                <w:vMerge/>
                <w:shd w:val="clear" w:color="auto" w:fill="FFFFFF" w:themeFill="background2"/>
                <w:vAlign w:val="center"/>
              </w:tcPr>
              <w:p w14:paraId="3E1FF6D6" w14:textId="77777777" w:rsidR="00B67630" w:rsidRPr="004E4A85" w:rsidRDefault="00B67630" w:rsidP="00E05C6F">
                <w:pPr>
                  <w:pStyle w:val="TableTextLeft"/>
                  <w:spacing w:before="0" w:after="0"/>
                  <w:jc w:val="center"/>
                  <w:rPr>
                    <w:rFonts w:cs="Segoe UI"/>
                    <w:b/>
                    <w:bCs/>
                    <w:sz w:val="14"/>
                    <w:szCs w:val="14"/>
                    <w:lang w:eastAsia="it-IT"/>
                  </w:rPr>
                </w:pPr>
              </w:p>
            </w:tc>
          </w:tr>
          <w:tr w:rsidR="00992F35" w:rsidRPr="004E4A85" w14:paraId="1E6456F7" w14:textId="076393E6" w:rsidTr="00103A4B">
            <w:trPr>
              <w:cantSplit/>
              <w:trHeight w:val="397"/>
              <w:jc w:val="center"/>
            </w:trPr>
            <w:tc>
              <w:tcPr>
                <w:tcW w:w="251" w:type="pct"/>
                <w:vMerge w:val="restart"/>
                <w:shd w:val="clear" w:color="auto" w:fill="FFFFFF" w:themeFill="background2"/>
                <w:textDirection w:val="btLr"/>
                <w:vAlign w:val="center"/>
              </w:tcPr>
              <w:p w14:paraId="53B19B5C" w14:textId="1ED119AD" w:rsidR="00B67630" w:rsidRPr="004E4A85" w:rsidRDefault="00B67630" w:rsidP="00E05C6F">
                <w:pPr>
                  <w:pStyle w:val="TableTextLeft"/>
                  <w:spacing w:before="0" w:after="0"/>
                  <w:ind w:left="113" w:right="113"/>
                  <w:jc w:val="center"/>
                  <w:rPr>
                    <w:rFonts w:cs="Segoe UI"/>
                    <w:b/>
                    <w:bCs/>
                    <w:sz w:val="14"/>
                    <w:szCs w:val="14"/>
                    <w:lang w:eastAsia="it-IT"/>
                  </w:rPr>
                </w:pPr>
                <w:r w:rsidRPr="004E4A85">
                  <w:rPr>
                    <w:rFonts w:cs="Segoe UI"/>
                    <w:b/>
                    <w:bCs/>
                    <w:sz w:val="14"/>
                    <w:szCs w:val="14"/>
                    <w:lang w:eastAsia="it-IT"/>
                  </w:rPr>
                  <w:t>VULNERABILITY</w:t>
                </w:r>
              </w:p>
            </w:tc>
            <w:tc>
              <w:tcPr>
                <w:tcW w:w="325" w:type="pct"/>
                <w:shd w:val="clear" w:color="auto" w:fill="FFFFFF" w:themeFill="background2"/>
                <w:tcMar>
                  <w:top w:w="60" w:type="dxa"/>
                  <w:left w:w="114" w:type="dxa"/>
                  <w:bottom w:w="60" w:type="dxa"/>
                  <w:right w:w="114" w:type="dxa"/>
                </w:tcMar>
                <w:vAlign w:val="center"/>
              </w:tcPr>
              <w:p w14:paraId="5E8B11B6" w14:textId="2C805E62" w:rsidR="00B67630" w:rsidRPr="004E4A85" w:rsidRDefault="00B67630" w:rsidP="00E05C6F">
                <w:pPr>
                  <w:pStyle w:val="TableTextLeft"/>
                  <w:spacing w:before="0" w:after="0"/>
                  <w:jc w:val="center"/>
                  <w:rPr>
                    <w:rFonts w:cs="Segoe UI"/>
                    <w:b/>
                    <w:bCs/>
                    <w:sz w:val="14"/>
                    <w:szCs w:val="14"/>
                    <w:lang w:eastAsia="it-IT"/>
                  </w:rPr>
                </w:pPr>
                <w:r w:rsidRPr="004E4A85">
                  <w:rPr>
                    <w:rFonts w:cs="Segoe UI"/>
                    <w:b/>
                    <w:bCs/>
                    <w:sz w:val="14"/>
                    <w:szCs w:val="14"/>
                    <w:lang w:eastAsia="it-IT"/>
                  </w:rPr>
                  <w:t>B2.1</w:t>
                </w:r>
              </w:p>
            </w:tc>
            <w:tc>
              <w:tcPr>
                <w:tcW w:w="324" w:type="pct"/>
                <w:shd w:val="clear" w:color="auto" w:fill="FFFFFF" w:themeFill="background2"/>
                <w:tcMar>
                  <w:top w:w="60" w:type="dxa"/>
                  <w:left w:w="114" w:type="dxa"/>
                  <w:bottom w:w="60" w:type="dxa"/>
                  <w:right w:w="114" w:type="dxa"/>
                </w:tcMar>
                <w:vAlign w:val="center"/>
              </w:tcPr>
              <w:p w14:paraId="183364C9" w14:textId="1CFF76EF"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1</w:t>
                </w:r>
                <w:r w:rsidR="00404031" w:rsidRPr="004E4A85">
                  <w:rPr>
                    <w:rFonts w:cs="Segoe UI"/>
                    <w:sz w:val="14"/>
                    <w:szCs w:val="14"/>
                    <w:lang w:eastAsia="it-IT"/>
                  </w:rPr>
                  <w:t>.</w:t>
                </w:r>
                <w:r w:rsidRPr="004E4A85">
                  <w:rPr>
                    <w:rFonts w:cs="Segoe UI"/>
                    <w:sz w:val="14"/>
                    <w:szCs w:val="14"/>
                    <w:lang w:eastAsia="it-IT"/>
                  </w:rPr>
                  <w:t>53%</w:t>
                </w:r>
              </w:p>
            </w:tc>
            <w:tc>
              <w:tcPr>
                <w:tcW w:w="320" w:type="pct"/>
                <w:shd w:val="clear" w:color="auto" w:fill="FFFFFF" w:themeFill="background2"/>
                <w:tcMar>
                  <w:top w:w="60" w:type="dxa"/>
                  <w:left w:w="114" w:type="dxa"/>
                  <w:bottom w:w="60" w:type="dxa"/>
                  <w:right w:w="114" w:type="dxa"/>
                </w:tcMar>
                <w:vAlign w:val="center"/>
              </w:tcPr>
              <w:p w14:paraId="06AE3B8E" w14:textId="1A6BF9D8"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1</w:t>
                </w:r>
                <w:r w:rsidR="00404031" w:rsidRPr="004E4A85">
                  <w:rPr>
                    <w:rFonts w:cs="Segoe UI"/>
                    <w:sz w:val="14"/>
                    <w:szCs w:val="14"/>
                    <w:lang w:eastAsia="it-IT"/>
                  </w:rPr>
                  <w:t>.</w:t>
                </w:r>
                <w:r w:rsidRPr="004E4A85">
                  <w:rPr>
                    <w:rFonts w:cs="Segoe UI"/>
                    <w:sz w:val="14"/>
                    <w:szCs w:val="14"/>
                    <w:lang w:eastAsia="it-IT"/>
                  </w:rPr>
                  <w:t>40%</w:t>
                </w:r>
              </w:p>
            </w:tc>
            <w:tc>
              <w:tcPr>
                <w:tcW w:w="252" w:type="pct"/>
                <w:shd w:val="clear" w:color="auto" w:fill="FFFFFF" w:themeFill="background2"/>
                <w:vAlign w:val="center"/>
              </w:tcPr>
              <w:p w14:paraId="652F6377" w14:textId="6713AAB2"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1</w:t>
                </w:r>
                <w:r w:rsidR="00404031" w:rsidRPr="004E4A85">
                  <w:rPr>
                    <w:rFonts w:cs="Segoe UI"/>
                    <w:sz w:val="14"/>
                    <w:szCs w:val="14"/>
                    <w:lang w:eastAsia="it-IT"/>
                  </w:rPr>
                  <w:t>.</w:t>
                </w:r>
                <w:r w:rsidRPr="004E4A85">
                  <w:rPr>
                    <w:rFonts w:cs="Segoe UI"/>
                    <w:sz w:val="14"/>
                    <w:szCs w:val="14"/>
                    <w:lang w:eastAsia="it-IT"/>
                  </w:rPr>
                  <w:t>36%</w:t>
                </w:r>
              </w:p>
            </w:tc>
            <w:tc>
              <w:tcPr>
                <w:tcW w:w="251" w:type="pct"/>
                <w:shd w:val="clear" w:color="auto" w:fill="FFFFFF" w:themeFill="background2"/>
                <w:vAlign w:val="center"/>
              </w:tcPr>
              <w:p w14:paraId="6607C4DD" w14:textId="2479B32D"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2</w:t>
                </w:r>
                <w:r w:rsidR="00404031" w:rsidRPr="004E4A85">
                  <w:rPr>
                    <w:rFonts w:cs="Segoe UI"/>
                    <w:sz w:val="14"/>
                    <w:szCs w:val="14"/>
                    <w:lang w:eastAsia="it-IT"/>
                  </w:rPr>
                  <w:t>.</w:t>
                </w:r>
                <w:r w:rsidRPr="004E4A85">
                  <w:rPr>
                    <w:rFonts w:cs="Segoe UI"/>
                    <w:sz w:val="14"/>
                    <w:szCs w:val="14"/>
                    <w:lang w:eastAsia="it-IT"/>
                  </w:rPr>
                  <w:t>67%</w:t>
                </w:r>
              </w:p>
            </w:tc>
            <w:tc>
              <w:tcPr>
                <w:tcW w:w="251" w:type="pct"/>
                <w:gridSpan w:val="2"/>
                <w:shd w:val="clear" w:color="auto" w:fill="FFFFFF" w:themeFill="background2"/>
                <w:vAlign w:val="center"/>
              </w:tcPr>
              <w:p w14:paraId="53183D0F" w14:textId="61A51B0F"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1</w:t>
                </w:r>
                <w:r w:rsidR="00404031" w:rsidRPr="004E4A85">
                  <w:rPr>
                    <w:rFonts w:cs="Segoe UI"/>
                    <w:sz w:val="14"/>
                    <w:szCs w:val="14"/>
                    <w:lang w:eastAsia="it-IT"/>
                  </w:rPr>
                  <w:t>.</w:t>
                </w:r>
                <w:r w:rsidRPr="004E4A85">
                  <w:rPr>
                    <w:rFonts w:cs="Segoe UI"/>
                    <w:sz w:val="14"/>
                    <w:szCs w:val="14"/>
                    <w:lang w:eastAsia="it-IT"/>
                  </w:rPr>
                  <w:t>75%</w:t>
                </w:r>
              </w:p>
            </w:tc>
            <w:tc>
              <w:tcPr>
                <w:tcW w:w="251" w:type="pct"/>
                <w:shd w:val="clear" w:color="auto" w:fill="FFFFFF" w:themeFill="background2"/>
                <w:vAlign w:val="center"/>
              </w:tcPr>
              <w:p w14:paraId="63EB3C11" w14:textId="641A16B0"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1</w:t>
                </w:r>
                <w:r w:rsidR="00404031" w:rsidRPr="004E4A85">
                  <w:rPr>
                    <w:rFonts w:cs="Segoe UI"/>
                    <w:sz w:val="14"/>
                    <w:szCs w:val="14"/>
                    <w:lang w:eastAsia="it-IT"/>
                  </w:rPr>
                  <w:t>.</w:t>
                </w:r>
                <w:r w:rsidRPr="004E4A85">
                  <w:rPr>
                    <w:rFonts w:cs="Segoe UI"/>
                    <w:sz w:val="14"/>
                    <w:szCs w:val="14"/>
                    <w:lang w:eastAsia="it-IT"/>
                  </w:rPr>
                  <w:t>97%</w:t>
                </w:r>
              </w:p>
            </w:tc>
            <w:tc>
              <w:tcPr>
                <w:tcW w:w="251" w:type="pct"/>
                <w:shd w:val="clear" w:color="auto" w:fill="FFFFFF" w:themeFill="background2"/>
                <w:vAlign w:val="center"/>
              </w:tcPr>
              <w:p w14:paraId="526C4D4A" w14:textId="127F3D9A"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1</w:t>
                </w:r>
                <w:r w:rsidR="00404031" w:rsidRPr="004E4A85">
                  <w:rPr>
                    <w:rFonts w:cs="Segoe UI"/>
                    <w:sz w:val="14"/>
                    <w:szCs w:val="14"/>
                    <w:lang w:eastAsia="it-IT"/>
                  </w:rPr>
                  <w:t>.</w:t>
                </w:r>
                <w:r w:rsidRPr="004E4A85">
                  <w:rPr>
                    <w:rFonts w:cs="Segoe UI"/>
                    <w:sz w:val="14"/>
                    <w:szCs w:val="14"/>
                    <w:lang w:eastAsia="it-IT"/>
                  </w:rPr>
                  <w:t>47%</w:t>
                </w:r>
              </w:p>
            </w:tc>
            <w:tc>
              <w:tcPr>
                <w:tcW w:w="252" w:type="pct"/>
                <w:shd w:val="clear" w:color="auto" w:fill="FFFFFF" w:themeFill="background2"/>
                <w:vAlign w:val="center"/>
              </w:tcPr>
              <w:p w14:paraId="1FDDE60D" w14:textId="41289ECD"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1</w:t>
                </w:r>
                <w:r w:rsidR="00404031" w:rsidRPr="004E4A85">
                  <w:rPr>
                    <w:rFonts w:cs="Segoe UI"/>
                    <w:sz w:val="14"/>
                    <w:szCs w:val="14"/>
                    <w:lang w:eastAsia="it-IT"/>
                  </w:rPr>
                  <w:t>.</w:t>
                </w:r>
                <w:r w:rsidRPr="004E4A85">
                  <w:rPr>
                    <w:rFonts w:cs="Segoe UI"/>
                    <w:sz w:val="14"/>
                    <w:szCs w:val="14"/>
                    <w:lang w:eastAsia="it-IT"/>
                  </w:rPr>
                  <w:t>37%</w:t>
                </w:r>
              </w:p>
            </w:tc>
            <w:tc>
              <w:tcPr>
                <w:tcW w:w="251" w:type="pct"/>
                <w:shd w:val="clear" w:color="auto" w:fill="FFFFFF" w:themeFill="background2"/>
                <w:vAlign w:val="center"/>
              </w:tcPr>
              <w:p w14:paraId="1ECF5638" w14:textId="78D82A18"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84%</w:t>
                </w:r>
              </w:p>
            </w:tc>
            <w:tc>
              <w:tcPr>
                <w:tcW w:w="251" w:type="pct"/>
                <w:shd w:val="clear" w:color="auto" w:fill="FFFFFF" w:themeFill="background2"/>
                <w:vAlign w:val="center"/>
              </w:tcPr>
              <w:p w14:paraId="132B5F7D" w14:textId="34406FF7"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75%</w:t>
                </w:r>
              </w:p>
            </w:tc>
            <w:tc>
              <w:tcPr>
                <w:tcW w:w="251" w:type="pct"/>
                <w:gridSpan w:val="2"/>
                <w:shd w:val="clear" w:color="auto" w:fill="FFFFFF" w:themeFill="background2"/>
                <w:vAlign w:val="center"/>
              </w:tcPr>
              <w:p w14:paraId="01FAFA48" w14:textId="4DC03564"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1</w:t>
                </w:r>
                <w:r w:rsidR="00404031" w:rsidRPr="004E4A85">
                  <w:rPr>
                    <w:rFonts w:cs="Segoe UI"/>
                    <w:sz w:val="14"/>
                    <w:szCs w:val="14"/>
                    <w:lang w:eastAsia="it-IT"/>
                  </w:rPr>
                  <w:t>.</w:t>
                </w:r>
                <w:r w:rsidRPr="004E4A85">
                  <w:rPr>
                    <w:rFonts w:cs="Segoe UI"/>
                    <w:sz w:val="14"/>
                    <w:szCs w:val="14"/>
                    <w:lang w:eastAsia="it-IT"/>
                  </w:rPr>
                  <w:t>06%</w:t>
                </w:r>
              </w:p>
            </w:tc>
            <w:tc>
              <w:tcPr>
                <w:tcW w:w="251" w:type="pct"/>
                <w:shd w:val="clear" w:color="auto" w:fill="FFFFFF" w:themeFill="background2"/>
                <w:vAlign w:val="center"/>
              </w:tcPr>
              <w:p w14:paraId="146054A8" w14:textId="138E8357"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52%</w:t>
                </w:r>
              </w:p>
            </w:tc>
            <w:tc>
              <w:tcPr>
                <w:tcW w:w="252" w:type="pct"/>
                <w:shd w:val="clear" w:color="auto" w:fill="FFFFFF" w:themeFill="background2"/>
                <w:vAlign w:val="center"/>
              </w:tcPr>
              <w:p w14:paraId="4E9C62DC" w14:textId="15190F89"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14%</w:t>
                </w:r>
              </w:p>
            </w:tc>
            <w:tc>
              <w:tcPr>
                <w:tcW w:w="251" w:type="pct"/>
                <w:shd w:val="clear" w:color="auto" w:fill="FFFFFF" w:themeFill="background2"/>
                <w:vAlign w:val="center"/>
              </w:tcPr>
              <w:p w14:paraId="60897ABF" w14:textId="27E3CA77"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18%</w:t>
                </w:r>
              </w:p>
            </w:tc>
            <w:tc>
              <w:tcPr>
                <w:tcW w:w="251" w:type="pct"/>
                <w:shd w:val="clear" w:color="auto" w:fill="FFFFFF" w:themeFill="background2"/>
                <w:vAlign w:val="center"/>
              </w:tcPr>
              <w:p w14:paraId="1536CFA6" w14:textId="3308E0CE"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32%</w:t>
                </w:r>
              </w:p>
            </w:tc>
            <w:tc>
              <w:tcPr>
                <w:tcW w:w="251" w:type="pct"/>
                <w:shd w:val="clear" w:color="auto" w:fill="FFFFFF" w:themeFill="background2"/>
                <w:vAlign w:val="center"/>
              </w:tcPr>
              <w:p w14:paraId="72C8DA1C" w14:textId="33ED5656" w:rsidR="00B67630" w:rsidRPr="004E4A85" w:rsidRDefault="00B67630" w:rsidP="00E05C6F">
                <w:pPr>
                  <w:pStyle w:val="TableTextLeft"/>
                  <w:spacing w:before="0" w:after="0"/>
                  <w:jc w:val="center"/>
                  <w:rPr>
                    <w:rFonts w:cs="Segoe UI"/>
                    <w:b/>
                    <w:bCs/>
                    <w:sz w:val="14"/>
                    <w:szCs w:val="14"/>
                    <w:lang w:eastAsia="it-IT"/>
                  </w:rPr>
                </w:pPr>
                <w:r w:rsidRPr="004E4A85">
                  <w:rPr>
                    <w:rFonts w:cs="Segoe UI"/>
                    <w:b/>
                    <w:bCs/>
                    <w:sz w:val="14"/>
                    <w:szCs w:val="14"/>
                    <w:lang w:eastAsia="it-IT"/>
                  </w:rPr>
                  <w:t>1</w:t>
                </w:r>
                <w:r w:rsidR="00404031" w:rsidRPr="004E4A85">
                  <w:rPr>
                    <w:rFonts w:cs="Segoe UI"/>
                    <w:b/>
                    <w:bCs/>
                    <w:sz w:val="14"/>
                    <w:szCs w:val="14"/>
                    <w:lang w:eastAsia="it-IT"/>
                  </w:rPr>
                  <w:t>.</w:t>
                </w:r>
                <w:r w:rsidRPr="004E4A85">
                  <w:rPr>
                    <w:rFonts w:cs="Segoe UI"/>
                    <w:b/>
                    <w:bCs/>
                    <w:sz w:val="14"/>
                    <w:szCs w:val="14"/>
                    <w:lang w:eastAsia="it-IT"/>
                  </w:rPr>
                  <w:t>25%</w:t>
                </w:r>
              </w:p>
            </w:tc>
            <w:tc>
              <w:tcPr>
                <w:tcW w:w="263" w:type="pct"/>
                <w:vMerge w:val="restart"/>
                <w:shd w:val="clear" w:color="auto" w:fill="FFFFFF" w:themeFill="background2"/>
                <w:textDirection w:val="tbRl"/>
                <w:vAlign w:val="center"/>
              </w:tcPr>
              <w:p w14:paraId="122DA4D7" w14:textId="1725CE18" w:rsidR="00B67630" w:rsidRPr="004E4A85" w:rsidRDefault="00B67630" w:rsidP="00E05C6F">
                <w:pPr>
                  <w:pStyle w:val="TableTextLeft"/>
                  <w:spacing w:before="0" w:after="0"/>
                  <w:ind w:left="113" w:right="113"/>
                  <w:jc w:val="center"/>
                  <w:rPr>
                    <w:rFonts w:cs="Segoe UI"/>
                    <w:b/>
                    <w:bCs/>
                    <w:sz w:val="14"/>
                    <w:szCs w:val="14"/>
                    <w:lang w:eastAsia="it-IT"/>
                  </w:rPr>
                </w:pPr>
                <w:r w:rsidRPr="004E4A85">
                  <w:rPr>
                    <w:rFonts w:cs="Segoe UI"/>
                    <w:b/>
                    <w:bCs/>
                    <w:sz w:val="14"/>
                    <w:szCs w:val="14"/>
                    <w:lang w:eastAsia="it-IT"/>
                  </w:rPr>
                  <w:t>SPECULATIVE GRADE</w:t>
                </w:r>
              </w:p>
            </w:tc>
          </w:tr>
          <w:tr w:rsidR="00992F35" w:rsidRPr="004E4A85" w14:paraId="166609A5" w14:textId="4391F8A7" w:rsidTr="00103A4B">
            <w:trPr>
              <w:cantSplit/>
              <w:trHeight w:val="397"/>
              <w:jc w:val="center"/>
            </w:trPr>
            <w:tc>
              <w:tcPr>
                <w:tcW w:w="251" w:type="pct"/>
                <w:vMerge/>
                <w:shd w:val="clear" w:color="auto" w:fill="FFFFFF" w:themeFill="background2"/>
                <w:textDirection w:val="btLr"/>
                <w:vAlign w:val="center"/>
              </w:tcPr>
              <w:p w14:paraId="40398A10" w14:textId="77777777" w:rsidR="00B67630" w:rsidRPr="004E4A85" w:rsidRDefault="00B67630" w:rsidP="00E05C6F">
                <w:pPr>
                  <w:pStyle w:val="TableTextLeft"/>
                  <w:spacing w:before="0" w:after="0"/>
                  <w:ind w:left="113" w:right="113"/>
                  <w:jc w:val="center"/>
                  <w:rPr>
                    <w:rFonts w:cs="Segoe UI"/>
                    <w:b/>
                    <w:bCs/>
                    <w:sz w:val="14"/>
                    <w:szCs w:val="14"/>
                    <w:lang w:eastAsia="it-IT"/>
                  </w:rPr>
                </w:pPr>
              </w:p>
            </w:tc>
            <w:tc>
              <w:tcPr>
                <w:tcW w:w="325" w:type="pct"/>
                <w:shd w:val="clear" w:color="auto" w:fill="FFFFFF" w:themeFill="background2"/>
                <w:tcMar>
                  <w:top w:w="60" w:type="dxa"/>
                  <w:left w:w="114" w:type="dxa"/>
                  <w:bottom w:w="60" w:type="dxa"/>
                  <w:right w:w="114" w:type="dxa"/>
                </w:tcMar>
                <w:vAlign w:val="center"/>
              </w:tcPr>
              <w:p w14:paraId="0A68FFB3" w14:textId="3BF4FA77" w:rsidR="00B67630" w:rsidRPr="004E4A85" w:rsidRDefault="00B67630" w:rsidP="00E05C6F">
                <w:pPr>
                  <w:pStyle w:val="TableTextLeft"/>
                  <w:spacing w:before="0" w:after="0"/>
                  <w:jc w:val="center"/>
                  <w:rPr>
                    <w:rFonts w:cs="Segoe UI"/>
                    <w:b/>
                    <w:bCs/>
                    <w:sz w:val="14"/>
                    <w:szCs w:val="14"/>
                    <w:lang w:eastAsia="it-IT"/>
                  </w:rPr>
                </w:pPr>
                <w:r w:rsidRPr="004E4A85">
                  <w:rPr>
                    <w:rFonts w:cs="Segoe UI"/>
                    <w:b/>
                    <w:bCs/>
                    <w:sz w:val="14"/>
                    <w:szCs w:val="14"/>
                    <w:lang w:eastAsia="it-IT"/>
                  </w:rPr>
                  <w:t>B2.2</w:t>
                </w:r>
              </w:p>
            </w:tc>
            <w:tc>
              <w:tcPr>
                <w:tcW w:w="324" w:type="pct"/>
                <w:shd w:val="clear" w:color="auto" w:fill="FFFFFF" w:themeFill="background2"/>
                <w:tcMar>
                  <w:top w:w="60" w:type="dxa"/>
                  <w:left w:w="114" w:type="dxa"/>
                  <w:bottom w:w="60" w:type="dxa"/>
                  <w:right w:w="114" w:type="dxa"/>
                </w:tcMar>
                <w:vAlign w:val="center"/>
              </w:tcPr>
              <w:p w14:paraId="792631D1" w14:textId="69EFCD19"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3</w:t>
                </w:r>
                <w:r w:rsidR="00404031" w:rsidRPr="004E4A85">
                  <w:rPr>
                    <w:rFonts w:cs="Segoe UI"/>
                    <w:sz w:val="14"/>
                    <w:szCs w:val="14"/>
                    <w:lang w:eastAsia="it-IT"/>
                  </w:rPr>
                  <w:t>.</w:t>
                </w:r>
                <w:r w:rsidRPr="004E4A85">
                  <w:rPr>
                    <w:rFonts w:cs="Segoe UI"/>
                    <w:sz w:val="14"/>
                    <w:szCs w:val="14"/>
                    <w:lang w:eastAsia="it-IT"/>
                  </w:rPr>
                  <w:t>94%</w:t>
                </w:r>
              </w:p>
            </w:tc>
            <w:tc>
              <w:tcPr>
                <w:tcW w:w="320" w:type="pct"/>
                <w:shd w:val="clear" w:color="auto" w:fill="FFFFFF" w:themeFill="background2"/>
                <w:tcMar>
                  <w:top w:w="60" w:type="dxa"/>
                  <w:left w:w="114" w:type="dxa"/>
                  <w:bottom w:w="60" w:type="dxa"/>
                  <w:right w:w="114" w:type="dxa"/>
                </w:tcMar>
                <w:vAlign w:val="center"/>
              </w:tcPr>
              <w:p w14:paraId="49521D2E" w14:textId="12A48E2F"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2</w:t>
                </w:r>
                <w:r w:rsidR="00404031" w:rsidRPr="004E4A85">
                  <w:rPr>
                    <w:rFonts w:cs="Segoe UI"/>
                    <w:sz w:val="14"/>
                    <w:szCs w:val="14"/>
                    <w:lang w:eastAsia="it-IT"/>
                  </w:rPr>
                  <w:t>.</w:t>
                </w:r>
                <w:r w:rsidRPr="004E4A85">
                  <w:rPr>
                    <w:rFonts w:cs="Segoe UI"/>
                    <w:sz w:val="14"/>
                    <w:szCs w:val="14"/>
                    <w:lang w:eastAsia="it-IT"/>
                  </w:rPr>
                  <w:t>88%</w:t>
                </w:r>
              </w:p>
            </w:tc>
            <w:tc>
              <w:tcPr>
                <w:tcW w:w="252" w:type="pct"/>
                <w:shd w:val="clear" w:color="auto" w:fill="FFFFFF" w:themeFill="background2"/>
                <w:vAlign w:val="center"/>
              </w:tcPr>
              <w:p w14:paraId="6E364A18" w14:textId="72886B83"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3</w:t>
                </w:r>
                <w:r w:rsidR="00404031" w:rsidRPr="004E4A85">
                  <w:rPr>
                    <w:rFonts w:cs="Segoe UI"/>
                    <w:sz w:val="14"/>
                    <w:szCs w:val="14"/>
                    <w:lang w:eastAsia="it-IT"/>
                  </w:rPr>
                  <w:t>.</w:t>
                </w:r>
                <w:r w:rsidRPr="004E4A85">
                  <w:rPr>
                    <w:rFonts w:cs="Segoe UI"/>
                    <w:sz w:val="14"/>
                    <w:szCs w:val="14"/>
                    <w:lang w:eastAsia="it-IT"/>
                  </w:rPr>
                  <w:t>14%</w:t>
                </w:r>
              </w:p>
            </w:tc>
            <w:tc>
              <w:tcPr>
                <w:tcW w:w="251" w:type="pct"/>
                <w:shd w:val="clear" w:color="auto" w:fill="FFFFFF" w:themeFill="background2"/>
                <w:vAlign w:val="center"/>
              </w:tcPr>
              <w:p w14:paraId="33C57980" w14:textId="445A9C46"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5</w:t>
                </w:r>
                <w:r w:rsidR="00404031" w:rsidRPr="004E4A85">
                  <w:rPr>
                    <w:rFonts w:cs="Segoe UI"/>
                    <w:sz w:val="14"/>
                    <w:szCs w:val="14"/>
                    <w:lang w:eastAsia="it-IT"/>
                  </w:rPr>
                  <w:t>.</w:t>
                </w:r>
                <w:r w:rsidRPr="004E4A85">
                  <w:rPr>
                    <w:rFonts w:cs="Segoe UI"/>
                    <w:sz w:val="14"/>
                    <w:szCs w:val="14"/>
                    <w:lang w:eastAsia="it-IT"/>
                  </w:rPr>
                  <w:t>16%</w:t>
                </w:r>
              </w:p>
            </w:tc>
            <w:tc>
              <w:tcPr>
                <w:tcW w:w="251" w:type="pct"/>
                <w:gridSpan w:val="2"/>
                <w:shd w:val="clear" w:color="auto" w:fill="FFFFFF" w:themeFill="background2"/>
                <w:vAlign w:val="center"/>
              </w:tcPr>
              <w:p w14:paraId="39D2E3DD" w14:textId="5C4B1111"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4</w:t>
                </w:r>
                <w:r w:rsidR="00404031" w:rsidRPr="004E4A85">
                  <w:rPr>
                    <w:rFonts w:cs="Segoe UI"/>
                    <w:sz w:val="14"/>
                    <w:szCs w:val="14"/>
                    <w:lang w:eastAsia="it-IT"/>
                  </w:rPr>
                  <w:t>.</w:t>
                </w:r>
                <w:r w:rsidRPr="004E4A85">
                  <w:rPr>
                    <w:rFonts w:cs="Segoe UI"/>
                    <w:sz w:val="14"/>
                    <w:szCs w:val="14"/>
                    <w:lang w:eastAsia="it-IT"/>
                  </w:rPr>
                  <w:t>12%</w:t>
                </w:r>
              </w:p>
            </w:tc>
            <w:tc>
              <w:tcPr>
                <w:tcW w:w="251" w:type="pct"/>
                <w:shd w:val="clear" w:color="auto" w:fill="FFFFFF" w:themeFill="background2"/>
                <w:vAlign w:val="center"/>
              </w:tcPr>
              <w:p w14:paraId="6A7C703F" w14:textId="4C7A38C7"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3</w:t>
                </w:r>
                <w:r w:rsidR="00404031" w:rsidRPr="004E4A85">
                  <w:rPr>
                    <w:rFonts w:cs="Segoe UI"/>
                    <w:sz w:val="14"/>
                    <w:szCs w:val="14"/>
                    <w:lang w:eastAsia="it-IT"/>
                  </w:rPr>
                  <w:t>.</w:t>
                </w:r>
                <w:r w:rsidRPr="004E4A85">
                  <w:rPr>
                    <w:rFonts w:cs="Segoe UI"/>
                    <w:sz w:val="14"/>
                    <w:szCs w:val="14"/>
                    <w:lang w:eastAsia="it-IT"/>
                  </w:rPr>
                  <w:t>37%</w:t>
                </w:r>
              </w:p>
            </w:tc>
            <w:tc>
              <w:tcPr>
                <w:tcW w:w="251" w:type="pct"/>
                <w:shd w:val="clear" w:color="auto" w:fill="FFFFFF" w:themeFill="background2"/>
                <w:vAlign w:val="center"/>
              </w:tcPr>
              <w:p w14:paraId="42EB0E5B" w14:textId="5E06A26B"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2</w:t>
                </w:r>
                <w:r w:rsidR="00404031" w:rsidRPr="004E4A85">
                  <w:rPr>
                    <w:rFonts w:cs="Segoe UI"/>
                    <w:sz w:val="14"/>
                    <w:szCs w:val="14"/>
                    <w:lang w:eastAsia="it-IT"/>
                  </w:rPr>
                  <w:t>.</w:t>
                </w:r>
                <w:r w:rsidRPr="004E4A85">
                  <w:rPr>
                    <w:rFonts w:cs="Segoe UI"/>
                    <w:sz w:val="14"/>
                    <w:szCs w:val="14"/>
                    <w:lang w:eastAsia="it-IT"/>
                  </w:rPr>
                  <w:t>98%</w:t>
                </w:r>
              </w:p>
            </w:tc>
            <w:tc>
              <w:tcPr>
                <w:tcW w:w="252" w:type="pct"/>
                <w:shd w:val="clear" w:color="auto" w:fill="FFFFFF" w:themeFill="background2"/>
                <w:vAlign w:val="center"/>
              </w:tcPr>
              <w:p w14:paraId="4E92A15C" w14:textId="58B0395E"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2</w:t>
                </w:r>
                <w:r w:rsidR="00404031" w:rsidRPr="004E4A85">
                  <w:rPr>
                    <w:rFonts w:cs="Segoe UI"/>
                    <w:sz w:val="14"/>
                    <w:szCs w:val="14"/>
                    <w:lang w:eastAsia="it-IT"/>
                  </w:rPr>
                  <w:t>.</w:t>
                </w:r>
                <w:r w:rsidRPr="004E4A85">
                  <w:rPr>
                    <w:rFonts w:cs="Segoe UI"/>
                    <w:sz w:val="14"/>
                    <w:szCs w:val="14"/>
                    <w:lang w:eastAsia="it-IT"/>
                  </w:rPr>
                  <w:t>71%</w:t>
                </w:r>
              </w:p>
            </w:tc>
            <w:tc>
              <w:tcPr>
                <w:tcW w:w="251" w:type="pct"/>
                <w:shd w:val="clear" w:color="auto" w:fill="FFFFFF" w:themeFill="background2"/>
                <w:vAlign w:val="center"/>
              </w:tcPr>
              <w:p w14:paraId="6A451A44" w14:textId="3B3CDDAA"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1</w:t>
                </w:r>
                <w:r w:rsidR="00404031" w:rsidRPr="004E4A85">
                  <w:rPr>
                    <w:rFonts w:cs="Segoe UI"/>
                    <w:sz w:val="14"/>
                    <w:szCs w:val="14"/>
                    <w:lang w:eastAsia="it-IT"/>
                  </w:rPr>
                  <w:t>.</w:t>
                </w:r>
                <w:r w:rsidRPr="004E4A85">
                  <w:rPr>
                    <w:rFonts w:cs="Segoe UI"/>
                    <w:sz w:val="14"/>
                    <w:szCs w:val="14"/>
                    <w:lang w:eastAsia="it-IT"/>
                  </w:rPr>
                  <w:t>87%</w:t>
                </w:r>
              </w:p>
            </w:tc>
            <w:tc>
              <w:tcPr>
                <w:tcW w:w="251" w:type="pct"/>
                <w:shd w:val="clear" w:color="auto" w:fill="FFFFFF" w:themeFill="background2"/>
                <w:vAlign w:val="center"/>
              </w:tcPr>
              <w:p w14:paraId="780D865B" w14:textId="7A970ACE"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1</w:t>
                </w:r>
                <w:r w:rsidR="00404031" w:rsidRPr="004E4A85">
                  <w:rPr>
                    <w:rFonts w:cs="Segoe UI"/>
                    <w:sz w:val="14"/>
                    <w:szCs w:val="14"/>
                    <w:lang w:eastAsia="it-IT"/>
                  </w:rPr>
                  <w:t>.</w:t>
                </w:r>
                <w:r w:rsidRPr="004E4A85">
                  <w:rPr>
                    <w:rFonts w:cs="Segoe UI"/>
                    <w:sz w:val="14"/>
                    <w:szCs w:val="14"/>
                    <w:lang w:eastAsia="it-IT"/>
                  </w:rPr>
                  <w:t>40%</w:t>
                </w:r>
              </w:p>
            </w:tc>
            <w:tc>
              <w:tcPr>
                <w:tcW w:w="251" w:type="pct"/>
                <w:gridSpan w:val="2"/>
                <w:shd w:val="clear" w:color="auto" w:fill="FFFFFF" w:themeFill="background2"/>
                <w:vAlign w:val="center"/>
              </w:tcPr>
              <w:p w14:paraId="39E8413A" w14:textId="37366130"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1</w:t>
                </w:r>
                <w:r w:rsidR="00404031" w:rsidRPr="004E4A85">
                  <w:rPr>
                    <w:rFonts w:cs="Segoe UI"/>
                    <w:sz w:val="14"/>
                    <w:szCs w:val="14"/>
                    <w:lang w:eastAsia="it-IT"/>
                  </w:rPr>
                  <w:t>.</w:t>
                </w:r>
                <w:r w:rsidRPr="004E4A85">
                  <w:rPr>
                    <w:rFonts w:cs="Segoe UI"/>
                    <w:sz w:val="14"/>
                    <w:szCs w:val="14"/>
                    <w:lang w:eastAsia="it-IT"/>
                  </w:rPr>
                  <w:t>89%</w:t>
                </w:r>
              </w:p>
            </w:tc>
            <w:tc>
              <w:tcPr>
                <w:tcW w:w="251" w:type="pct"/>
                <w:shd w:val="clear" w:color="auto" w:fill="FFFFFF" w:themeFill="background2"/>
                <w:vAlign w:val="center"/>
              </w:tcPr>
              <w:p w14:paraId="1E1B24C4" w14:textId="4A89EF5E"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1</w:t>
                </w:r>
                <w:r w:rsidR="00404031" w:rsidRPr="004E4A85">
                  <w:rPr>
                    <w:rFonts w:cs="Segoe UI"/>
                    <w:sz w:val="14"/>
                    <w:szCs w:val="14"/>
                    <w:lang w:eastAsia="it-IT"/>
                  </w:rPr>
                  <w:t>.</w:t>
                </w:r>
                <w:r w:rsidRPr="004E4A85">
                  <w:rPr>
                    <w:rFonts w:cs="Segoe UI"/>
                    <w:sz w:val="14"/>
                    <w:szCs w:val="14"/>
                    <w:lang w:eastAsia="it-IT"/>
                  </w:rPr>
                  <w:t>62%</w:t>
                </w:r>
              </w:p>
            </w:tc>
            <w:tc>
              <w:tcPr>
                <w:tcW w:w="252" w:type="pct"/>
                <w:shd w:val="clear" w:color="auto" w:fill="FFFFFF" w:themeFill="background2"/>
                <w:vAlign w:val="center"/>
              </w:tcPr>
              <w:p w14:paraId="125E2CC0" w14:textId="21D04317"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23%</w:t>
                </w:r>
              </w:p>
            </w:tc>
            <w:tc>
              <w:tcPr>
                <w:tcW w:w="251" w:type="pct"/>
                <w:shd w:val="clear" w:color="auto" w:fill="FFFFFF" w:themeFill="background2"/>
                <w:vAlign w:val="center"/>
              </w:tcPr>
              <w:p w14:paraId="41E78868" w14:textId="241E7F8A"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54%</w:t>
                </w:r>
              </w:p>
            </w:tc>
            <w:tc>
              <w:tcPr>
                <w:tcW w:w="251" w:type="pct"/>
                <w:shd w:val="clear" w:color="auto" w:fill="FFFFFF" w:themeFill="background2"/>
                <w:vAlign w:val="center"/>
              </w:tcPr>
              <w:p w14:paraId="6A68E2A2" w14:textId="0E47A4DA"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1</w:t>
                </w:r>
                <w:r w:rsidR="00404031" w:rsidRPr="004E4A85">
                  <w:rPr>
                    <w:rFonts w:cs="Segoe UI"/>
                    <w:sz w:val="14"/>
                    <w:szCs w:val="14"/>
                    <w:lang w:eastAsia="it-IT"/>
                  </w:rPr>
                  <w:t>.</w:t>
                </w:r>
                <w:r w:rsidRPr="004E4A85">
                  <w:rPr>
                    <w:rFonts w:cs="Segoe UI"/>
                    <w:sz w:val="14"/>
                    <w:szCs w:val="14"/>
                    <w:lang w:eastAsia="it-IT"/>
                  </w:rPr>
                  <w:t>10%</w:t>
                </w:r>
              </w:p>
            </w:tc>
            <w:tc>
              <w:tcPr>
                <w:tcW w:w="251" w:type="pct"/>
                <w:shd w:val="clear" w:color="auto" w:fill="FFFFFF" w:themeFill="background2"/>
                <w:vAlign w:val="center"/>
              </w:tcPr>
              <w:p w14:paraId="54CB4D6C" w14:textId="2DDDD72A" w:rsidR="00B67630" w:rsidRPr="004E4A85" w:rsidRDefault="00B67630" w:rsidP="00E05C6F">
                <w:pPr>
                  <w:pStyle w:val="TableTextLeft"/>
                  <w:spacing w:before="0" w:after="0"/>
                  <w:jc w:val="center"/>
                  <w:rPr>
                    <w:rFonts w:cs="Segoe UI"/>
                    <w:b/>
                    <w:bCs/>
                    <w:sz w:val="14"/>
                    <w:szCs w:val="14"/>
                    <w:lang w:eastAsia="it-IT"/>
                  </w:rPr>
                </w:pPr>
                <w:r w:rsidRPr="004E4A85">
                  <w:rPr>
                    <w:rFonts w:cs="Segoe UI"/>
                    <w:b/>
                    <w:bCs/>
                    <w:sz w:val="14"/>
                    <w:szCs w:val="14"/>
                    <w:lang w:eastAsia="it-IT"/>
                  </w:rPr>
                  <w:t>2</w:t>
                </w:r>
                <w:r w:rsidR="00404031" w:rsidRPr="004E4A85">
                  <w:rPr>
                    <w:rFonts w:cs="Segoe UI"/>
                    <w:b/>
                    <w:bCs/>
                    <w:sz w:val="14"/>
                    <w:szCs w:val="14"/>
                    <w:lang w:eastAsia="it-IT"/>
                  </w:rPr>
                  <w:t>.</w:t>
                </w:r>
                <w:r w:rsidRPr="004E4A85">
                  <w:rPr>
                    <w:rFonts w:cs="Segoe UI"/>
                    <w:b/>
                    <w:bCs/>
                    <w:sz w:val="14"/>
                    <w:szCs w:val="14"/>
                    <w:lang w:eastAsia="it-IT"/>
                  </w:rPr>
                  <w:t>73%</w:t>
                </w:r>
              </w:p>
            </w:tc>
            <w:tc>
              <w:tcPr>
                <w:tcW w:w="263" w:type="pct"/>
                <w:vMerge/>
                <w:shd w:val="clear" w:color="auto" w:fill="FFFFFF" w:themeFill="background2"/>
                <w:vAlign w:val="center"/>
              </w:tcPr>
              <w:p w14:paraId="51FCE8EC" w14:textId="77777777" w:rsidR="00B67630" w:rsidRPr="004E4A85" w:rsidRDefault="00B67630" w:rsidP="00E05C6F">
                <w:pPr>
                  <w:pStyle w:val="TableTextLeft"/>
                  <w:spacing w:before="0" w:after="0"/>
                  <w:jc w:val="center"/>
                  <w:rPr>
                    <w:rFonts w:cs="Segoe UI"/>
                    <w:b/>
                    <w:bCs/>
                    <w:sz w:val="14"/>
                    <w:szCs w:val="14"/>
                    <w:lang w:eastAsia="it-IT"/>
                  </w:rPr>
                </w:pPr>
              </w:p>
            </w:tc>
          </w:tr>
          <w:tr w:rsidR="00992F35" w:rsidRPr="004E4A85" w14:paraId="3921C8B3" w14:textId="4F687C0A" w:rsidTr="00103A4B">
            <w:trPr>
              <w:cantSplit/>
              <w:trHeight w:val="397"/>
              <w:jc w:val="center"/>
            </w:trPr>
            <w:tc>
              <w:tcPr>
                <w:tcW w:w="251" w:type="pct"/>
                <w:vMerge w:val="restart"/>
                <w:shd w:val="clear" w:color="auto" w:fill="FFFFFF" w:themeFill="background2"/>
                <w:textDirection w:val="btLr"/>
                <w:vAlign w:val="center"/>
              </w:tcPr>
              <w:p w14:paraId="28DCC08C" w14:textId="5FFCA2BB" w:rsidR="00B67630" w:rsidRPr="004E4A85" w:rsidRDefault="00B67630" w:rsidP="00E05C6F">
                <w:pPr>
                  <w:pStyle w:val="TableTextLeft"/>
                  <w:spacing w:before="0" w:after="0"/>
                  <w:ind w:left="113" w:right="113"/>
                  <w:jc w:val="center"/>
                  <w:rPr>
                    <w:rFonts w:cs="Segoe UI"/>
                    <w:b/>
                    <w:bCs/>
                    <w:sz w:val="14"/>
                    <w:szCs w:val="14"/>
                    <w:lang w:eastAsia="it-IT"/>
                  </w:rPr>
                </w:pPr>
                <w:r w:rsidRPr="004E4A85">
                  <w:rPr>
                    <w:rFonts w:cs="Segoe UI"/>
                    <w:b/>
                    <w:bCs/>
                    <w:sz w:val="14"/>
                    <w:szCs w:val="14"/>
                    <w:lang w:eastAsia="it-IT"/>
                  </w:rPr>
                  <w:t>RISK</w:t>
                </w:r>
              </w:p>
            </w:tc>
            <w:tc>
              <w:tcPr>
                <w:tcW w:w="325" w:type="pct"/>
                <w:shd w:val="clear" w:color="auto" w:fill="FFFFFF" w:themeFill="background2"/>
                <w:tcMar>
                  <w:top w:w="60" w:type="dxa"/>
                  <w:left w:w="114" w:type="dxa"/>
                  <w:bottom w:w="60" w:type="dxa"/>
                  <w:right w:w="114" w:type="dxa"/>
                </w:tcMar>
                <w:vAlign w:val="center"/>
              </w:tcPr>
              <w:p w14:paraId="638CB783" w14:textId="49BE695C" w:rsidR="00B67630" w:rsidRPr="004E4A85" w:rsidRDefault="00B67630" w:rsidP="00E05C6F">
                <w:pPr>
                  <w:pStyle w:val="TableTextLeft"/>
                  <w:spacing w:before="0" w:after="0"/>
                  <w:jc w:val="center"/>
                  <w:rPr>
                    <w:rFonts w:cs="Segoe UI"/>
                    <w:b/>
                    <w:bCs/>
                    <w:sz w:val="14"/>
                    <w:szCs w:val="14"/>
                    <w:lang w:eastAsia="it-IT"/>
                  </w:rPr>
                </w:pPr>
                <w:r w:rsidRPr="004E4A85">
                  <w:rPr>
                    <w:rFonts w:cs="Segoe UI"/>
                    <w:b/>
                    <w:bCs/>
                    <w:sz w:val="14"/>
                    <w:szCs w:val="14"/>
                    <w:lang w:eastAsia="it-IT"/>
                  </w:rPr>
                  <w:t>C1.1</w:t>
                </w:r>
              </w:p>
            </w:tc>
            <w:tc>
              <w:tcPr>
                <w:tcW w:w="324" w:type="pct"/>
                <w:shd w:val="clear" w:color="auto" w:fill="FFFFFF" w:themeFill="background2"/>
                <w:tcMar>
                  <w:top w:w="60" w:type="dxa"/>
                  <w:left w:w="114" w:type="dxa"/>
                  <w:bottom w:w="60" w:type="dxa"/>
                  <w:right w:w="114" w:type="dxa"/>
                </w:tcMar>
                <w:vAlign w:val="center"/>
              </w:tcPr>
              <w:p w14:paraId="2868FBC0" w14:textId="7B9CDA10"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7</w:t>
                </w:r>
                <w:r w:rsidR="00404031" w:rsidRPr="004E4A85">
                  <w:rPr>
                    <w:rFonts w:cs="Segoe UI"/>
                    <w:sz w:val="14"/>
                    <w:szCs w:val="14"/>
                    <w:lang w:eastAsia="it-IT"/>
                  </w:rPr>
                  <w:t>.</w:t>
                </w:r>
                <w:r w:rsidRPr="004E4A85">
                  <w:rPr>
                    <w:rFonts w:cs="Segoe UI"/>
                    <w:sz w:val="14"/>
                    <w:szCs w:val="14"/>
                    <w:lang w:eastAsia="it-IT"/>
                  </w:rPr>
                  <w:t>45%</w:t>
                </w:r>
              </w:p>
            </w:tc>
            <w:tc>
              <w:tcPr>
                <w:tcW w:w="320" w:type="pct"/>
                <w:shd w:val="clear" w:color="auto" w:fill="FFFFFF" w:themeFill="background2"/>
                <w:tcMar>
                  <w:top w:w="60" w:type="dxa"/>
                  <w:left w:w="114" w:type="dxa"/>
                  <w:bottom w:w="60" w:type="dxa"/>
                  <w:right w:w="114" w:type="dxa"/>
                </w:tcMar>
                <w:vAlign w:val="center"/>
              </w:tcPr>
              <w:p w14:paraId="5E8EC273" w14:textId="384A7591"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5</w:t>
                </w:r>
                <w:r w:rsidR="00404031" w:rsidRPr="004E4A85">
                  <w:rPr>
                    <w:rFonts w:cs="Segoe UI"/>
                    <w:sz w:val="14"/>
                    <w:szCs w:val="14"/>
                    <w:lang w:eastAsia="it-IT"/>
                  </w:rPr>
                  <w:t>.</w:t>
                </w:r>
                <w:r w:rsidRPr="004E4A85">
                  <w:rPr>
                    <w:rFonts w:cs="Segoe UI"/>
                    <w:sz w:val="14"/>
                    <w:szCs w:val="14"/>
                    <w:lang w:eastAsia="it-IT"/>
                  </w:rPr>
                  <w:t>87%</w:t>
                </w:r>
              </w:p>
            </w:tc>
            <w:tc>
              <w:tcPr>
                <w:tcW w:w="252" w:type="pct"/>
                <w:shd w:val="clear" w:color="auto" w:fill="FFFFFF" w:themeFill="background2"/>
                <w:vAlign w:val="center"/>
              </w:tcPr>
              <w:p w14:paraId="25C69D7B" w14:textId="0B2F40C8"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5</w:t>
                </w:r>
                <w:r w:rsidR="00404031" w:rsidRPr="004E4A85">
                  <w:rPr>
                    <w:rFonts w:cs="Segoe UI"/>
                    <w:sz w:val="14"/>
                    <w:szCs w:val="14"/>
                    <w:lang w:eastAsia="it-IT"/>
                  </w:rPr>
                  <w:t>.</w:t>
                </w:r>
                <w:r w:rsidRPr="004E4A85">
                  <w:rPr>
                    <w:rFonts w:cs="Segoe UI"/>
                    <w:sz w:val="14"/>
                    <w:szCs w:val="14"/>
                    <w:lang w:eastAsia="it-IT"/>
                  </w:rPr>
                  <w:t>98%</w:t>
                </w:r>
              </w:p>
            </w:tc>
            <w:tc>
              <w:tcPr>
                <w:tcW w:w="251" w:type="pct"/>
                <w:shd w:val="clear" w:color="auto" w:fill="FFFFFF" w:themeFill="background2"/>
                <w:vAlign w:val="center"/>
              </w:tcPr>
              <w:p w14:paraId="4F943A25" w14:textId="37995B5D"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9</w:t>
                </w:r>
                <w:r w:rsidR="00404031" w:rsidRPr="004E4A85">
                  <w:rPr>
                    <w:rFonts w:cs="Segoe UI"/>
                    <w:sz w:val="14"/>
                    <w:szCs w:val="14"/>
                    <w:lang w:eastAsia="it-IT"/>
                  </w:rPr>
                  <w:t>.</w:t>
                </w:r>
                <w:r w:rsidRPr="004E4A85">
                  <w:rPr>
                    <w:rFonts w:cs="Segoe UI"/>
                    <w:sz w:val="14"/>
                    <w:szCs w:val="14"/>
                    <w:lang w:eastAsia="it-IT"/>
                  </w:rPr>
                  <w:t>98%</w:t>
                </w:r>
              </w:p>
            </w:tc>
            <w:tc>
              <w:tcPr>
                <w:tcW w:w="251" w:type="pct"/>
                <w:gridSpan w:val="2"/>
                <w:shd w:val="clear" w:color="auto" w:fill="FFFFFF" w:themeFill="background2"/>
                <w:vAlign w:val="center"/>
              </w:tcPr>
              <w:p w14:paraId="04877BB5" w14:textId="30A6B6CF"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9</w:t>
                </w:r>
                <w:r w:rsidR="00404031" w:rsidRPr="004E4A85">
                  <w:rPr>
                    <w:rFonts w:cs="Segoe UI"/>
                    <w:sz w:val="14"/>
                    <w:szCs w:val="14"/>
                    <w:lang w:eastAsia="it-IT"/>
                  </w:rPr>
                  <w:t>.</w:t>
                </w:r>
                <w:r w:rsidRPr="004E4A85">
                  <w:rPr>
                    <w:rFonts w:cs="Segoe UI"/>
                    <w:sz w:val="14"/>
                    <w:szCs w:val="14"/>
                    <w:lang w:eastAsia="it-IT"/>
                  </w:rPr>
                  <w:t>72%</w:t>
                </w:r>
              </w:p>
            </w:tc>
            <w:tc>
              <w:tcPr>
                <w:tcW w:w="251" w:type="pct"/>
                <w:shd w:val="clear" w:color="auto" w:fill="FFFFFF" w:themeFill="background2"/>
                <w:vAlign w:val="center"/>
              </w:tcPr>
              <w:p w14:paraId="5CA16F32" w14:textId="0D1668EC"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7</w:t>
                </w:r>
                <w:r w:rsidR="00404031" w:rsidRPr="004E4A85">
                  <w:rPr>
                    <w:rFonts w:cs="Segoe UI"/>
                    <w:sz w:val="14"/>
                    <w:szCs w:val="14"/>
                    <w:lang w:eastAsia="it-IT"/>
                  </w:rPr>
                  <w:t>.</w:t>
                </w:r>
                <w:r w:rsidRPr="004E4A85">
                  <w:rPr>
                    <w:rFonts w:cs="Segoe UI"/>
                    <w:sz w:val="14"/>
                    <w:szCs w:val="14"/>
                    <w:lang w:eastAsia="it-IT"/>
                  </w:rPr>
                  <w:t>37%</w:t>
                </w:r>
              </w:p>
            </w:tc>
            <w:tc>
              <w:tcPr>
                <w:tcW w:w="251" w:type="pct"/>
                <w:shd w:val="clear" w:color="auto" w:fill="FFFFFF" w:themeFill="background2"/>
                <w:vAlign w:val="center"/>
              </w:tcPr>
              <w:p w14:paraId="3833C3F4" w14:textId="082B95E3"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6</w:t>
                </w:r>
                <w:r w:rsidR="00404031" w:rsidRPr="004E4A85">
                  <w:rPr>
                    <w:rFonts w:cs="Segoe UI"/>
                    <w:sz w:val="14"/>
                    <w:szCs w:val="14"/>
                    <w:lang w:eastAsia="it-IT"/>
                  </w:rPr>
                  <w:t>.</w:t>
                </w:r>
                <w:r w:rsidRPr="004E4A85">
                  <w:rPr>
                    <w:rFonts w:cs="Segoe UI"/>
                    <w:sz w:val="14"/>
                    <w:szCs w:val="14"/>
                    <w:lang w:eastAsia="it-IT"/>
                  </w:rPr>
                  <w:t>13%</w:t>
                </w:r>
              </w:p>
            </w:tc>
            <w:tc>
              <w:tcPr>
                <w:tcW w:w="252" w:type="pct"/>
                <w:shd w:val="clear" w:color="auto" w:fill="FFFFFF" w:themeFill="background2"/>
                <w:vAlign w:val="center"/>
              </w:tcPr>
              <w:p w14:paraId="34F14BF8" w14:textId="2C9506D6"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5</w:t>
                </w:r>
                <w:r w:rsidR="00404031" w:rsidRPr="004E4A85">
                  <w:rPr>
                    <w:rFonts w:cs="Segoe UI"/>
                    <w:sz w:val="14"/>
                    <w:szCs w:val="14"/>
                    <w:lang w:eastAsia="it-IT"/>
                  </w:rPr>
                  <w:t>.</w:t>
                </w:r>
                <w:r w:rsidRPr="004E4A85">
                  <w:rPr>
                    <w:rFonts w:cs="Segoe UI"/>
                    <w:sz w:val="14"/>
                    <w:szCs w:val="14"/>
                    <w:lang w:eastAsia="it-IT"/>
                  </w:rPr>
                  <w:t>22%</w:t>
                </w:r>
              </w:p>
            </w:tc>
            <w:tc>
              <w:tcPr>
                <w:tcW w:w="251" w:type="pct"/>
                <w:shd w:val="clear" w:color="auto" w:fill="FFFFFF" w:themeFill="background2"/>
                <w:vAlign w:val="center"/>
              </w:tcPr>
              <w:p w14:paraId="27FC4B40" w14:textId="23DAB0EB"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3</w:t>
                </w:r>
                <w:r w:rsidR="00404031" w:rsidRPr="004E4A85">
                  <w:rPr>
                    <w:rFonts w:cs="Segoe UI"/>
                    <w:sz w:val="14"/>
                    <w:szCs w:val="14"/>
                    <w:lang w:eastAsia="it-IT"/>
                  </w:rPr>
                  <w:t>.</w:t>
                </w:r>
                <w:r w:rsidRPr="004E4A85">
                  <w:rPr>
                    <w:rFonts w:cs="Segoe UI"/>
                    <w:sz w:val="14"/>
                    <w:szCs w:val="14"/>
                    <w:lang w:eastAsia="it-IT"/>
                  </w:rPr>
                  <w:t>33%</w:t>
                </w:r>
              </w:p>
            </w:tc>
            <w:tc>
              <w:tcPr>
                <w:tcW w:w="251" w:type="pct"/>
                <w:shd w:val="clear" w:color="auto" w:fill="FFFFFF" w:themeFill="background2"/>
                <w:vAlign w:val="center"/>
              </w:tcPr>
              <w:p w14:paraId="14DFAE25" w14:textId="050670B6"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3</w:t>
                </w:r>
                <w:r w:rsidR="00404031" w:rsidRPr="004E4A85">
                  <w:rPr>
                    <w:rFonts w:cs="Segoe UI"/>
                    <w:sz w:val="14"/>
                    <w:szCs w:val="14"/>
                    <w:lang w:eastAsia="it-IT"/>
                  </w:rPr>
                  <w:t>.</w:t>
                </w:r>
                <w:r w:rsidRPr="004E4A85">
                  <w:rPr>
                    <w:rFonts w:cs="Segoe UI"/>
                    <w:sz w:val="14"/>
                    <w:szCs w:val="14"/>
                    <w:lang w:eastAsia="it-IT"/>
                  </w:rPr>
                  <w:t>18%</w:t>
                </w:r>
              </w:p>
            </w:tc>
            <w:tc>
              <w:tcPr>
                <w:tcW w:w="251" w:type="pct"/>
                <w:gridSpan w:val="2"/>
                <w:shd w:val="clear" w:color="auto" w:fill="FFFFFF" w:themeFill="background2"/>
                <w:vAlign w:val="center"/>
              </w:tcPr>
              <w:p w14:paraId="64287763" w14:textId="2BA4AF26"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3</w:t>
                </w:r>
                <w:r w:rsidR="00404031" w:rsidRPr="004E4A85">
                  <w:rPr>
                    <w:rFonts w:cs="Segoe UI"/>
                    <w:sz w:val="14"/>
                    <w:szCs w:val="14"/>
                    <w:lang w:eastAsia="it-IT"/>
                  </w:rPr>
                  <w:t>.</w:t>
                </w:r>
                <w:r w:rsidRPr="004E4A85">
                  <w:rPr>
                    <w:rFonts w:cs="Segoe UI"/>
                    <w:sz w:val="14"/>
                    <w:szCs w:val="14"/>
                    <w:lang w:eastAsia="it-IT"/>
                  </w:rPr>
                  <w:t>26%</w:t>
                </w:r>
              </w:p>
            </w:tc>
            <w:tc>
              <w:tcPr>
                <w:tcW w:w="251" w:type="pct"/>
                <w:shd w:val="clear" w:color="auto" w:fill="FFFFFF" w:themeFill="background2"/>
                <w:vAlign w:val="center"/>
              </w:tcPr>
              <w:p w14:paraId="7F7908C6" w14:textId="1A8902B0"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2</w:t>
                </w:r>
                <w:r w:rsidR="00404031" w:rsidRPr="004E4A85">
                  <w:rPr>
                    <w:rFonts w:cs="Segoe UI"/>
                    <w:sz w:val="14"/>
                    <w:szCs w:val="14"/>
                    <w:lang w:eastAsia="it-IT"/>
                  </w:rPr>
                  <w:t>.</w:t>
                </w:r>
                <w:r w:rsidRPr="004E4A85">
                  <w:rPr>
                    <w:rFonts w:cs="Segoe UI"/>
                    <w:sz w:val="14"/>
                    <w:szCs w:val="14"/>
                    <w:lang w:eastAsia="it-IT"/>
                  </w:rPr>
                  <w:t>60%</w:t>
                </w:r>
              </w:p>
            </w:tc>
            <w:tc>
              <w:tcPr>
                <w:tcW w:w="252" w:type="pct"/>
                <w:shd w:val="clear" w:color="auto" w:fill="FFFFFF" w:themeFill="background2"/>
                <w:vAlign w:val="center"/>
              </w:tcPr>
              <w:p w14:paraId="61527EC7" w14:textId="4024620F"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0</w:t>
                </w:r>
                <w:r w:rsidR="00404031" w:rsidRPr="004E4A85">
                  <w:rPr>
                    <w:rFonts w:cs="Segoe UI"/>
                    <w:sz w:val="14"/>
                    <w:szCs w:val="14"/>
                    <w:lang w:eastAsia="it-IT"/>
                  </w:rPr>
                  <w:t>.</w:t>
                </w:r>
                <w:r w:rsidRPr="004E4A85">
                  <w:rPr>
                    <w:rFonts w:cs="Segoe UI"/>
                    <w:sz w:val="14"/>
                    <w:szCs w:val="14"/>
                    <w:lang w:eastAsia="it-IT"/>
                  </w:rPr>
                  <w:t>81%</w:t>
                </w:r>
              </w:p>
            </w:tc>
            <w:tc>
              <w:tcPr>
                <w:tcW w:w="251" w:type="pct"/>
                <w:shd w:val="clear" w:color="auto" w:fill="FFFFFF" w:themeFill="background2"/>
                <w:vAlign w:val="center"/>
              </w:tcPr>
              <w:p w14:paraId="34D67308" w14:textId="02C5001D"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1</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2207D279" w14:textId="14327219"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1</w:t>
                </w:r>
                <w:r w:rsidR="00404031" w:rsidRPr="004E4A85">
                  <w:rPr>
                    <w:rFonts w:cs="Segoe UI"/>
                    <w:sz w:val="14"/>
                    <w:szCs w:val="14"/>
                    <w:lang w:eastAsia="it-IT"/>
                  </w:rPr>
                  <w:t>.</w:t>
                </w:r>
                <w:r w:rsidRPr="004E4A85">
                  <w:rPr>
                    <w:rFonts w:cs="Segoe UI"/>
                    <w:sz w:val="14"/>
                    <w:szCs w:val="14"/>
                    <w:lang w:eastAsia="it-IT"/>
                  </w:rPr>
                  <w:t>76%</w:t>
                </w:r>
              </w:p>
            </w:tc>
            <w:tc>
              <w:tcPr>
                <w:tcW w:w="251" w:type="pct"/>
                <w:shd w:val="clear" w:color="auto" w:fill="FFFFFF" w:themeFill="background2"/>
                <w:vAlign w:val="center"/>
              </w:tcPr>
              <w:p w14:paraId="21223A42" w14:textId="08B34CCA" w:rsidR="00B67630" w:rsidRPr="004E4A85" w:rsidRDefault="00B67630" w:rsidP="00E05C6F">
                <w:pPr>
                  <w:pStyle w:val="TableTextLeft"/>
                  <w:spacing w:before="0" w:after="0"/>
                  <w:jc w:val="center"/>
                  <w:rPr>
                    <w:rFonts w:cs="Segoe UI"/>
                    <w:b/>
                    <w:bCs/>
                    <w:sz w:val="14"/>
                    <w:szCs w:val="14"/>
                    <w:lang w:eastAsia="it-IT"/>
                  </w:rPr>
                </w:pPr>
                <w:r w:rsidRPr="004E4A85">
                  <w:rPr>
                    <w:rFonts w:cs="Segoe UI"/>
                    <w:b/>
                    <w:bCs/>
                    <w:sz w:val="14"/>
                    <w:szCs w:val="14"/>
                    <w:lang w:eastAsia="it-IT"/>
                  </w:rPr>
                  <w:t>6</w:t>
                </w:r>
                <w:r w:rsidR="00404031" w:rsidRPr="004E4A85">
                  <w:rPr>
                    <w:rFonts w:cs="Segoe UI"/>
                    <w:b/>
                    <w:bCs/>
                    <w:sz w:val="14"/>
                    <w:szCs w:val="14"/>
                    <w:lang w:eastAsia="it-IT"/>
                  </w:rPr>
                  <w:t>.</w:t>
                </w:r>
                <w:r w:rsidRPr="004E4A85">
                  <w:rPr>
                    <w:rFonts w:cs="Segoe UI"/>
                    <w:b/>
                    <w:bCs/>
                    <w:sz w:val="14"/>
                    <w:szCs w:val="14"/>
                    <w:lang w:eastAsia="it-IT"/>
                  </w:rPr>
                  <w:t>02%</w:t>
                </w:r>
              </w:p>
            </w:tc>
            <w:tc>
              <w:tcPr>
                <w:tcW w:w="263" w:type="pct"/>
                <w:vMerge/>
                <w:shd w:val="clear" w:color="auto" w:fill="FFFFFF" w:themeFill="background2"/>
                <w:vAlign w:val="center"/>
              </w:tcPr>
              <w:p w14:paraId="766B61F2" w14:textId="77777777" w:rsidR="00B67630" w:rsidRPr="004E4A85" w:rsidRDefault="00B67630" w:rsidP="00E05C6F">
                <w:pPr>
                  <w:pStyle w:val="TableTextLeft"/>
                  <w:spacing w:before="0" w:after="0"/>
                  <w:jc w:val="center"/>
                  <w:rPr>
                    <w:rFonts w:cs="Segoe UI"/>
                    <w:b/>
                    <w:bCs/>
                    <w:sz w:val="14"/>
                    <w:szCs w:val="14"/>
                    <w:lang w:eastAsia="it-IT"/>
                  </w:rPr>
                </w:pPr>
              </w:p>
            </w:tc>
          </w:tr>
          <w:tr w:rsidR="00992F35" w:rsidRPr="004E4A85" w14:paraId="03F5C32A" w14:textId="4147E54E" w:rsidTr="00103A4B">
            <w:trPr>
              <w:cantSplit/>
              <w:trHeight w:val="397"/>
              <w:jc w:val="center"/>
            </w:trPr>
            <w:tc>
              <w:tcPr>
                <w:tcW w:w="251" w:type="pct"/>
                <w:vMerge/>
                <w:shd w:val="clear" w:color="auto" w:fill="FFFFFF" w:themeFill="background2"/>
                <w:vAlign w:val="center"/>
              </w:tcPr>
              <w:p w14:paraId="18501B65" w14:textId="77777777" w:rsidR="00B67630" w:rsidRPr="004E4A85" w:rsidRDefault="00B67630" w:rsidP="00E05C6F">
                <w:pPr>
                  <w:pStyle w:val="TableTextLeft"/>
                  <w:spacing w:before="0" w:after="0"/>
                  <w:jc w:val="center"/>
                  <w:rPr>
                    <w:rFonts w:cs="Segoe UI"/>
                    <w:b/>
                    <w:bCs/>
                    <w:sz w:val="14"/>
                    <w:szCs w:val="14"/>
                    <w:lang w:eastAsia="it-IT"/>
                  </w:rPr>
                </w:pPr>
              </w:p>
            </w:tc>
            <w:tc>
              <w:tcPr>
                <w:tcW w:w="325" w:type="pct"/>
                <w:shd w:val="clear" w:color="auto" w:fill="FFFFFF" w:themeFill="background2"/>
                <w:tcMar>
                  <w:top w:w="60" w:type="dxa"/>
                  <w:left w:w="114" w:type="dxa"/>
                  <w:bottom w:w="60" w:type="dxa"/>
                  <w:right w:w="114" w:type="dxa"/>
                </w:tcMar>
                <w:vAlign w:val="center"/>
              </w:tcPr>
              <w:p w14:paraId="601D42E2" w14:textId="7E763805" w:rsidR="00B67630" w:rsidRPr="004E4A85" w:rsidRDefault="00B67630" w:rsidP="00E05C6F">
                <w:pPr>
                  <w:pStyle w:val="TableTextLeft"/>
                  <w:spacing w:before="0" w:after="0"/>
                  <w:jc w:val="center"/>
                  <w:rPr>
                    <w:rFonts w:cs="Segoe UI"/>
                    <w:b/>
                    <w:bCs/>
                    <w:sz w:val="14"/>
                    <w:szCs w:val="14"/>
                    <w:lang w:eastAsia="it-IT"/>
                  </w:rPr>
                </w:pPr>
                <w:r w:rsidRPr="004E4A85">
                  <w:rPr>
                    <w:rFonts w:cs="Segoe UI"/>
                    <w:b/>
                    <w:bCs/>
                    <w:sz w:val="14"/>
                    <w:szCs w:val="14"/>
                    <w:lang w:eastAsia="it-IT"/>
                  </w:rPr>
                  <w:t>C1.2</w:t>
                </w:r>
              </w:p>
            </w:tc>
            <w:tc>
              <w:tcPr>
                <w:tcW w:w="324" w:type="pct"/>
                <w:shd w:val="clear" w:color="auto" w:fill="FFFFFF" w:themeFill="background2"/>
                <w:tcMar>
                  <w:top w:w="60" w:type="dxa"/>
                  <w:left w:w="114" w:type="dxa"/>
                  <w:bottom w:w="60" w:type="dxa"/>
                  <w:right w:w="114" w:type="dxa"/>
                </w:tcMar>
                <w:vAlign w:val="center"/>
              </w:tcPr>
              <w:p w14:paraId="5D9BB95B" w14:textId="423D5070"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18</w:t>
                </w:r>
                <w:r w:rsidR="00404031" w:rsidRPr="004E4A85">
                  <w:rPr>
                    <w:rFonts w:cs="Segoe UI"/>
                    <w:sz w:val="14"/>
                    <w:szCs w:val="14"/>
                    <w:lang w:eastAsia="it-IT"/>
                  </w:rPr>
                  <w:t>.</w:t>
                </w:r>
                <w:r w:rsidRPr="004E4A85">
                  <w:rPr>
                    <w:rFonts w:cs="Segoe UI"/>
                    <w:sz w:val="14"/>
                    <w:szCs w:val="14"/>
                    <w:lang w:eastAsia="it-IT"/>
                  </w:rPr>
                  <w:t>34%</w:t>
                </w:r>
              </w:p>
            </w:tc>
            <w:tc>
              <w:tcPr>
                <w:tcW w:w="320" w:type="pct"/>
                <w:shd w:val="clear" w:color="auto" w:fill="FFFFFF" w:themeFill="background2"/>
                <w:tcMar>
                  <w:top w:w="60" w:type="dxa"/>
                  <w:left w:w="114" w:type="dxa"/>
                  <w:bottom w:w="60" w:type="dxa"/>
                  <w:right w:w="114" w:type="dxa"/>
                </w:tcMar>
                <w:vAlign w:val="center"/>
              </w:tcPr>
              <w:p w14:paraId="3A22CF6C" w14:textId="532A1F6F"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16</w:t>
                </w:r>
                <w:r w:rsidR="00404031" w:rsidRPr="004E4A85">
                  <w:rPr>
                    <w:rFonts w:cs="Segoe UI"/>
                    <w:sz w:val="14"/>
                    <w:szCs w:val="14"/>
                    <w:lang w:eastAsia="it-IT"/>
                  </w:rPr>
                  <w:t>.</w:t>
                </w:r>
                <w:r w:rsidRPr="004E4A85">
                  <w:rPr>
                    <w:rFonts w:cs="Segoe UI"/>
                    <w:sz w:val="14"/>
                    <w:szCs w:val="14"/>
                    <w:lang w:eastAsia="it-IT"/>
                  </w:rPr>
                  <w:t>09%</w:t>
                </w:r>
              </w:p>
            </w:tc>
            <w:tc>
              <w:tcPr>
                <w:tcW w:w="252" w:type="pct"/>
                <w:shd w:val="clear" w:color="auto" w:fill="FFFFFF" w:themeFill="background2"/>
                <w:vAlign w:val="center"/>
              </w:tcPr>
              <w:p w14:paraId="647C2345" w14:textId="5EE694BC"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13</w:t>
                </w:r>
                <w:r w:rsidR="00404031" w:rsidRPr="004E4A85">
                  <w:rPr>
                    <w:rFonts w:cs="Segoe UI"/>
                    <w:sz w:val="14"/>
                    <w:szCs w:val="14"/>
                    <w:lang w:eastAsia="it-IT"/>
                  </w:rPr>
                  <w:t>.</w:t>
                </w:r>
                <w:r w:rsidRPr="004E4A85">
                  <w:rPr>
                    <w:rFonts w:cs="Segoe UI"/>
                    <w:sz w:val="14"/>
                    <w:szCs w:val="14"/>
                    <w:lang w:eastAsia="it-IT"/>
                  </w:rPr>
                  <w:t>58%</w:t>
                </w:r>
              </w:p>
            </w:tc>
            <w:tc>
              <w:tcPr>
                <w:tcW w:w="251" w:type="pct"/>
                <w:shd w:val="clear" w:color="auto" w:fill="FFFFFF" w:themeFill="background2"/>
                <w:vAlign w:val="center"/>
              </w:tcPr>
              <w:p w14:paraId="09620162" w14:textId="3ACC6B25"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22</w:t>
                </w:r>
                <w:r w:rsidR="00404031" w:rsidRPr="004E4A85">
                  <w:rPr>
                    <w:rFonts w:cs="Segoe UI"/>
                    <w:sz w:val="14"/>
                    <w:szCs w:val="14"/>
                    <w:lang w:eastAsia="it-IT"/>
                  </w:rPr>
                  <w:t>.</w:t>
                </w:r>
                <w:r w:rsidRPr="004E4A85">
                  <w:rPr>
                    <w:rFonts w:cs="Segoe UI"/>
                    <w:sz w:val="14"/>
                    <w:szCs w:val="14"/>
                    <w:lang w:eastAsia="it-IT"/>
                  </w:rPr>
                  <w:t>88%</w:t>
                </w:r>
              </w:p>
            </w:tc>
            <w:tc>
              <w:tcPr>
                <w:tcW w:w="251" w:type="pct"/>
                <w:gridSpan w:val="2"/>
                <w:shd w:val="clear" w:color="auto" w:fill="FFFFFF" w:themeFill="background2"/>
                <w:vAlign w:val="center"/>
              </w:tcPr>
              <w:p w14:paraId="0FDBD4FC" w14:textId="161B11A4"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21</w:t>
                </w:r>
                <w:r w:rsidR="00404031" w:rsidRPr="004E4A85">
                  <w:rPr>
                    <w:rFonts w:cs="Segoe UI"/>
                    <w:sz w:val="14"/>
                    <w:szCs w:val="14"/>
                    <w:lang w:eastAsia="it-IT"/>
                  </w:rPr>
                  <w:t>.</w:t>
                </w:r>
                <w:r w:rsidRPr="004E4A85">
                  <w:rPr>
                    <w:rFonts w:cs="Segoe UI"/>
                    <w:sz w:val="14"/>
                    <w:szCs w:val="14"/>
                    <w:lang w:eastAsia="it-IT"/>
                  </w:rPr>
                  <w:t>04%</w:t>
                </w:r>
              </w:p>
            </w:tc>
            <w:tc>
              <w:tcPr>
                <w:tcW w:w="251" w:type="pct"/>
                <w:shd w:val="clear" w:color="auto" w:fill="FFFFFF" w:themeFill="background2"/>
                <w:vAlign w:val="center"/>
              </w:tcPr>
              <w:p w14:paraId="7F868CDA" w14:textId="08C56E2C"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15</w:t>
                </w:r>
                <w:r w:rsidR="00404031" w:rsidRPr="004E4A85">
                  <w:rPr>
                    <w:rFonts w:cs="Segoe UI"/>
                    <w:sz w:val="14"/>
                    <w:szCs w:val="14"/>
                    <w:lang w:eastAsia="it-IT"/>
                  </w:rPr>
                  <w:t>.</w:t>
                </w:r>
                <w:r w:rsidRPr="004E4A85">
                  <w:rPr>
                    <w:rFonts w:cs="Segoe UI"/>
                    <w:sz w:val="14"/>
                    <w:szCs w:val="14"/>
                    <w:lang w:eastAsia="it-IT"/>
                  </w:rPr>
                  <w:t>09%</w:t>
                </w:r>
              </w:p>
            </w:tc>
            <w:tc>
              <w:tcPr>
                <w:tcW w:w="251" w:type="pct"/>
                <w:shd w:val="clear" w:color="auto" w:fill="FFFFFF" w:themeFill="background2"/>
                <w:vAlign w:val="center"/>
              </w:tcPr>
              <w:p w14:paraId="67D68812" w14:textId="050362FA"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10</w:t>
                </w:r>
                <w:r w:rsidR="00404031" w:rsidRPr="004E4A85">
                  <w:rPr>
                    <w:rFonts w:cs="Segoe UI"/>
                    <w:sz w:val="14"/>
                    <w:szCs w:val="14"/>
                    <w:lang w:eastAsia="it-IT"/>
                  </w:rPr>
                  <w:t>.</w:t>
                </w:r>
                <w:r w:rsidRPr="004E4A85">
                  <w:rPr>
                    <w:rFonts w:cs="Segoe UI"/>
                    <w:sz w:val="14"/>
                    <w:szCs w:val="14"/>
                    <w:lang w:eastAsia="it-IT"/>
                  </w:rPr>
                  <w:t>17%</w:t>
                </w:r>
              </w:p>
            </w:tc>
            <w:tc>
              <w:tcPr>
                <w:tcW w:w="252" w:type="pct"/>
                <w:shd w:val="clear" w:color="auto" w:fill="FFFFFF" w:themeFill="background2"/>
                <w:vAlign w:val="center"/>
              </w:tcPr>
              <w:p w14:paraId="2C2F0490" w14:textId="78AF8A63"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12</w:t>
                </w:r>
                <w:r w:rsidR="00404031" w:rsidRPr="004E4A85">
                  <w:rPr>
                    <w:rFonts w:cs="Segoe UI"/>
                    <w:sz w:val="14"/>
                    <w:szCs w:val="14"/>
                    <w:lang w:eastAsia="it-IT"/>
                  </w:rPr>
                  <w:t>.</w:t>
                </w:r>
                <w:r w:rsidRPr="004E4A85">
                  <w:rPr>
                    <w:rFonts w:cs="Segoe UI"/>
                    <w:sz w:val="14"/>
                    <w:szCs w:val="14"/>
                    <w:lang w:eastAsia="it-IT"/>
                  </w:rPr>
                  <w:t>87%</w:t>
                </w:r>
              </w:p>
            </w:tc>
            <w:tc>
              <w:tcPr>
                <w:tcW w:w="251" w:type="pct"/>
                <w:shd w:val="clear" w:color="auto" w:fill="FFFFFF" w:themeFill="background2"/>
                <w:vAlign w:val="center"/>
              </w:tcPr>
              <w:p w14:paraId="22CEE2FA" w14:textId="63BDFCFE"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7</w:t>
                </w:r>
                <w:r w:rsidR="00404031" w:rsidRPr="004E4A85">
                  <w:rPr>
                    <w:rFonts w:cs="Segoe UI"/>
                    <w:sz w:val="14"/>
                    <w:szCs w:val="14"/>
                    <w:lang w:eastAsia="it-IT"/>
                  </w:rPr>
                  <w:t>.</w:t>
                </w:r>
                <w:r w:rsidRPr="004E4A85">
                  <w:rPr>
                    <w:rFonts w:cs="Segoe UI"/>
                    <w:sz w:val="14"/>
                    <w:szCs w:val="14"/>
                    <w:lang w:eastAsia="it-IT"/>
                  </w:rPr>
                  <w:t>07%</w:t>
                </w:r>
              </w:p>
            </w:tc>
            <w:tc>
              <w:tcPr>
                <w:tcW w:w="251" w:type="pct"/>
                <w:shd w:val="clear" w:color="auto" w:fill="FFFFFF" w:themeFill="background2"/>
                <w:vAlign w:val="center"/>
              </w:tcPr>
              <w:p w14:paraId="75E6626A" w14:textId="2315AD14"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6</w:t>
                </w:r>
                <w:r w:rsidR="00404031" w:rsidRPr="004E4A85">
                  <w:rPr>
                    <w:rFonts w:cs="Segoe UI"/>
                    <w:sz w:val="14"/>
                    <w:szCs w:val="14"/>
                    <w:lang w:eastAsia="it-IT"/>
                  </w:rPr>
                  <w:t>.</w:t>
                </w:r>
                <w:r w:rsidRPr="004E4A85">
                  <w:rPr>
                    <w:rFonts w:cs="Segoe UI"/>
                    <w:sz w:val="14"/>
                    <w:szCs w:val="14"/>
                    <w:lang w:eastAsia="it-IT"/>
                  </w:rPr>
                  <w:t>33%</w:t>
                </w:r>
              </w:p>
            </w:tc>
            <w:tc>
              <w:tcPr>
                <w:tcW w:w="251" w:type="pct"/>
                <w:gridSpan w:val="2"/>
                <w:shd w:val="clear" w:color="auto" w:fill="FFFFFF" w:themeFill="background2"/>
                <w:vAlign w:val="center"/>
              </w:tcPr>
              <w:p w14:paraId="225A754B" w14:textId="65C175C7"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9</w:t>
                </w:r>
                <w:r w:rsidR="00404031" w:rsidRPr="004E4A85">
                  <w:rPr>
                    <w:rFonts w:cs="Segoe UI"/>
                    <w:sz w:val="14"/>
                    <w:szCs w:val="14"/>
                    <w:lang w:eastAsia="it-IT"/>
                  </w:rPr>
                  <w:t>.</w:t>
                </w:r>
                <w:r w:rsidRPr="004E4A85">
                  <w:rPr>
                    <w:rFonts w:cs="Segoe UI"/>
                    <w:sz w:val="14"/>
                    <w:szCs w:val="14"/>
                    <w:lang w:eastAsia="it-IT"/>
                  </w:rPr>
                  <w:t>61%</w:t>
                </w:r>
              </w:p>
            </w:tc>
            <w:tc>
              <w:tcPr>
                <w:tcW w:w="251" w:type="pct"/>
                <w:shd w:val="clear" w:color="auto" w:fill="FFFFFF" w:themeFill="background2"/>
                <w:vAlign w:val="center"/>
              </w:tcPr>
              <w:p w14:paraId="03529099" w14:textId="54EFA589"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3</w:t>
                </w:r>
                <w:r w:rsidR="00404031" w:rsidRPr="004E4A85">
                  <w:rPr>
                    <w:rFonts w:cs="Segoe UI"/>
                    <w:sz w:val="14"/>
                    <w:szCs w:val="14"/>
                    <w:lang w:eastAsia="it-IT"/>
                  </w:rPr>
                  <w:t>.</w:t>
                </w:r>
                <w:r w:rsidRPr="004E4A85">
                  <w:rPr>
                    <w:rFonts w:cs="Segoe UI"/>
                    <w:sz w:val="14"/>
                    <w:szCs w:val="14"/>
                    <w:lang w:eastAsia="it-IT"/>
                  </w:rPr>
                  <w:t>15%</w:t>
                </w:r>
              </w:p>
            </w:tc>
            <w:tc>
              <w:tcPr>
                <w:tcW w:w="252" w:type="pct"/>
                <w:shd w:val="clear" w:color="auto" w:fill="FFFFFF" w:themeFill="background2"/>
                <w:vAlign w:val="center"/>
              </w:tcPr>
              <w:p w14:paraId="1181E29A" w14:textId="257E1B7F"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2</w:t>
                </w:r>
                <w:r w:rsidR="00404031" w:rsidRPr="004E4A85">
                  <w:rPr>
                    <w:rFonts w:cs="Segoe UI"/>
                    <w:sz w:val="14"/>
                    <w:szCs w:val="14"/>
                    <w:lang w:eastAsia="it-IT"/>
                  </w:rPr>
                  <w:t>.</w:t>
                </w:r>
                <w:r w:rsidRPr="004E4A85">
                  <w:rPr>
                    <w:rFonts w:cs="Segoe UI"/>
                    <w:sz w:val="14"/>
                    <w:szCs w:val="14"/>
                    <w:lang w:eastAsia="it-IT"/>
                  </w:rPr>
                  <w:t>17%</w:t>
                </w:r>
              </w:p>
            </w:tc>
            <w:tc>
              <w:tcPr>
                <w:tcW w:w="251" w:type="pct"/>
                <w:shd w:val="clear" w:color="auto" w:fill="FFFFFF" w:themeFill="background2"/>
                <w:vAlign w:val="center"/>
              </w:tcPr>
              <w:p w14:paraId="3EDED715" w14:textId="5E6A4C26"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1</w:t>
                </w:r>
                <w:r w:rsidR="00404031" w:rsidRPr="004E4A85">
                  <w:rPr>
                    <w:rFonts w:cs="Segoe UI"/>
                    <w:sz w:val="14"/>
                    <w:szCs w:val="14"/>
                    <w:lang w:eastAsia="it-IT"/>
                  </w:rPr>
                  <w:t>.</w:t>
                </w:r>
                <w:r w:rsidRPr="004E4A85">
                  <w:rPr>
                    <w:rFonts w:cs="Segoe UI"/>
                    <w:sz w:val="14"/>
                    <w:szCs w:val="14"/>
                    <w:lang w:eastAsia="it-IT"/>
                  </w:rPr>
                  <w:t>06%</w:t>
                </w:r>
              </w:p>
            </w:tc>
            <w:tc>
              <w:tcPr>
                <w:tcW w:w="251" w:type="pct"/>
                <w:shd w:val="clear" w:color="auto" w:fill="FFFFFF" w:themeFill="background2"/>
                <w:vAlign w:val="center"/>
              </w:tcPr>
              <w:p w14:paraId="05EE26C3" w14:textId="02ED2168"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3</w:t>
                </w:r>
                <w:r w:rsidR="00404031" w:rsidRPr="004E4A85">
                  <w:rPr>
                    <w:rFonts w:cs="Segoe UI"/>
                    <w:sz w:val="14"/>
                    <w:szCs w:val="14"/>
                    <w:lang w:eastAsia="it-IT"/>
                  </w:rPr>
                  <w:t>.</w:t>
                </w:r>
                <w:r w:rsidRPr="004E4A85">
                  <w:rPr>
                    <w:rFonts w:cs="Segoe UI"/>
                    <w:sz w:val="14"/>
                    <w:szCs w:val="14"/>
                    <w:lang w:eastAsia="it-IT"/>
                  </w:rPr>
                  <w:t>52%</w:t>
                </w:r>
              </w:p>
            </w:tc>
            <w:tc>
              <w:tcPr>
                <w:tcW w:w="251" w:type="pct"/>
                <w:shd w:val="clear" w:color="auto" w:fill="FFFFFF" w:themeFill="background2"/>
                <w:vAlign w:val="center"/>
              </w:tcPr>
              <w:p w14:paraId="1C51AA0F" w14:textId="25E14B15" w:rsidR="00B67630" w:rsidRPr="004E4A85" w:rsidRDefault="00B67630" w:rsidP="00E05C6F">
                <w:pPr>
                  <w:pStyle w:val="TableTextLeft"/>
                  <w:spacing w:before="0" w:after="0"/>
                  <w:jc w:val="center"/>
                  <w:rPr>
                    <w:rFonts w:cs="Segoe UI"/>
                    <w:b/>
                    <w:bCs/>
                    <w:sz w:val="14"/>
                    <w:szCs w:val="14"/>
                    <w:lang w:eastAsia="it-IT"/>
                  </w:rPr>
                </w:pPr>
                <w:r w:rsidRPr="004E4A85">
                  <w:rPr>
                    <w:rFonts w:cs="Segoe UI"/>
                    <w:b/>
                    <w:bCs/>
                    <w:sz w:val="14"/>
                    <w:szCs w:val="14"/>
                    <w:lang w:eastAsia="it-IT"/>
                  </w:rPr>
                  <w:t>13</w:t>
                </w:r>
                <w:r w:rsidR="00404031" w:rsidRPr="004E4A85">
                  <w:rPr>
                    <w:rFonts w:cs="Segoe UI"/>
                    <w:b/>
                    <w:bCs/>
                    <w:sz w:val="14"/>
                    <w:szCs w:val="14"/>
                    <w:lang w:eastAsia="it-IT"/>
                  </w:rPr>
                  <w:t>.</w:t>
                </w:r>
                <w:r w:rsidRPr="004E4A85">
                  <w:rPr>
                    <w:rFonts w:cs="Segoe UI"/>
                    <w:b/>
                    <w:bCs/>
                    <w:sz w:val="14"/>
                    <w:szCs w:val="14"/>
                    <w:lang w:eastAsia="it-IT"/>
                  </w:rPr>
                  <w:t>74%</w:t>
                </w:r>
              </w:p>
            </w:tc>
            <w:tc>
              <w:tcPr>
                <w:tcW w:w="263" w:type="pct"/>
                <w:vMerge/>
                <w:shd w:val="clear" w:color="auto" w:fill="FFFFFF" w:themeFill="background2"/>
                <w:vAlign w:val="center"/>
              </w:tcPr>
              <w:p w14:paraId="7E34B52D" w14:textId="77777777" w:rsidR="00B67630" w:rsidRPr="004E4A85" w:rsidRDefault="00B67630" w:rsidP="00E05C6F">
                <w:pPr>
                  <w:pStyle w:val="TableTextLeft"/>
                  <w:spacing w:before="0" w:after="0"/>
                  <w:jc w:val="center"/>
                  <w:rPr>
                    <w:rFonts w:cs="Segoe UI"/>
                    <w:b/>
                    <w:bCs/>
                    <w:sz w:val="14"/>
                    <w:szCs w:val="14"/>
                    <w:lang w:eastAsia="it-IT"/>
                  </w:rPr>
                </w:pPr>
              </w:p>
            </w:tc>
          </w:tr>
          <w:tr w:rsidR="00992F35" w:rsidRPr="004E4A85" w14:paraId="747A78E5" w14:textId="59B3BAFF" w:rsidTr="00103A4B">
            <w:trPr>
              <w:cantSplit/>
              <w:trHeight w:val="397"/>
              <w:jc w:val="center"/>
            </w:trPr>
            <w:tc>
              <w:tcPr>
                <w:tcW w:w="251" w:type="pct"/>
                <w:vMerge/>
                <w:shd w:val="clear" w:color="auto" w:fill="FFFFFF" w:themeFill="background2"/>
                <w:vAlign w:val="center"/>
              </w:tcPr>
              <w:p w14:paraId="58C7C975" w14:textId="77777777" w:rsidR="00B67630" w:rsidRPr="004E4A85" w:rsidRDefault="00B67630" w:rsidP="00E05C6F">
                <w:pPr>
                  <w:pStyle w:val="TableTextLeft"/>
                  <w:spacing w:before="0" w:after="0"/>
                  <w:jc w:val="center"/>
                  <w:rPr>
                    <w:rFonts w:cs="Segoe UI"/>
                    <w:b/>
                    <w:bCs/>
                    <w:sz w:val="14"/>
                    <w:szCs w:val="14"/>
                    <w:lang w:eastAsia="it-IT"/>
                  </w:rPr>
                </w:pPr>
              </w:p>
            </w:tc>
            <w:tc>
              <w:tcPr>
                <w:tcW w:w="325" w:type="pct"/>
                <w:shd w:val="clear" w:color="auto" w:fill="FFFFFF" w:themeFill="background2"/>
                <w:tcMar>
                  <w:top w:w="60" w:type="dxa"/>
                  <w:left w:w="114" w:type="dxa"/>
                  <w:bottom w:w="60" w:type="dxa"/>
                  <w:right w:w="114" w:type="dxa"/>
                </w:tcMar>
                <w:vAlign w:val="center"/>
              </w:tcPr>
              <w:p w14:paraId="064CE134" w14:textId="7F0AB4D2" w:rsidR="00B67630" w:rsidRPr="004E4A85" w:rsidRDefault="00B67630" w:rsidP="00E05C6F">
                <w:pPr>
                  <w:pStyle w:val="TableTextLeft"/>
                  <w:spacing w:before="0" w:after="0"/>
                  <w:jc w:val="center"/>
                  <w:rPr>
                    <w:rFonts w:cs="Segoe UI"/>
                    <w:b/>
                    <w:bCs/>
                    <w:sz w:val="14"/>
                    <w:szCs w:val="14"/>
                    <w:lang w:eastAsia="it-IT"/>
                  </w:rPr>
                </w:pPr>
                <w:r w:rsidRPr="004E4A85">
                  <w:rPr>
                    <w:rFonts w:cs="Segoe UI"/>
                    <w:b/>
                    <w:bCs/>
                    <w:sz w:val="14"/>
                    <w:szCs w:val="14"/>
                    <w:lang w:eastAsia="it-IT"/>
                  </w:rPr>
                  <w:t>C2.1</w:t>
                </w:r>
              </w:p>
            </w:tc>
            <w:tc>
              <w:tcPr>
                <w:tcW w:w="324" w:type="pct"/>
                <w:shd w:val="clear" w:color="auto" w:fill="FFFFFF" w:themeFill="background2"/>
                <w:tcMar>
                  <w:top w:w="60" w:type="dxa"/>
                  <w:left w:w="114" w:type="dxa"/>
                  <w:bottom w:w="60" w:type="dxa"/>
                  <w:right w:w="114" w:type="dxa"/>
                </w:tcMar>
                <w:vAlign w:val="center"/>
              </w:tcPr>
              <w:p w14:paraId="4E682B2E" w14:textId="525129B6"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61</w:t>
                </w:r>
                <w:r w:rsidR="00404031" w:rsidRPr="004E4A85">
                  <w:rPr>
                    <w:rFonts w:cs="Segoe UI"/>
                    <w:sz w:val="14"/>
                    <w:szCs w:val="14"/>
                    <w:lang w:eastAsia="it-IT"/>
                  </w:rPr>
                  <w:t>.</w:t>
                </w:r>
                <w:r w:rsidRPr="004E4A85">
                  <w:rPr>
                    <w:rFonts w:cs="Segoe UI"/>
                    <w:sz w:val="14"/>
                    <w:szCs w:val="14"/>
                    <w:lang w:eastAsia="it-IT"/>
                  </w:rPr>
                  <w:t>31%</w:t>
                </w:r>
              </w:p>
            </w:tc>
            <w:tc>
              <w:tcPr>
                <w:tcW w:w="320" w:type="pct"/>
                <w:shd w:val="clear" w:color="auto" w:fill="FFFFFF" w:themeFill="background2"/>
                <w:tcMar>
                  <w:top w:w="60" w:type="dxa"/>
                  <w:left w:w="114" w:type="dxa"/>
                  <w:bottom w:w="60" w:type="dxa"/>
                  <w:right w:w="114" w:type="dxa"/>
                </w:tcMar>
                <w:vAlign w:val="center"/>
              </w:tcPr>
              <w:p w14:paraId="0D4D72C2" w14:textId="12964E95"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53</w:t>
                </w:r>
                <w:r w:rsidR="00404031" w:rsidRPr="004E4A85">
                  <w:rPr>
                    <w:rFonts w:cs="Segoe UI"/>
                    <w:sz w:val="14"/>
                    <w:szCs w:val="14"/>
                    <w:lang w:eastAsia="it-IT"/>
                  </w:rPr>
                  <w:t>.</w:t>
                </w:r>
                <w:r w:rsidRPr="004E4A85">
                  <w:rPr>
                    <w:rFonts w:cs="Segoe UI"/>
                    <w:sz w:val="14"/>
                    <w:szCs w:val="14"/>
                    <w:lang w:eastAsia="it-IT"/>
                  </w:rPr>
                  <w:t>79%</w:t>
                </w:r>
              </w:p>
            </w:tc>
            <w:tc>
              <w:tcPr>
                <w:tcW w:w="252" w:type="pct"/>
                <w:shd w:val="clear" w:color="auto" w:fill="FFFFFF" w:themeFill="background2"/>
                <w:vAlign w:val="center"/>
              </w:tcPr>
              <w:p w14:paraId="6F38374B" w14:textId="6D1BE27C"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45</w:t>
                </w:r>
                <w:r w:rsidR="00404031" w:rsidRPr="004E4A85">
                  <w:rPr>
                    <w:rFonts w:cs="Segoe UI"/>
                    <w:sz w:val="14"/>
                    <w:szCs w:val="14"/>
                    <w:lang w:eastAsia="it-IT"/>
                  </w:rPr>
                  <w:t>.</w:t>
                </w:r>
                <w:r w:rsidRPr="004E4A85">
                  <w:rPr>
                    <w:rFonts w:cs="Segoe UI"/>
                    <w:sz w:val="14"/>
                    <w:szCs w:val="14"/>
                    <w:lang w:eastAsia="it-IT"/>
                  </w:rPr>
                  <w:t>26%</w:t>
                </w:r>
              </w:p>
            </w:tc>
            <w:tc>
              <w:tcPr>
                <w:tcW w:w="251" w:type="pct"/>
                <w:shd w:val="clear" w:color="auto" w:fill="FFFFFF" w:themeFill="background2"/>
                <w:vAlign w:val="center"/>
              </w:tcPr>
              <w:p w14:paraId="5AAE28A3" w14:textId="0246F4A1"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50</w:t>
                </w:r>
                <w:r w:rsidR="00404031" w:rsidRPr="004E4A85">
                  <w:rPr>
                    <w:rFonts w:cs="Segoe UI"/>
                    <w:sz w:val="14"/>
                    <w:szCs w:val="14"/>
                    <w:lang w:eastAsia="it-IT"/>
                  </w:rPr>
                  <w:t>.</w:t>
                </w:r>
                <w:r w:rsidRPr="004E4A85">
                  <w:rPr>
                    <w:rFonts w:cs="Segoe UI"/>
                    <w:sz w:val="14"/>
                    <w:szCs w:val="14"/>
                    <w:lang w:eastAsia="it-IT"/>
                  </w:rPr>
                  <w:t>58%</w:t>
                </w:r>
              </w:p>
            </w:tc>
            <w:tc>
              <w:tcPr>
                <w:tcW w:w="251" w:type="pct"/>
                <w:gridSpan w:val="2"/>
                <w:shd w:val="clear" w:color="auto" w:fill="FFFFFF" w:themeFill="background2"/>
                <w:vAlign w:val="center"/>
              </w:tcPr>
              <w:p w14:paraId="6659E0BC" w14:textId="23E6D120"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59</w:t>
                </w:r>
                <w:r w:rsidR="00404031" w:rsidRPr="004E4A85">
                  <w:rPr>
                    <w:rFonts w:cs="Segoe UI"/>
                    <w:sz w:val="14"/>
                    <w:szCs w:val="14"/>
                    <w:lang w:eastAsia="it-IT"/>
                  </w:rPr>
                  <w:t>.</w:t>
                </w:r>
                <w:r w:rsidRPr="004E4A85">
                  <w:rPr>
                    <w:rFonts w:cs="Segoe UI"/>
                    <w:sz w:val="14"/>
                    <w:szCs w:val="14"/>
                    <w:lang w:eastAsia="it-IT"/>
                  </w:rPr>
                  <w:t>27%</w:t>
                </w:r>
              </w:p>
            </w:tc>
            <w:tc>
              <w:tcPr>
                <w:tcW w:w="251" w:type="pct"/>
                <w:shd w:val="clear" w:color="auto" w:fill="FFFFFF" w:themeFill="background2"/>
                <w:vAlign w:val="center"/>
              </w:tcPr>
              <w:p w14:paraId="210F7F3D" w14:textId="1533C06D"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56</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6A91130F" w14:textId="5DA17797"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43</w:t>
                </w:r>
                <w:r w:rsidR="00404031" w:rsidRPr="004E4A85">
                  <w:rPr>
                    <w:rFonts w:cs="Segoe UI"/>
                    <w:sz w:val="14"/>
                    <w:szCs w:val="14"/>
                    <w:lang w:eastAsia="it-IT"/>
                  </w:rPr>
                  <w:t>.</w:t>
                </w:r>
                <w:r w:rsidRPr="004E4A85">
                  <w:rPr>
                    <w:rFonts w:cs="Segoe UI"/>
                    <w:sz w:val="14"/>
                    <w:szCs w:val="14"/>
                    <w:lang w:eastAsia="it-IT"/>
                  </w:rPr>
                  <w:t>83%</w:t>
                </w:r>
              </w:p>
            </w:tc>
            <w:tc>
              <w:tcPr>
                <w:tcW w:w="252" w:type="pct"/>
                <w:shd w:val="clear" w:color="auto" w:fill="FFFFFF" w:themeFill="background2"/>
                <w:vAlign w:val="center"/>
              </w:tcPr>
              <w:p w14:paraId="5A9526BA" w14:textId="40829466"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43</w:t>
                </w:r>
                <w:r w:rsidR="00404031" w:rsidRPr="004E4A85">
                  <w:rPr>
                    <w:rFonts w:cs="Segoe UI"/>
                    <w:sz w:val="14"/>
                    <w:szCs w:val="14"/>
                    <w:lang w:eastAsia="it-IT"/>
                  </w:rPr>
                  <w:t>.</w:t>
                </w:r>
                <w:r w:rsidRPr="004E4A85">
                  <w:rPr>
                    <w:rFonts w:cs="Segoe UI"/>
                    <w:sz w:val="14"/>
                    <w:szCs w:val="14"/>
                    <w:lang w:eastAsia="it-IT"/>
                  </w:rPr>
                  <w:t>18%</w:t>
                </w:r>
              </w:p>
            </w:tc>
            <w:tc>
              <w:tcPr>
                <w:tcW w:w="251" w:type="pct"/>
                <w:shd w:val="clear" w:color="auto" w:fill="FFFFFF" w:themeFill="background2"/>
                <w:vAlign w:val="center"/>
              </w:tcPr>
              <w:p w14:paraId="26FB8636" w14:textId="1D1ADB66"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35</w:t>
                </w:r>
                <w:r w:rsidR="00404031" w:rsidRPr="004E4A85">
                  <w:rPr>
                    <w:rFonts w:cs="Segoe UI"/>
                    <w:sz w:val="14"/>
                    <w:szCs w:val="14"/>
                    <w:lang w:eastAsia="it-IT"/>
                  </w:rPr>
                  <w:t>.</w:t>
                </w:r>
                <w:r w:rsidRPr="004E4A85">
                  <w:rPr>
                    <w:rFonts w:cs="Segoe UI"/>
                    <w:sz w:val="14"/>
                    <w:szCs w:val="14"/>
                    <w:lang w:eastAsia="it-IT"/>
                  </w:rPr>
                  <w:t>11%</w:t>
                </w:r>
              </w:p>
            </w:tc>
            <w:tc>
              <w:tcPr>
                <w:tcW w:w="251" w:type="pct"/>
                <w:shd w:val="clear" w:color="auto" w:fill="FFFFFF" w:themeFill="background2"/>
                <w:vAlign w:val="center"/>
              </w:tcPr>
              <w:p w14:paraId="1A589AE3" w14:textId="2F5EA7BC"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39</w:t>
                </w:r>
                <w:r w:rsidR="00404031" w:rsidRPr="004E4A85">
                  <w:rPr>
                    <w:rFonts w:cs="Segoe UI"/>
                    <w:sz w:val="14"/>
                    <w:szCs w:val="14"/>
                    <w:lang w:eastAsia="it-IT"/>
                  </w:rPr>
                  <w:t>.</w:t>
                </w:r>
                <w:r w:rsidRPr="004E4A85">
                  <w:rPr>
                    <w:rFonts w:cs="Segoe UI"/>
                    <w:sz w:val="14"/>
                    <w:szCs w:val="14"/>
                    <w:lang w:eastAsia="it-IT"/>
                  </w:rPr>
                  <w:t>59%</w:t>
                </w:r>
              </w:p>
            </w:tc>
            <w:tc>
              <w:tcPr>
                <w:tcW w:w="251" w:type="pct"/>
                <w:gridSpan w:val="2"/>
                <w:shd w:val="clear" w:color="auto" w:fill="FFFFFF" w:themeFill="background2"/>
                <w:vAlign w:val="center"/>
              </w:tcPr>
              <w:p w14:paraId="543AC510" w14:textId="37FE457B"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36</w:t>
                </w:r>
                <w:r w:rsidR="00404031" w:rsidRPr="004E4A85">
                  <w:rPr>
                    <w:rFonts w:cs="Segoe UI"/>
                    <w:sz w:val="14"/>
                    <w:szCs w:val="14"/>
                    <w:lang w:eastAsia="it-IT"/>
                  </w:rPr>
                  <w:t>.</w:t>
                </w:r>
                <w:r w:rsidRPr="004E4A85">
                  <w:rPr>
                    <w:rFonts w:cs="Segoe UI"/>
                    <w:sz w:val="14"/>
                    <w:szCs w:val="14"/>
                    <w:lang w:eastAsia="it-IT"/>
                  </w:rPr>
                  <w:t>19%</w:t>
                </w:r>
              </w:p>
            </w:tc>
            <w:tc>
              <w:tcPr>
                <w:tcW w:w="251" w:type="pct"/>
                <w:shd w:val="clear" w:color="auto" w:fill="FFFFFF" w:themeFill="background2"/>
                <w:vAlign w:val="center"/>
              </w:tcPr>
              <w:p w14:paraId="6DA6E567" w14:textId="40ACEA6D"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35</w:t>
                </w:r>
                <w:r w:rsidR="00404031" w:rsidRPr="004E4A85">
                  <w:rPr>
                    <w:rFonts w:cs="Segoe UI"/>
                    <w:sz w:val="14"/>
                    <w:szCs w:val="14"/>
                    <w:lang w:eastAsia="it-IT"/>
                  </w:rPr>
                  <w:t>.</w:t>
                </w:r>
                <w:r w:rsidRPr="004E4A85">
                  <w:rPr>
                    <w:rFonts w:cs="Segoe UI"/>
                    <w:sz w:val="14"/>
                    <w:szCs w:val="14"/>
                    <w:lang w:eastAsia="it-IT"/>
                  </w:rPr>
                  <w:t>62%</w:t>
                </w:r>
              </w:p>
            </w:tc>
            <w:tc>
              <w:tcPr>
                <w:tcW w:w="252" w:type="pct"/>
                <w:shd w:val="clear" w:color="auto" w:fill="FFFFFF" w:themeFill="background2"/>
                <w:vAlign w:val="center"/>
              </w:tcPr>
              <w:p w14:paraId="36BBA484" w14:textId="50BBA169"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35</w:t>
                </w:r>
                <w:r w:rsidR="00404031" w:rsidRPr="004E4A85">
                  <w:rPr>
                    <w:rFonts w:cs="Segoe UI"/>
                    <w:sz w:val="14"/>
                    <w:szCs w:val="14"/>
                    <w:lang w:eastAsia="it-IT"/>
                  </w:rPr>
                  <w:t>.</w:t>
                </w:r>
                <w:r w:rsidRPr="004E4A85">
                  <w:rPr>
                    <w:rFonts w:cs="Segoe UI"/>
                    <w:sz w:val="14"/>
                    <w:szCs w:val="14"/>
                    <w:lang w:eastAsia="it-IT"/>
                  </w:rPr>
                  <w:t>00%</w:t>
                </w:r>
              </w:p>
            </w:tc>
            <w:tc>
              <w:tcPr>
                <w:tcW w:w="251" w:type="pct"/>
                <w:shd w:val="clear" w:color="auto" w:fill="FFFFFF" w:themeFill="background2"/>
                <w:vAlign w:val="center"/>
              </w:tcPr>
              <w:p w14:paraId="57A33EC8" w14:textId="3B261C1E"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14</w:t>
                </w:r>
                <w:r w:rsidR="00404031" w:rsidRPr="004E4A85">
                  <w:rPr>
                    <w:rFonts w:cs="Segoe UI"/>
                    <w:sz w:val="14"/>
                    <w:szCs w:val="14"/>
                    <w:lang w:eastAsia="it-IT"/>
                  </w:rPr>
                  <w:t>.</w:t>
                </w:r>
                <w:r w:rsidRPr="004E4A85">
                  <w:rPr>
                    <w:rFonts w:cs="Segoe UI"/>
                    <w:sz w:val="14"/>
                    <w:szCs w:val="14"/>
                    <w:lang w:eastAsia="it-IT"/>
                  </w:rPr>
                  <w:t>37%</w:t>
                </w:r>
              </w:p>
            </w:tc>
            <w:tc>
              <w:tcPr>
                <w:tcW w:w="251" w:type="pct"/>
                <w:shd w:val="clear" w:color="auto" w:fill="FFFFFF" w:themeFill="background2"/>
                <w:vAlign w:val="center"/>
              </w:tcPr>
              <w:p w14:paraId="2CAC6EE6" w14:textId="77B9FF63" w:rsidR="00B67630" w:rsidRPr="004E4A85" w:rsidRDefault="00B67630" w:rsidP="00E05C6F">
                <w:pPr>
                  <w:pStyle w:val="TableTextLeft"/>
                  <w:spacing w:before="0" w:after="0"/>
                  <w:jc w:val="center"/>
                  <w:rPr>
                    <w:rFonts w:cs="Segoe UI"/>
                    <w:sz w:val="14"/>
                    <w:szCs w:val="14"/>
                    <w:lang w:eastAsia="it-IT"/>
                  </w:rPr>
                </w:pPr>
                <w:r w:rsidRPr="004E4A85">
                  <w:rPr>
                    <w:rFonts w:cs="Segoe UI"/>
                    <w:sz w:val="14"/>
                    <w:szCs w:val="14"/>
                    <w:lang w:eastAsia="it-IT"/>
                  </w:rPr>
                  <w:t>26</w:t>
                </w:r>
                <w:r w:rsidR="00404031" w:rsidRPr="004E4A85">
                  <w:rPr>
                    <w:rFonts w:cs="Segoe UI"/>
                    <w:sz w:val="14"/>
                    <w:szCs w:val="14"/>
                    <w:lang w:eastAsia="it-IT"/>
                  </w:rPr>
                  <w:t>.</w:t>
                </w:r>
                <w:r w:rsidRPr="004E4A85">
                  <w:rPr>
                    <w:rFonts w:cs="Segoe UI"/>
                    <w:sz w:val="14"/>
                    <w:szCs w:val="14"/>
                    <w:lang w:eastAsia="it-IT"/>
                  </w:rPr>
                  <w:t>92%</w:t>
                </w:r>
              </w:p>
            </w:tc>
            <w:tc>
              <w:tcPr>
                <w:tcW w:w="251" w:type="pct"/>
                <w:shd w:val="clear" w:color="auto" w:fill="FFFFFF" w:themeFill="background2"/>
                <w:vAlign w:val="center"/>
              </w:tcPr>
              <w:p w14:paraId="6E274B23" w14:textId="25F8DE22" w:rsidR="00B67630" w:rsidRPr="004E4A85" w:rsidRDefault="00B67630" w:rsidP="00E05C6F">
                <w:pPr>
                  <w:pStyle w:val="TableTextLeft"/>
                  <w:spacing w:before="0" w:after="0"/>
                  <w:jc w:val="center"/>
                  <w:rPr>
                    <w:rFonts w:cs="Segoe UI"/>
                    <w:b/>
                    <w:bCs/>
                    <w:sz w:val="14"/>
                    <w:szCs w:val="14"/>
                    <w:lang w:eastAsia="it-IT"/>
                  </w:rPr>
                </w:pPr>
                <w:r w:rsidRPr="004E4A85">
                  <w:rPr>
                    <w:rFonts w:cs="Segoe UI"/>
                    <w:b/>
                    <w:bCs/>
                    <w:sz w:val="14"/>
                    <w:szCs w:val="14"/>
                    <w:lang w:eastAsia="it-IT"/>
                  </w:rPr>
                  <w:t>50</w:t>
                </w:r>
                <w:r w:rsidR="00404031" w:rsidRPr="004E4A85">
                  <w:rPr>
                    <w:rFonts w:cs="Segoe UI"/>
                    <w:b/>
                    <w:bCs/>
                    <w:sz w:val="14"/>
                    <w:szCs w:val="14"/>
                    <w:lang w:eastAsia="it-IT"/>
                  </w:rPr>
                  <w:t>.</w:t>
                </w:r>
                <w:r w:rsidRPr="004E4A85">
                  <w:rPr>
                    <w:rFonts w:cs="Segoe UI"/>
                    <w:b/>
                    <w:bCs/>
                    <w:sz w:val="14"/>
                    <w:szCs w:val="14"/>
                    <w:lang w:eastAsia="it-IT"/>
                  </w:rPr>
                  <w:t>19%</w:t>
                </w:r>
              </w:p>
            </w:tc>
            <w:tc>
              <w:tcPr>
                <w:tcW w:w="263" w:type="pct"/>
                <w:vMerge/>
                <w:shd w:val="clear" w:color="auto" w:fill="FFFFFF" w:themeFill="background2"/>
                <w:vAlign w:val="center"/>
              </w:tcPr>
              <w:p w14:paraId="5F19BFD9" w14:textId="77777777" w:rsidR="00B67630" w:rsidRPr="004E4A85" w:rsidRDefault="00B67630" w:rsidP="00E05C6F">
                <w:pPr>
                  <w:pStyle w:val="TableTextLeft"/>
                  <w:spacing w:before="0" w:after="0"/>
                  <w:jc w:val="center"/>
                  <w:rPr>
                    <w:rFonts w:cs="Segoe UI"/>
                    <w:b/>
                    <w:bCs/>
                    <w:sz w:val="14"/>
                    <w:szCs w:val="14"/>
                    <w:lang w:eastAsia="it-IT"/>
                  </w:rPr>
                </w:pPr>
              </w:p>
            </w:tc>
          </w:tr>
          <w:tr w:rsidR="00992F35" w:rsidRPr="004E4A85" w14:paraId="563A859F" w14:textId="6805878A" w:rsidTr="00103A4B">
            <w:trPr>
              <w:cantSplit/>
              <w:trHeight w:val="397"/>
              <w:jc w:val="center"/>
            </w:trPr>
            <w:tc>
              <w:tcPr>
                <w:tcW w:w="251" w:type="pct"/>
                <w:shd w:val="clear" w:color="auto" w:fill="FFFFFF" w:themeFill="background2"/>
                <w:vAlign w:val="center"/>
              </w:tcPr>
              <w:p w14:paraId="13ACA40C" w14:textId="77777777" w:rsidR="00E7168A" w:rsidRPr="004E4A85" w:rsidRDefault="00E7168A" w:rsidP="00E05C6F">
                <w:pPr>
                  <w:pStyle w:val="TableTextLeft"/>
                  <w:spacing w:before="0" w:after="0"/>
                  <w:jc w:val="center"/>
                  <w:rPr>
                    <w:rFonts w:cs="Segoe UI"/>
                    <w:b/>
                    <w:bCs/>
                    <w:sz w:val="14"/>
                    <w:szCs w:val="14"/>
                    <w:lang w:eastAsia="it-IT"/>
                  </w:rPr>
                </w:pPr>
              </w:p>
            </w:tc>
            <w:tc>
              <w:tcPr>
                <w:tcW w:w="325" w:type="pct"/>
                <w:shd w:val="clear" w:color="auto" w:fill="FFFFFF" w:themeFill="background2"/>
                <w:tcMar>
                  <w:top w:w="60" w:type="dxa"/>
                  <w:left w:w="114" w:type="dxa"/>
                  <w:bottom w:w="60" w:type="dxa"/>
                  <w:right w:w="114" w:type="dxa"/>
                </w:tcMar>
                <w:vAlign w:val="center"/>
              </w:tcPr>
              <w:p w14:paraId="197CDAB6" w14:textId="02BFD074" w:rsidR="00E7168A" w:rsidRPr="004E4A85" w:rsidRDefault="00E7168A" w:rsidP="00E05C6F">
                <w:pPr>
                  <w:pStyle w:val="TableTextLeft"/>
                  <w:spacing w:before="0" w:after="0"/>
                  <w:jc w:val="center"/>
                  <w:rPr>
                    <w:rFonts w:cs="Segoe UI"/>
                    <w:b/>
                    <w:bCs/>
                    <w:sz w:val="14"/>
                    <w:szCs w:val="14"/>
                    <w:lang w:eastAsia="it-IT"/>
                  </w:rPr>
                </w:pPr>
                <w:r w:rsidRPr="004E4A85">
                  <w:rPr>
                    <w:rFonts w:cs="Segoe UI"/>
                    <w:b/>
                    <w:bCs/>
                    <w:sz w:val="14"/>
                    <w:szCs w:val="14"/>
                    <w:lang w:eastAsia="it-IT"/>
                  </w:rPr>
                  <w:t>Total</w:t>
                </w:r>
              </w:p>
            </w:tc>
            <w:tc>
              <w:tcPr>
                <w:tcW w:w="324" w:type="pct"/>
                <w:shd w:val="clear" w:color="auto" w:fill="FFFFFF" w:themeFill="background2"/>
                <w:tcMar>
                  <w:top w:w="60" w:type="dxa"/>
                  <w:left w:w="114" w:type="dxa"/>
                  <w:bottom w:w="60" w:type="dxa"/>
                  <w:right w:w="114" w:type="dxa"/>
                </w:tcMar>
                <w:vAlign w:val="center"/>
              </w:tcPr>
              <w:p w14:paraId="65DF32C9" w14:textId="4628201F" w:rsidR="00E7168A" w:rsidRPr="004E4A85" w:rsidRDefault="00E7168A" w:rsidP="00E05C6F">
                <w:pPr>
                  <w:pStyle w:val="TableTextLeft"/>
                  <w:spacing w:before="0" w:after="0"/>
                  <w:jc w:val="center"/>
                  <w:rPr>
                    <w:rFonts w:cs="Segoe UI"/>
                    <w:b/>
                    <w:bCs/>
                    <w:sz w:val="14"/>
                    <w:szCs w:val="14"/>
                    <w:lang w:eastAsia="it-IT"/>
                  </w:rPr>
                </w:pPr>
                <w:r w:rsidRPr="004E4A85">
                  <w:rPr>
                    <w:rFonts w:cs="Segoe UI"/>
                    <w:b/>
                    <w:bCs/>
                    <w:sz w:val="14"/>
                    <w:szCs w:val="14"/>
                    <w:lang w:eastAsia="it-IT"/>
                  </w:rPr>
                  <w:t>5</w:t>
                </w:r>
                <w:r w:rsidR="00404031" w:rsidRPr="004E4A85">
                  <w:rPr>
                    <w:rFonts w:cs="Segoe UI"/>
                    <w:b/>
                    <w:bCs/>
                    <w:sz w:val="14"/>
                    <w:szCs w:val="14"/>
                    <w:lang w:eastAsia="it-IT"/>
                  </w:rPr>
                  <w:t>.</w:t>
                </w:r>
                <w:r w:rsidRPr="004E4A85">
                  <w:rPr>
                    <w:rFonts w:cs="Segoe UI"/>
                    <w:b/>
                    <w:bCs/>
                    <w:sz w:val="14"/>
                    <w:szCs w:val="14"/>
                    <w:lang w:eastAsia="it-IT"/>
                  </w:rPr>
                  <w:t>40%</w:t>
                </w:r>
              </w:p>
            </w:tc>
            <w:tc>
              <w:tcPr>
                <w:tcW w:w="320" w:type="pct"/>
                <w:shd w:val="clear" w:color="auto" w:fill="FFFFFF" w:themeFill="background2"/>
                <w:tcMar>
                  <w:top w:w="60" w:type="dxa"/>
                  <w:left w:w="114" w:type="dxa"/>
                  <w:bottom w:w="60" w:type="dxa"/>
                  <w:right w:w="114" w:type="dxa"/>
                </w:tcMar>
                <w:vAlign w:val="center"/>
              </w:tcPr>
              <w:p w14:paraId="3EAC2B7A" w14:textId="20F93C81" w:rsidR="00E7168A" w:rsidRPr="004E4A85" w:rsidRDefault="00E7168A" w:rsidP="00E05C6F">
                <w:pPr>
                  <w:pStyle w:val="TableTextLeft"/>
                  <w:spacing w:before="0" w:after="0"/>
                  <w:jc w:val="center"/>
                  <w:rPr>
                    <w:rFonts w:cs="Segoe UI"/>
                    <w:b/>
                    <w:bCs/>
                    <w:sz w:val="14"/>
                    <w:szCs w:val="14"/>
                    <w:lang w:eastAsia="it-IT"/>
                  </w:rPr>
                </w:pPr>
                <w:r w:rsidRPr="004E4A85">
                  <w:rPr>
                    <w:rFonts w:cs="Segoe UI"/>
                    <w:b/>
                    <w:bCs/>
                    <w:sz w:val="14"/>
                    <w:szCs w:val="14"/>
                    <w:lang w:eastAsia="it-IT"/>
                  </w:rPr>
                  <w:t>4</w:t>
                </w:r>
                <w:r w:rsidR="00404031" w:rsidRPr="004E4A85">
                  <w:rPr>
                    <w:rFonts w:cs="Segoe UI"/>
                    <w:b/>
                    <w:bCs/>
                    <w:sz w:val="14"/>
                    <w:szCs w:val="14"/>
                    <w:lang w:eastAsia="it-IT"/>
                  </w:rPr>
                  <w:t>.</w:t>
                </w:r>
                <w:r w:rsidRPr="004E4A85">
                  <w:rPr>
                    <w:rFonts w:cs="Segoe UI"/>
                    <w:b/>
                    <w:bCs/>
                    <w:sz w:val="14"/>
                    <w:szCs w:val="14"/>
                    <w:lang w:eastAsia="it-IT"/>
                  </w:rPr>
                  <w:t>42%</w:t>
                </w:r>
              </w:p>
            </w:tc>
            <w:tc>
              <w:tcPr>
                <w:tcW w:w="252" w:type="pct"/>
                <w:shd w:val="clear" w:color="auto" w:fill="FFFFFF" w:themeFill="background2"/>
                <w:vAlign w:val="center"/>
              </w:tcPr>
              <w:p w14:paraId="6E0CB4B8" w14:textId="6224E58A" w:rsidR="00E7168A" w:rsidRPr="004E4A85" w:rsidRDefault="00E7168A" w:rsidP="00E05C6F">
                <w:pPr>
                  <w:pStyle w:val="TableTextLeft"/>
                  <w:spacing w:before="0" w:after="0"/>
                  <w:jc w:val="center"/>
                  <w:rPr>
                    <w:rFonts w:cs="Segoe UI"/>
                    <w:b/>
                    <w:bCs/>
                    <w:sz w:val="14"/>
                    <w:szCs w:val="14"/>
                    <w:lang w:eastAsia="it-IT"/>
                  </w:rPr>
                </w:pPr>
                <w:r w:rsidRPr="004E4A85">
                  <w:rPr>
                    <w:rFonts w:cs="Segoe UI"/>
                    <w:b/>
                    <w:bCs/>
                    <w:sz w:val="14"/>
                    <w:szCs w:val="14"/>
                    <w:lang w:eastAsia="it-IT"/>
                  </w:rPr>
                  <w:t>4</w:t>
                </w:r>
                <w:r w:rsidR="00404031" w:rsidRPr="004E4A85">
                  <w:rPr>
                    <w:rFonts w:cs="Segoe UI"/>
                    <w:b/>
                    <w:bCs/>
                    <w:sz w:val="14"/>
                    <w:szCs w:val="14"/>
                    <w:lang w:eastAsia="it-IT"/>
                  </w:rPr>
                  <w:t>.</w:t>
                </w:r>
                <w:r w:rsidRPr="004E4A85">
                  <w:rPr>
                    <w:rFonts w:cs="Segoe UI"/>
                    <w:b/>
                    <w:bCs/>
                    <w:sz w:val="14"/>
                    <w:szCs w:val="14"/>
                    <w:lang w:eastAsia="it-IT"/>
                  </w:rPr>
                  <w:t>26%</w:t>
                </w:r>
              </w:p>
            </w:tc>
            <w:tc>
              <w:tcPr>
                <w:tcW w:w="251" w:type="pct"/>
                <w:shd w:val="clear" w:color="auto" w:fill="FFFFFF" w:themeFill="background2"/>
                <w:vAlign w:val="center"/>
              </w:tcPr>
              <w:p w14:paraId="787DE908" w14:textId="1AF6B1A7" w:rsidR="00E7168A" w:rsidRPr="004E4A85" w:rsidRDefault="00E7168A" w:rsidP="00E05C6F">
                <w:pPr>
                  <w:pStyle w:val="TableTextLeft"/>
                  <w:spacing w:before="0" w:after="0"/>
                  <w:jc w:val="center"/>
                  <w:rPr>
                    <w:rFonts w:cs="Segoe UI"/>
                    <w:b/>
                    <w:bCs/>
                    <w:sz w:val="14"/>
                    <w:szCs w:val="14"/>
                    <w:lang w:eastAsia="it-IT"/>
                  </w:rPr>
                </w:pPr>
                <w:r w:rsidRPr="004E4A85">
                  <w:rPr>
                    <w:rFonts w:cs="Segoe UI"/>
                    <w:b/>
                    <w:bCs/>
                    <w:sz w:val="14"/>
                    <w:szCs w:val="14"/>
                    <w:lang w:eastAsia="it-IT"/>
                  </w:rPr>
                  <w:t>4</w:t>
                </w:r>
                <w:r w:rsidR="00404031" w:rsidRPr="004E4A85">
                  <w:rPr>
                    <w:rFonts w:cs="Segoe UI"/>
                    <w:b/>
                    <w:bCs/>
                    <w:sz w:val="14"/>
                    <w:szCs w:val="14"/>
                    <w:lang w:eastAsia="it-IT"/>
                  </w:rPr>
                  <w:t>.</w:t>
                </w:r>
                <w:r w:rsidRPr="004E4A85">
                  <w:rPr>
                    <w:rFonts w:cs="Segoe UI"/>
                    <w:b/>
                    <w:bCs/>
                    <w:sz w:val="14"/>
                    <w:szCs w:val="14"/>
                    <w:lang w:eastAsia="it-IT"/>
                  </w:rPr>
                  <w:t>26%</w:t>
                </w:r>
              </w:p>
            </w:tc>
            <w:tc>
              <w:tcPr>
                <w:tcW w:w="251" w:type="pct"/>
                <w:gridSpan w:val="2"/>
                <w:shd w:val="clear" w:color="auto" w:fill="FFFFFF" w:themeFill="background2"/>
                <w:vAlign w:val="center"/>
              </w:tcPr>
              <w:p w14:paraId="1161D138" w14:textId="6EDA6FED" w:rsidR="00E7168A" w:rsidRPr="004E4A85" w:rsidRDefault="00E7168A" w:rsidP="00E05C6F">
                <w:pPr>
                  <w:pStyle w:val="TableTextLeft"/>
                  <w:spacing w:before="0" w:after="0"/>
                  <w:jc w:val="center"/>
                  <w:rPr>
                    <w:rFonts w:cs="Segoe UI"/>
                    <w:b/>
                    <w:bCs/>
                    <w:sz w:val="14"/>
                    <w:szCs w:val="14"/>
                    <w:lang w:eastAsia="it-IT"/>
                  </w:rPr>
                </w:pPr>
                <w:r w:rsidRPr="004E4A85">
                  <w:rPr>
                    <w:rFonts w:cs="Segoe UI"/>
                    <w:b/>
                    <w:bCs/>
                    <w:sz w:val="14"/>
                    <w:szCs w:val="14"/>
                    <w:lang w:eastAsia="it-IT"/>
                  </w:rPr>
                  <w:t>3</w:t>
                </w:r>
                <w:r w:rsidR="00404031" w:rsidRPr="004E4A85">
                  <w:rPr>
                    <w:rFonts w:cs="Segoe UI"/>
                    <w:b/>
                    <w:bCs/>
                    <w:sz w:val="14"/>
                    <w:szCs w:val="14"/>
                    <w:lang w:eastAsia="it-IT"/>
                  </w:rPr>
                  <w:t>.</w:t>
                </w:r>
                <w:r w:rsidRPr="004E4A85">
                  <w:rPr>
                    <w:rFonts w:cs="Segoe UI"/>
                    <w:b/>
                    <w:bCs/>
                    <w:sz w:val="14"/>
                    <w:szCs w:val="14"/>
                    <w:lang w:eastAsia="it-IT"/>
                  </w:rPr>
                  <w:t>71%</w:t>
                </w:r>
              </w:p>
            </w:tc>
            <w:tc>
              <w:tcPr>
                <w:tcW w:w="251" w:type="pct"/>
                <w:shd w:val="clear" w:color="auto" w:fill="FFFFFF" w:themeFill="background2"/>
                <w:vAlign w:val="center"/>
              </w:tcPr>
              <w:p w14:paraId="70A407D0" w14:textId="4D31DD3D" w:rsidR="00E7168A" w:rsidRPr="004E4A85" w:rsidRDefault="00E7168A" w:rsidP="00E05C6F">
                <w:pPr>
                  <w:pStyle w:val="TableTextLeft"/>
                  <w:spacing w:before="0" w:after="0"/>
                  <w:jc w:val="center"/>
                  <w:rPr>
                    <w:rFonts w:cs="Segoe UI"/>
                    <w:b/>
                    <w:bCs/>
                    <w:sz w:val="14"/>
                    <w:szCs w:val="14"/>
                    <w:lang w:eastAsia="it-IT"/>
                  </w:rPr>
                </w:pPr>
                <w:r w:rsidRPr="004E4A85">
                  <w:rPr>
                    <w:rFonts w:cs="Segoe UI"/>
                    <w:b/>
                    <w:bCs/>
                    <w:sz w:val="14"/>
                    <w:szCs w:val="14"/>
                    <w:lang w:eastAsia="it-IT"/>
                  </w:rPr>
                  <w:t>3</w:t>
                </w:r>
                <w:r w:rsidR="00404031" w:rsidRPr="004E4A85">
                  <w:rPr>
                    <w:rFonts w:cs="Segoe UI"/>
                    <w:b/>
                    <w:bCs/>
                    <w:sz w:val="14"/>
                    <w:szCs w:val="14"/>
                    <w:lang w:eastAsia="it-IT"/>
                  </w:rPr>
                  <w:t>.</w:t>
                </w:r>
                <w:r w:rsidRPr="004E4A85">
                  <w:rPr>
                    <w:rFonts w:cs="Segoe UI"/>
                    <w:b/>
                    <w:bCs/>
                    <w:sz w:val="14"/>
                    <w:szCs w:val="14"/>
                    <w:lang w:eastAsia="it-IT"/>
                  </w:rPr>
                  <w:t>23%</w:t>
                </w:r>
              </w:p>
            </w:tc>
            <w:tc>
              <w:tcPr>
                <w:tcW w:w="251" w:type="pct"/>
                <w:shd w:val="clear" w:color="auto" w:fill="FFFFFF" w:themeFill="background2"/>
                <w:vAlign w:val="center"/>
              </w:tcPr>
              <w:p w14:paraId="5FCCB8C9" w14:textId="07BC9DC4" w:rsidR="00E7168A" w:rsidRPr="004E4A85" w:rsidRDefault="00E7168A" w:rsidP="00E05C6F">
                <w:pPr>
                  <w:pStyle w:val="TableTextLeft"/>
                  <w:spacing w:before="0" w:after="0"/>
                  <w:jc w:val="center"/>
                  <w:rPr>
                    <w:rFonts w:cs="Segoe UI"/>
                    <w:b/>
                    <w:bCs/>
                    <w:sz w:val="14"/>
                    <w:szCs w:val="14"/>
                    <w:lang w:eastAsia="it-IT"/>
                  </w:rPr>
                </w:pPr>
                <w:r w:rsidRPr="004E4A85">
                  <w:rPr>
                    <w:rFonts w:cs="Segoe UI"/>
                    <w:b/>
                    <w:bCs/>
                    <w:sz w:val="14"/>
                    <w:szCs w:val="14"/>
                    <w:lang w:eastAsia="it-IT"/>
                  </w:rPr>
                  <w:t>3</w:t>
                </w:r>
                <w:r w:rsidR="00404031" w:rsidRPr="004E4A85">
                  <w:rPr>
                    <w:rFonts w:cs="Segoe UI"/>
                    <w:b/>
                    <w:bCs/>
                    <w:sz w:val="14"/>
                    <w:szCs w:val="14"/>
                    <w:lang w:eastAsia="it-IT"/>
                  </w:rPr>
                  <w:t>.</w:t>
                </w:r>
                <w:r w:rsidRPr="004E4A85">
                  <w:rPr>
                    <w:rFonts w:cs="Segoe UI"/>
                    <w:b/>
                    <w:bCs/>
                    <w:sz w:val="14"/>
                    <w:szCs w:val="14"/>
                    <w:lang w:eastAsia="it-IT"/>
                  </w:rPr>
                  <w:t>05%</w:t>
                </w:r>
              </w:p>
            </w:tc>
            <w:tc>
              <w:tcPr>
                <w:tcW w:w="252" w:type="pct"/>
                <w:shd w:val="clear" w:color="auto" w:fill="FFFFFF" w:themeFill="background2"/>
                <w:vAlign w:val="center"/>
              </w:tcPr>
              <w:p w14:paraId="4BD9EB88" w14:textId="2FEA7F10" w:rsidR="00E7168A" w:rsidRPr="004E4A85" w:rsidRDefault="00E7168A" w:rsidP="00E05C6F">
                <w:pPr>
                  <w:pStyle w:val="TableTextLeft"/>
                  <w:spacing w:before="0" w:after="0"/>
                  <w:jc w:val="center"/>
                  <w:rPr>
                    <w:rFonts w:cs="Segoe UI"/>
                    <w:b/>
                    <w:bCs/>
                    <w:sz w:val="14"/>
                    <w:szCs w:val="14"/>
                    <w:lang w:eastAsia="it-IT"/>
                  </w:rPr>
                </w:pPr>
                <w:r w:rsidRPr="004E4A85">
                  <w:rPr>
                    <w:rFonts w:cs="Segoe UI"/>
                    <w:b/>
                    <w:bCs/>
                    <w:sz w:val="14"/>
                    <w:szCs w:val="14"/>
                    <w:lang w:eastAsia="it-IT"/>
                  </w:rPr>
                  <w:t>2</w:t>
                </w:r>
                <w:r w:rsidR="00404031" w:rsidRPr="004E4A85">
                  <w:rPr>
                    <w:rFonts w:cs="Segoe UI"/>
                    <w:b/>
                    <w:bCs/>
                    <w:sz w:val="14"/>
                    <w:szCs w:val="14"/>
                    <w:lang w:eastAsia="it-IT"/>
                  </w:rPr>
                  <w:t>.</w:t>
                </w:r>
                <w:r w:rsidRPr="004E4A85">
                  <w:rPr>
                    <w:rFonts w:cs="Segoe UI"/>
                    <w:b/>
                    <w:bCs/>
                    <w:sz w:val="14"/>
                    <w:szCs w:val="14"/>
                    <w:lang w:eastAsia="it-IT"/>
                  </w:rPr>
                  <w:t>37%</w:t>
                </w:r>
              </w:p>
            </w:tc>
            <w:tc>
              <w:tcPr>
                <w:tcW w:w="251" w:type="pct"/>
                <w:shd w:val="clear" w:color="auto" w:fill="FFFFFF" w:themeFill="background2"/>
                <w:vAlign w:val="center"/>
              </w:tcPr>
              <w:p w14:paraId="022DAB8F" w14:textId="312726A5" w:rsidR="00E7168A" w:rsidRPr="004E4A85" w:rsidRDefault="00E7168A" w:rsidP="00E05C6F">
                <w:pPr>
                  <w:pStyle w:val="TableTextLeft"/>
                  <w:spacing w:before="0" w:after="0"/>
                  <w:jc w:val="center"/>
                  <w:rPr>
                    <w:rFonts w:cs="Segoe UI"/>
                    <w:b/>
                    <w:bCs/>
                    <w:sz w:val="14"/>
                    <w:szCs w:val="14"/>
                    <w:lang w:eastAsia="it-IT"/>
                  </w:rPr>
                </w:pPr>
                <w:r w:rsidRPr="004E4A85">
                  <w:rPr>
                    <w:rFonts w:cs="Segoe UI"/>
                    <w:b/>
                    <w:bCs/>
                    <w:sz w:val="14"/>
                    <w:szCs w:val="14"/>
                    <w:lang w:eastAsia="it-IT"/>
                  </w:rPr>
                  <w:t>1</w:t>
                </w:r>
                <w:r w:rsidR="00404031" w:rsidRPr="004E4A85">
                  <w:rPr>
                    <w:rFonts w:cs="Segoe UI"/>
                    <w:b/>
                    <w:bCs/>
                    <w:sz w:val="14"/>
                    <w:szCs w:val="14"/>
                    <w:lang w:eastAsia="it-IT"/>
                  </w:rPr>
                  <w:t>.</w:t>
                </w:r>
                <w:r w:rsidRPr="004E4A85">
                  <w:rPr>
                    <w:rFonts w:cs="Segoe UI"/>
                    <w:b/>
                    <w:bCs/>
                    <w:sz w:val="14"/>
                    <w:szCs w:val="14"/>
                    <w:lang w:eastAsia="it-IT"/>
                  </w:rPr>
                  <w:t>58%</w:t>
                </w:r>
              </w:p>
            </w:tc>
            <w:tc>
              <w:tcPr>
                <w:tcW w:w="251" w:type="pct"/>
                <w:shd w:val="clear" w:color="auto" w:fill="FFFFFF" w:themeFill="background2"/>
                <w:vAlign w:val="center"/>
              </w:tcPr>
              <w:p w14:paraId="2D1B36B0" w14:textId="63967107" w:rsidR="00E7168A" w:rsidRPr="004E4A85" w:rsidRDefault="00E7168A" w:rsidP="00E05C6F">
                <w:pPr>
                  <w:pStyle w:val="TableTextLeft"/>
                  <w:spacing w:before="0" w:after="0"/>
                  <w:jc w:val="center"/>
                  <w:rPr>
                    <w:rFonts w:cs="Segoe UI"/>
                    <w:b/>
                    <w:bCs/>
                    <w:sz w:val="14"/>
                    <w:szCs w:val="14"/>
                    <w:lang w:eastAsia="it-IT"/>
                  </w:rPr>
                </w:pPr>
                <w:r w:rsidRPr="004E4A85">
                  <w:rPr>
                    <w:rFonts w:cs="Segoe UI"/>
                    <w:b/>
                    <w:bCs/>
                    <w:sz w:val="14"/>
                    <w:szCs w:val="14"/>
                    <w:lang w:eastAsia="it-IT"/>
                  </w:rPr>
                  <w:t>1</w:t>
                </w:r>
                <w:r w:rsidR="00404031" w:rsidRPr="004E4A85">
                  <w:rPr>
                    <w:rFonts w:cs="Segoe UI"/>
                    <w:b/>
                    <w:bCs/>
                    <w:sz w:val="14"/>
                    <w:szCs w:val="14"/>
                    <w:lang w:eastAsia="it-IT"/>
                  </w:rPr>
                  <w:t>.</w:t>
                </w:r>
                <w:r w:rsidRPr="004E4A85">
                  <w:rPr>
                    <w:rFonts w:cs="Segoe UI"/>
                    <w:b/>
                    <w:bCs/>
                    <w:sz w:val="14"/>
                    <w:szCs w:val="14"/>
                    <w:lang w:eastAsia="it-IT"/>
                  </w:rPr>
                  <w:t>38%</w:t>
                </w:r>
              </w:p>
            </w:tc>
            <w:tc>
              <w:tcPr>
                <w:tcW w:w="251" w:type="pct"/>
                <w:gridSpan w:val="2"/>
                <w:shd w:val="clear" w:color="auto" w:fill="FFFFFF" w:themeFill="background2"/>
                <w:vAlign w:val="center"/>
              </w:tcPr>
              <w:p w14:paraId="080DB817" w14:textId="1119E54D" w:rsidR="00E7168A" w:rsidRPr="004E4A85" w:rsidRDefault="00E7168A" w:rsidP="00E05C6F">
                <w:pPr>
                  <w:pStyle w:val="TableTextLeft"/>
                  <w:spacing w:before="0" w:after="0"/>
                  <w:jc w:val="center"/>
                  <w:rPr>
                    <w:rFonts w:cs="Segoe UI"/>
                    <w:b/>
                    <w:bCs/>
                    <w:sz w:val="14"/>
                    <w:szCs w:val="14"/>
                    <w:lang w:eastAsia="it-IT"/>
                  </w:rPr>
                </w:pPr>
                <w:r w:rsidRPr="004E4A85">
                  <w:rPr>
                    <w:rFonts w:cs="Segoe UI"/>
                    <w:b/>
                    <w:bCs/>
                    <w:sz w:val="14"/>
                    <w:szCs w:val="14"/>
                    <w:lang w:eastAsia="it-IT"/>
                  </w:rPr>
                  <w:t>1</w:t>
                </w:r>
                <w:r w:rsidR="00404031" w:rsidRPr="004E4A85">
                  <w:rPr>
                    <w:rFonts w:cs="Segoe UI"/>
                    <w:b/>
                    <w:bCs/>
                    <w:sz w:val="14"/>
                    <w:szCs w:val="14"/>
                    <w:lang w:eastAsia="it-IT"/>
                  </w:rPr>
                  <w:t>.</w:t>
                </w:r>
                <w:r w:rsidRPr="004E4A85">
                  <w:rPr>
                    <w:rFonts w:cs="Segoe UI"/>
                    <w:b/>
                    <w:bCs/>
                    <w:sz w:val="14"/>
                    <w:szCs w:val="14"/>
                    <w:lang w:eastAsia="it-IT"/>
                  </w:rPr>
                  <w:t>36%</w:t>
                </w:r>
              </w:p>
            </w:tc>
            <w:tc>
              <w:tcPr>
                <w:tcW w:w="251" w:type="pct"/>
                <w:shd w:val="clear" w:color="auto" w:fill="FFFFFF" w:themeFill="background2"/>
                <w:vAlign w:val="center"/>
              </w:tcPr>
              <w:p w14:paraId="115BECAD" w14:textId="7559C12D" w:rsidR="00E7168A" w:rsidRPr="004E4A85" w:rsidRDefault="00E7168A" w:rsidP="00E05C6F">
                <w:pPr>
                  <w:pStyle w:val="TableTextLeft"/>
                  <w:spacing w:before="0" w:after="0"/>
                  <w:jc w:val="center"/>
                  <w:rPr>
                    <w:rFonts w:cs="Segoe UI"/>
                    <w:b/>
                    <w:bCs/>
                    <w:sz w:val="14"/>
                    <w:szCs w:val="14"/>
                    <w:lang w:eastAsia="it-IT"/>
                  </w:rPr>
                </w:pPr>
                <w:r w:rsidRPr="004E4A85">
                  <w:rPr>
                    <w:rFonts w:cs="Segoe UI"/>
                    <w:b/>
                    <w:bCs/>
                    <w:sz w:val="14"/>
                    <w:szCs w:val="14"/>
                    <w:lang w:eastAsia="it-IT"/>
                  </w:rPr>
                  <w:t>0</w:t>
                </w:r>
                <w:r w:rsidR="00404031" w:rsidRPr="004E4A85">
                  <w:rPr>
                    <w:rFonts w:cs="Segoe UI"/>
                    <w:b/>
                    <w:bCs/>
                    <w:sz w:val="14"/>
                    <w:szCs w:val="14"/>
                    <w:lang w:eastAsia="it-IT"/>
                  </w:rPr>
                  <w:t>.</w:t>
                </w:r>
                <w:r w:rsidRPr="004E4A85">
                  <w:rPr>
                    <w:rFonts w:cs="Segoe UI"/>
                    <w:b/>
                    <w:bCs/>
                    <w:sz w:val="14"/>
                    <w:szCs w:val="14"/>
                    <w:lang w:eastAsia="it-IT"/>
                  </w:rPr>
                  <w:t>88%</w:t>
                </w:r>
              </w:p>
            </w:tc>
            <w:tc>
              <w:tcPr>
                <w:tcW w:w="252" w:type="pct"/>
                <w:shd w:val="clear" w:color="auto" w:fill="FFFFFF" w:themeFill="background2"/>
                <w:vAlign w:val="center"/>
              </w:tcPr>
              <w:p w14:paraId="0E9363AB" w14:textId="42B741BB" w:rsidR="00E7168A" w:rsidRPr="004E4A85" w:rsidRDefault="00E7168A" w:rsidP="00E05C6F">
                <w:pPr>
                  <w:pStyle w:val="TableTextLeft"/>
                  <w:spacing w:before="0" w:after="0"/>
                  <w:jc w:val="center"/>
                  <w:rPr>
                    <w:rFonts w:cs="Segoe UI"/>
                    <w:b/>
                    <w:bCs/>
                    <w:sz w:val="14"/>
                    <w:szCs w:val="14"/>
                    <w:lang w:eastAsia="it-IT"/>
                  </w:rPr>
                </w:pPr>
                <w:r w:rsidRPr="004E4A85">
                  <w:rPr>
                    <w:rFonts w:cs="Segoe UI"/>
                    <w:b/>
                    <w:bCs/>
                    <w:sz w:val="14"/>
                    <w:szCs w:val="14"/>
                    <w:lang w:eastAsia="it-IT"/>
                  </w:rPr>
                  <w:t>0</w:t>
                </w:r>
                <w:r w:rsidR="00404031" w:rsidRPr="004E4A85">
                  <w:rPr>
                    <w:rFonts w:cs="Segoe UI"/>
                    <w:b/>
                    <w:bCs/>
                    <w:sz w:val="14"/>
                    <w:szCs w:val="14"/>
                    <w:lang w:eastAsia="it-IT"/>
                  </w:rPr>
                  <w:t>.</w:t>
                </w:r>
                <w:r w:rsidRPr="004E4A85">
                  <w:rPr>
                    <w:rFonts w:cs="Segoe UI"/>
                    <w:b/>
                    <w:bCs/>
                    <w:sz w:val="14"/>
                    <w:szCs w:val="14"/>
                    <w:lang w:eastAsia="it-IT"/>
                  </w:rPr>
                  <w:t>54%</w:t>
                </w:r>
              </w:p>
            </w:tc>
            <w:tc>
              <w:tcPr>
                <w:tcW w:w="251" w:type="pct"/>
                <w:shd w:val="clear" w:color="auto" w:fill="FFFFFF" w:themeFill="background2"/>
                <w:vAlign w:val="center"/>
              </w:tcPr>
              <w:p w14:paraId="47636126" w14:textId="3416BF75" w:rsidR="00E7168A" w:rsidRPr="004E4A85" w:rsidRDefault="00E7168A" w:rsidP="00E05C6F">
                <w:pPr>
                  <w:pStyle w:val="TableTextLeft"/>
                  <w:spacing w:before="0" w:after="0"/>
                  <w:jc w:val="center"/>
                  <w:rPr>
                    <w:rFonts w:cs="Segoe UI"/>
                    <w:b/>
                    <w:bCs/>
                    <w:sz w:val="14"/>
                    <w:szCs w:val="14"/>
                    <w:lang w:eastAsia="it-IT"/>
                  </w:rPr>
                </w:pPr>
                <w:r w:rsidRPr="004E4A85">
                  <w:rPr>
                    <w:rFonts w:cs="Segoe UI"/>
                    <w:b/>
                    <w:bCs/>
                    <w:sz w:val="14"/>
                    <w:szCs w:val="14"/>
                    <w:lang w:eastAsia="it-IT"/>
                  </w:rPr>
                  <w:t>0</w:t>
                </w:r>
                <w:r w:rsidR="00404031" w:rsidRPr="004E4A85">
                  <w:rPr>
                    <w:rFonts w:cs="Segoe UI"/>
                    <w:b/>
                    <w:bCs/>
                    <w:sz w:val="14"/>
                    <w:szCs w:val="14"/>
                    <w:lang w:eastAsia="it-IT"/>
                  </w:rPr>
                  <w:t>.</w:t>
                </w:r>
                <w:r w:rsidRPr="004E4A85">
                  <w:rPr>
                    <w:rFonts w:cs="Segoe UI"/>
                    <w:b/>
                    <w:bCs/>
                    <w:sz w:val="14"/>
                    <w:szCs w:val="14"/>
                    <w:lang w:eastAsia="it-IT"/>
                  </w:rPr>
                  <w:t>42%</w:t>
                </w:r>
              </w:p>
            </w:tc>
            <w:tc>
              <w:tcPr>
                <w:tcW w:w="251" w:type="pct"/>
                <w:shd w:val="clear" w:color="auto" w:fill="FFFFFF" w:themeFill="background2"/>
                <w:vAlign w:val="center"/>
              </w:tcPr>
              <w:p w14:paraId="4A92DA54" w14:textId="2A606934" w:rsidR="00E7168A" w:rsidRPr="004E4A85" w:rsidRDefault="00E7168A" w:rsidP="00E05C6F">
                <w:pPr>
                  <w:pStyle w:val="TableTextLeft"/>
                  <w:spacing w:before="0" w:after="0"/>
                  <w:jc w:val="center"/>
                  <w:rPr>
                    <w:rFonts w:cs="Segoe UI"/>
                    <w:b/>
                    <w:bCs/>
                    <w:sz w:val="14"/>
                    <w:szCs w:val="14"/>
                    <w:lang w:eastAsia="it-IT"/>
                  </w:rPr>
                </w:pPr>
                <w:r w:rsidRPr="004E4A85">
                  <w:rPr>
                    <w:rFonts w:cs="Segoe UI"/>
                    <w:b/>
                    <w:bCs/>
                    <w:sz w:val="14"/>
                    <w:szCs w:val="14"/>
                    <w:lang w:eastAsia="it-IT"/>
                  </w:rPr>
                  <w:t>0</w:t>
                </w:r>
                <w:r w:rsidR="00404031" w:rsidRPr="004E4A85">
                  <w:rPr>
                    <w:rFonts w:cs="Segoe UI"/>
                    <w:b/>
                    <w:bCs/>
                    <w:sz w:val="14"/>
                    <w:szCs w:val="14"/>
                    <w:lang w:eastAsia="it-IT"/>
                  </w:rPr>
                  <w:t>.</w:t>
                </w:r>
                <w:r w:rsidRPr="004E4A85">
                  <w:rPr>
                    <w:rFonts w:cs="Segoe UI"/>
                    <w:b/>
                    <w:bCs/>
                    <w:sz w:val="14"/>
                    <w:szCs w:val="14"/>
                    <w:lang w:eastAsia="it-IT"/>
                  </w:rPr>
                  <w:t>62%</w:t>
                </w:r>
              </w:p>
            </w:tc>
            <w:tc>
              <w:tcPr>
                <w:tcW w:w="251" w:type="pct"/>
                <w:shd w:val="clear" w:color="auto" w:fill="FFFFFF" w:themeFill="background2"/>
                <w:vAlign w:val="center"/>
              </w:tcPr>
              <w:p w14:paraId="7ECE9517" w14:textId="474FB51F" w:rsidR="00E7168A" w:rsidRPr="004E4A85" w:rsidRDefault="00E7168A" w:rsidP="00E05C6F">
                <w:pPr>
                  <w:pStyle w:val="TableTextLeft"/>
                  <w:spacing w:before="0" w:after="0"/>
                  <w:jc w:val="center"/>
                  <w:rPr>
                    <w:rFonts w:cs="Segoe UI"/>
                    <w:b/>
                    <w:bCs/>
                    <w:sz w:val="14"/>
                    <w:szCs w:val="14"/>
                    <w:lang w:eastAsia="it-IT"/>
                  </w:rPr>
                </w:pPr>
                <w:r w:rsidRPr="004E4A85">
                  <w:rPr>
                    <w:rFonts w:cs="Segoe UI"/>
                    <w:b/>
                    <w:bCs/>
                    <w:sz w:val="14"/>
                    <w:szCs w:val="14"/>
                    <w:lang w:eastAsia="it-IT"/>
                  </w:rPr>
                  <w:t>3</w:t>
                </w:r>
                <w:r w:rsidR="00404031" w:rsidRPr="004E4A85">
                  <w:rPr>
                    <w:rFonts w:cs="Segoe UI"/>
                    <w:b/>
                    <w:bCs/>
                    <w:sz w:val="14"/>
                    <w:szCs w:val="14"/>
                    <w:lang w:eastAsia="it-IT"/>
                  </w:rPr>
                  <w:t>.</w:t>
                </w:r>
                <w:r w:rsidRPr="004E4A85">
                  <w:rPr>
                    <w:rFonts w:cs="Segoe UI"/>
                    <w:b/>
                    <w:bCs/>
                    <w:sz w:val="14"/>
                    <w:szCs w:val="14"/>
                    <w:lang w:eastAsia="it-IT"/>
                  </w:rPr>
                  <w:t>14%</w:t>
                </w:r>
              </w:p>
            </w:tc>
            <w:tc>
              <w:tcPr>
                <w:tcW w:w="263" w:type="pct"/>
                <w:shd w:val="clear" w:color="auto" w:fill="FFFFFF" w:themeFill="background2"/>
                <w:vAlign w:val="center"/>
              </w:tcPr>
              <w:p w14:paraId="372DB2D1" w14:textId="77777777" w:rsidR="00E7168A" w:rsidRPr="004E4A85" w:rsidRDefault="00E7168A" w:rsidP="00E05C6F">
                <w:pPr>
                  <w:pStyle w:val="TableTextLeft"/>
                  <w:spacing w:before="0" w:after="0"/>
                  <w:jc w:val="center"/>
                  <w:rPr>
                    <w:rFonts w:cs="Segoe UI"/>
                    <w:b/>
                    <w:bCs/>
                    <w:sz w:val="14"/>
                    <w:szCs w:val="14"/>
                    <w:lang w:eastAsia="it-IT"/>
                  </w:rPr>
                </w:pPr>
              </w:p>
            </w:tc>
          </w:tr>
        </w:tbl>
        <w:p w14:paraId="2B3C8BCA" w14:textId="77777777" w:rsidR="00CD6D07" w:rsidRDefault="00CD6D07" w:rsidP="004101BF">
          <w:pPr>
            <w:rPr>
              <w:rFonts w:cs="Segoe UI"/>
              <w:lang w:val="en-GB"/>
            </w:rPr>
          </w:pPr>
        </w:p>
        <w:p w14:paraId="07691789" w14:textId="2FE4605E" w:rsidR="004101BF" w:rsidRPr="0032337D" w:rsidRDefault="004101BF" w:rsidP="004101BF">
          <w:pPr>
            <w:rPr>
              <w:rFonts w:cs="Segoe UI"/>
              <w:b/>
              <w:bCs/>
              <w:sz w:val="28"/>
              <w:szCs w:val="32"/>
              <w:lang w:val="en-GB"/>
            </w:rPr>
          </w:pPr>
          <w:r w:rsidRPr="0032337D">
            <w:rPr>
              <w:rFonts w:cs="Segoe UI"/>
              <w:lang w:val="en-GB"/>
            </w:rPr>
            <w:lastRenderedPageBreak/>
            <w:t xml:space="preserve">The curve of 1-year default rate increases as ratings </w:t>
          </w:r>
          <w:r w:rsidR="00883EA0">
            <w:rPr>
              <w:rFonts w:cs="Segoe UI"/>
              <w:lang w:val="en-GB"/>
            </w:rPr>
            <w:t>shift</w:t>
          </w:r>
          <w:r w:rsidRPr="0032337D">
            <w:rPr>
              <w:rFonts w:cs="Segoe UI"/>
              <w:lang w:val="en-GB"/>
            </w:rPr>
            <w:t xml:space="preserve"> from </w:t>
          </w:r>
          <w:r w:rsidRPr="0032337D">
            <w:rPr>
              <w:rFonts w:cs="Segoe UI"/>
              <w:i/>
              <w:lang w:val="en-GB"/>
            </w:rPr>
            <w:t>Investment Grade</w:t>
          </w:r>
          <w:r w:rsidRPr="0032337D">
            <w:rPr>
              <w:rFonts w:cs="Segoe UI"/>
              <w:lang w:val="en-GB"/>
            </w:rPr>
            <w:t xml:space="preserve"> classes to </w:t>
          </w:r>
          <w:r w:rsidRPr="0032337D">
            <w:rPr>
              <w:rFonts w:cs="Segoe UI"/>
              <w:i/>
              <w:lang w:val="en-GB"/>
            </w:rPr>
            <w:t>Speculative Grade</w:t>
          </w:r>
          <w:r w:rsidRPr="0032337D">
            <w:rPr>
              <w:rFonts w:cs="Segoe UI"/>
              <w:lang w:val="en-GB"/>
            </w:rPr>
            <w:t xml:space="preserve"> classes. The rating classes are </w:t>
          </w:r>
          <w:r w:rsidR="00D061B4">
            <w:rPr>
              <w:rFonts w:cs="Segoe UI"/>
              <w:lang w:val="en-GB"/>
            </w:rPr>
            <w:t>distinctly</w:t>
          </w:r>
          <w:r w:rsidR="0083090B">
            <w:rPr>
              <w:rFonts w:cs="Segoe UI"/>
              <w:lang w:val="en-GB"/>
            </w:rPr>
            <w:t xml:space="preserve"> separated </w:t>
          </w:r>
          <w:r w:rsidRPr="0032337D">
            <w:rPr>
              <w:rFonts w:cs="Segoe UI"/>
              <w:lang w:val="en-GB"/>
            </w:rPr>
            <w:t>in terms of risk profile</w:t>
          </w:r>
          <w:r w:rsidR="00D061B4">
            <w:rPr>
              <w:rFonts w:cs="Segoe UI"/>
              <w:lang w:val="en-GB"/>
            </w:rPr>
            <w:t>,</w:t>
          </w:r>
          <w:r w:rsidRPr="0032337D">
            <w:rPr>
              <w:rFonts w:cs="Segoe UI"/>
              <w:lang w:val="en-GB"/>
            </w:rPr>
            <w:t xml:space="preserve"> and</w:t>
          </w:r>
          <w:r w:rsidR="00D061B4">
            <w:rPr>
              <w:rFonts w:cs="Segoe UI"/>
              <w:lang w:val="en-GB"/>
            </w:rPr>
            <w:t xml:space="preserve"> in the 15 years considered</w:t>
          </w:r>
          <w:r w:rsidRPr="0032337D">
            <w:rPr>
              <w:rFonts w:cs="Segoe UI"/>
              <w:lang w:val="en-GB"/>
            </w:rPr>
            <w:t xml:space="preserve"> no default occurred </w:t>
          </w:r>
          <w:r w:rsidR="00D061B4">
            <w:rPr>
              <w:rFonts w:cs="Segoe UI"/>
              <w:lang w:val="en-GB"/>
            </w:rPr>
            <w:t>in</w:t>
          </w:r>
          <w:r w:rsidRPr="0032337D">
            <w:rPr>
              <w:rFonts w:cs="Segoe UI"/>
              <w:lang w:val="en-GB"/>
            </w:rPr>
            <w:t xml:space="preserve"> the rating classes from A1.1 to A2.1. </w:t>
          </w:r>
          <w:r w:rsidR="00D061B4">
            <w:rPr>
              <w:rFonts w:cs="Segoe UI"/>
              <w:lang w:val="en-GB"/>
            </w:rPr>
            <w:t>Moreover, a g</w:t>
          </w:r>
          <w:r w:rsidRPr="0032337D">
            <w:rPr>
              <w:rFonts w:cs="Segoe UI"/>
              <w:lang w:val="en-GB"/>
            </w:rPr>
            <w:t xml:space="preserve">ood stability of default rates is </w:t>
          </w:r>
          <w:r w:rsidR="00D061B4">
            <w:rPr>
              <w:rFonts w:cs="Segoe UI"/>
              <w:lang w:val="en-GB"/>
            </w:rPr>
            <w:t>o</w:t>
          </w:r>
          <w:r w:rsidRPr="0032337D">
            <w:rPr>
              <w:rFonts w:cs="Segoe UI"/>
              <w:lang w:val="en-GB"/>
            </w:rPr>
            <w:t xml:space="preserve">bserved over time by rating class. The </w:t>
          </w:r>
          <w:r w:rsidRPr="0032337D">
            <w:rPr>
              <w:rFonts w:cs="Segoe UI"/>
              <w:i/>
              <w:lang w:val="en-GB"/>
            </w:rPr>
            <w:t>Safety/Solvency/Vulnerability/Risk</w:t>
          </w:r>
          <w:r w:rsidRPr="0032337D">
            <w:rPr>
              <w:rFonts w:cs="Segoe UI"/>
              <w:lang w:val="en-GB"/>
            </w:rPr>
            <w:t xml:space="preserve"> </w:t>
          </w:r>
          <w:r w:rsidR="00DC04E7">
            <w:rPr>
              <w:rFonts w:cs="Segoe UI"/>
              <w:lang w:val="en-GB"/>
            </w:rPr>
            <w:t xml:space="preserve">and </w:t>
          </w:r>
          <w:r w:rsidRPr="0032337D">
            <w:rPr>
              <w:rFonts w:cs="Segoe UI"/>
              <w:lang w:val="en-GB"/>
            </w:rPr>
            <w:t xml:space="preserve">the </w:t>
          </w:r>
          <w:r w:rsidRPr="0032337D">
            <w:rPr>
              <w:rFonts w:cs="Segoe UI"/>
              <w:i/>
              <w:lang w:val="en-GB"/>
            </w:rPr>
            <w:t>Investment</w:t>
          </w:r>
          <w:r w:rsidRPr="0032337D">
            <w:rPr>
              <w:rFonts w:cs="Segoe UI"/>
              <w:lang w:val="en-GB"/>
            </w:rPr>
            <w:t>/</w:t>
          </w:r>
          <w:r w:rsidRPr="0032337D">
            <w:rPr>
              <w:rFonts w:cs="Segoe UI"/>
              <w:i/>
              <w:lang w:val="en-GB"/>
            </w:rPr>
            <w:t>Speculative</w:t>
          </w:r>
          <w:r w:rsidRPr="0032337D">
            <w:rPr>
              <w:rFonts w:cs="Segoe UI"/>
              <w:lang w:val="en-GB"/>
            </w:rPr>
            <w:t xml:space="preserve"> </w:t>
          </w:r>
          <w:r w:rsidRPr="0032337D">
            <w:rPr>
              <w:rFonts w:cs="Segoe UI"/>
              <w:i/>
              <w:lang w:val="en-GB"/>
            </w:rPr>
            <w:t>Grade</w:t>
          </w:r>
          <w:r w:rsidR="00D435EB">
            <w:rPr>
              <w:rFonts w:cs="Segoe UI"/>
              <w:i/>
              <w:lang w:val="en-GB"/>
            </w:rPr>
            <w:t>s</w:t>
          </w:r>
          <w:r w:rsidRPr="0032337D">
            <w:rPr>
              <w:rFonts w:cs="Segoe UI"/>
              <w:lang w:val="en-GB"/>
            </w:rPr>
            <w:t xml:space="preserve"> </w:t>
          </w:r>
          <w:r w:rsidR="00C5655C">
            <w:rPr>
              <w:rFonts w:cs="Segoe UI"/>
              <w:lang w:val="en-GB"/>
            </w:rPr>
            <w:t>aggregates</w:t>
          </w:r>
          <w:r w:rsidRPr="0032337D">
            <w:rPr>
              <w:rFonts w:cs="Segoe UI"/>
              <w:lang w:val="en-GB"/>
            </w:rPr>
            <w:t xml:space="preserve"> help investors and market p</w:t>
          </w:r>
          <w:r w:rsidR="00C5655C">
            <w:rPr>
              <w:rFonts w:cs="Segoe UI"/>
              <w:lang w:val="en-GB"/>
            </w:rPr>
            <w:t>layers at large</w:t>
          </w:r>
          <w:r w:rsidRPr="0032337D">
            <w:rPr>
              <w:rFonts w:cs="Segoe UI"/>
              <w:lang w:val="en-GB"/>
            </w:rPr>
            <w:t xml:space="preserve"> to </w:t>
          </w:r>
          <w:r w:rsidR="00D435EB">
            <w:rPr>
              <w:rFonts w:cs="Segoe UI"/>
              <w:lang w:val="en-GB"/>
            </w:rPr>
            <w:t>understand</w:t>
          </w:r>
          <w:r w:rsidRPr="0032337D">
            <w:rPr>
              <w:rFonts w:cs="Segoe UI"/>
              <w:lang w:val="en-GB"/>
            </w:rPr>
            <w:t xml:space="preserve"> Cerved Rating Agency</w:t>
          </w:r>
          <w:r w:rsidR="00C5655C">
            <w:rPr>
              <w:rFonts w:cs="Segoe UI"/>
              <w:lang w:val="en-GB"/>
            </w:rPr>
            <w:t>’s</w:t>
          </w:r>
          <w:r w:rsidRPr="0032337D">
            <w:rPr>
              <w:rFonts w:cs="Segoe UI"/>
              <w:lang w:val="en-GB"/>
            </w:rPr>
            <w:t xml:space="preserve"> rating scale and </w:t>
          </w:r>
          <w:r w:rsidR="00C5655C">
            <w:rPr>
              <w:rFonts w:cs="Segoe UI"/>
              <w:lang w:val="en-GB"/>
            </w:rPr>
            <w:t xml:space="preserve">the </w:t>
          </w:r>
          <w:r w:rsidRPr="0032337D">
            <w:rPr>
              <w:rFonts w:cs="Segoe UI"/>
              <w:lang w:val="en-GB"/>
            </w:rPr>
            <w:t>relevant risk profiles.</w:t>
          </w:r>
          <w:r w:rsidRPr="0032337D">
            <w:rPr>
              <w:rFonts w:cs="Segoe UI"/>
              <w:lang w:val="en-GB"/>
            </w:rPr>
            <w:br w:type="page"/>
          </w:r>
        </w:p>
        <w:p w14:paraId="65B8A049" w14:textId="77777777" w:rsidR="004101BF" w:rsidRPr="00FA752D" w:rsidRDefault="004101BF" w:rsidP="004101BF">
          <w:pPr>
            <w:pStyle w:val="Titolo2"/>
            <w:rPr>
              <w:lang w:val="en-GB"/>
            </w:rPr>
          </w:pPr>
          <w:bookmarkStart w:id="87" w:name="_Toc130806401"/>
          <w:bookmarkStart w:id="88" w:name="_Toc167131722"/>
          <w:r w:rsidRPr="00FA752D">
            <w:rPr>
              <w:lang w:val="en-GB"/>
            </w:rPr>
            <w:lastRenderedPageBreak/>
            <w:t>Model performance on the 1-year time horizon</w:t>
          </w:r>
          <w:bookmarkEnd w:id="87"/>
          <w:bookmarkEnd w:id="88"/>
        </w:p>
        <w:p w14:paraId="76E9EF3A" w14:textId="5867533B" w:rsidR="004101BF" w:rsidRPr="0032337D" w:rsidRDefault="004101BF" w:rsidP="004101BF">
          <w:pPr>
            <w:rPr>
              <w:rFonts w:cs="Segoe UI"/>
              <w:lang w:val="en-GB"/>
            </w:rPr>
          </w:pPr>
          <w:r w:rsidRPr="00B229D8">
            <w:rPr>
              <w:rFonts w:cs="Segoe UI"/>
              <w:lang w:val="en-GB"/>
            </w:rPr>
            <w:t xml:space="preserve">The </w:t>
          </w:r>
          <w:r w:rsidR="00B4451F">
            <w:rPr>
              <w:rFonts w:cs="Segoe UI"/>
              <w:lang w:val="en-GB"/>
            </w:rPr>
            <w:t xml:space="preserve">1-year horizon </w:t>
          </w:r>
          <w:r w:rsidRPr="00B229D8">
            <w:rPr>
              <w:rFonts w:cs="Segoe UI"/>
              <w:lang w:val="en-GB"/>
            </w:rPr>
            <w:t xml:space="preserve">performance of the model </w:t>
          </w:r>
          <w:r w:rsidR="00B4451F">
            <w:rPr>
              <w:rFonts w:cs="Segoe UI"/>
              <w:lang w:val="en-GB"/>
            </w:rPr>
            <w:t>consider</w:t>
          </w:r>
          <w:r w:rsidR="000F5A8D">
            <w:rPr>
              <w:rFonts w:cs="Segoe UI"/>
              <w:lang w:val="en-GB"/>
            </w:rPr>
            <w:t>ing</w:t>
          </w:r>
          <w:r w:rsidRPr="00B229D8">
            <w:rPr>
              <w:rFonts w:cs="Segoe UI"/>
              <w:lang w:val="en-GB"/>
            </w:rPr>
            <w:t xml:space="preserve"> the entire portfolio of rated entities at the beginning of the period is </w:t>
          </w:r>
          <w:r w:rsidR="004A4B21">
            <w:rPr>
              <w:rFonts w:cs="Segoe UI"/>
              <w:lang w:val="en-GB"/>
            </w:rPr>
            <w:t>computed</w:t>
          </w:r>
          <w:r w:rsidRPr="00B229D8">
            <w:rPr>
              <w:rFonts w:cs="Segoe UI"/>
              <w:lang w:val="en-GB"/>
            </w:rPr>
            <w:t xml:space="preserve"> by the so-called Cumulative Accuracy Profile curve and</w:t>
          </w:r>
          <w:r w:rsidR="004A4B21">
            <w:rPr>
              <w:rFonts w:cs="Segoe UI"/>
              <w:lang w:val="en-GB"/>
            </w:rPr>
            <w:t xml:space="preserve"> </w:t>
          </w:r>
          <w:r w:rsidR="00FD6B04">
            <w:rPr>
              <w:rFonts w:cs="Segoe UI"/>
              <w:lang w:val="en-GB"/>
            </w:rPr>
            <w:t>the</w:t>
          </w:r>
          <w:r w:rsidRPr="00B229D8">
            <w:rPr>
              <w:rFonts w:cs="Segoe UI"/>
              <w:lang w:val="en-GB"/>
            </w:rPr>
            <w:t xml:space="preserve"> corresponding Accuracy Ratio or Gini Index </w:t>
          </w:r>
          <w:r w:rsidR="00FD6B04" w:rsidRPr="00B229D8">
            <w:rPr>
              <w:rFonts w:cs="Segoe UI"/>
              <w:lang w:val="en-GB"/>
            </w:rPr>
            <w:t xml:space="preserve">summary measure </w:t>
          </w:r>
          <w:r w:rsidRPr="00B229D8">
            <w:rPr>
              <w:rFonts w:cs="Segoe UI"/>
              <w:lang w:val="en-GB"/>
            </w:rPr>
            <w:t>(please see Annex 4 for more details)</w:t>
          </w:r>
          <w:r w:rsidR="00FD6B04">
            <w:rPr>
              <w:rFonts w:cs="Segoe UI"/>
              <w:lang w:val="en-GB"/>
            </w:rPr>
            <w:t>,</w:t>
          </w:r>
          <w:r w:rsidRPr="00B229D8">
            <w:rPr>
              <w:rFonts w:cs="Segoe UI"/>
              <w:lang w:val="en-GB"/>
            </w:rPr>
            <w:t xml:space="preserve"> which expresses the discriminatory power of the rating model.</w:t>
          </w:r>
        </w:p>
        <w:p w14:paraId="209611AB" w14:textId="09EC85E9" w:rsidR="001D32CA" w:rsidRPr="0032337D" w:rsidRDefault="004101BF" w:rsidP="001C1D40">
          <w:pPr>
            <w:pStyle w:val="Didascalia"/>
            <w:rPr>
              <w:rFonts w:cs="Segoe UI"/>
              <w:lang w:val="en-GB"/>
            </w:rPr>
          </w:pPr>
          <w:bookmarkStart w:id="89" w:name="_Toc130806324"/>
          <w:bookmarkStart w:id="90" w:name="_Toc166675664"/>
          <w:bookmarkStart w:id="91" w:name="_Toc167131791"/>
          <w:r w:rsidRPr="001C1D40">
            <w:rPr>
              <w:rFonts w:ascii="Segoe UI" w:hAnsi="Segoe UI" w:cs="Segoe UI"/>
              <w:i/>
              <w:sz w:val="14"/>
              <w:lang w:val="en-GB"/>
            </w:rPr>
            <w:t xml:space="preserve">Exhibit </w:t>
          </w:r>
          <w:r w:rsidRPr="001C1D40">
            <w:rPr>
              <w:rFonts w:ascii="Segoe UI" w:hAnsi="Segoe UI" w:cs="Segoe UI"/>
              <w:i/>
              <w:sz w:val="14"/>
              <w:lang w:val="en-GB"/>
            </w:rPr>
            <w:fldChar w:fldCharType="begin"/>
          </w:r>
          <w:r w:rsidRPr="001C1D40">
            <w:rPr>
              <w:rFonts w:ascii="Segoe UI" w:hAnsi="Segoe UI" w:cs="Segoe UI"/>
              <w:i/>
              <w:sz w:val="14"/>
              <w:lang w:val="en-GB"/>
            </w:rPr>
            <w:instrText xml:space="preserve"> SEQ Exhibit \* ARABIC </w:instrText>
          </w:r>
          <w:r w:rsidRPr="001C1D40">
            <w:rPr>
              <w:rFonts w:ascii="Segoe UI" w:hAnsi="Segoe UI" w:cs="Segoe UI"/>
              <w:i/>
              <w:sz w:val="14"/>
              <w:lang w:val="en-GB"/>
            </w:rPr>
            <w:fldChar w:fldCharType="separate"/>
          </w:r>
          <w:r w:rsidR="009857B6">
            <w:rPr>
              <w:rFonts w:ascii="Segoe UI" w:hAnsi="Segoe UI" w:cs="Segoe UI"/>
              <w:i/>
              <w:noProof/>
              <w:sz w:val="14"/>
              <w:lang w:val="en-GB"/>
            </w:rPr>
            <w:t>23</w:t>
          </w:r>
          <w:r w:rsidRPr="001C1D40">
            <w:rPr>
              <w:rFonts w:ascii="Segoe UI" w:hAnsi="Segoe UI" w:cs="Segoe UI"/>
              <w:i/>
              <w:sz w:val="14"/>
              <w:lang w:val="en-GB"/>
            </w:rPr>
            <w:fldChar w:fldCharType="end"/>
          </w:r>
          <w:r w:rsidRPr="001C1D40">
            <w:rPr>
              <w:rFonts w:ascii="Segoe UI" w:hAnsi="Segoe UI" w:cs="Segoe UI"/>
              <w:i/>
              <w:sz w:val="14"/>
              <w:lang w:val="en-GB"/>
            </w:rPr>
            <w:t>: 1-year average Cumulative Accuracy Profile</w:t>
          </w:r>
          <w:bookmarkEnd w:id="89"/>
          <w:bookmarkEnd w:id="90"/>
          <w:bookmarkEnd w:id="91"/>
        </w:p>
        <w:p w14:paraId="29FD2C4B" w14:textId="3400E8F8" w:rsidR="001C1D40" w:rsidRDefault="001C1D40" w:rsidP="004101BF">
          <w:pPr>
            <w:spacing w:before="240"/>
            <w:rPr>
              <w:rFonts w:cs="Segoe UI"/>
              <w:lang w:val="en-GB"/>
            </w:rPr>
          </w:pPr>
          <w:r>
            <w:rPr>
              <w:noProof/>
            </w:rPr>
            <w:drawing>
              <wp:inline distT="0" distB="0" distL="0" distR="0" wp14:anchorId="21F64591" wp14:editId="1E697A7A">
                <wp:extent cx="6570980" cy="3011170"/>
                <wp:effectExtent l="0" t="0" r="1270" b="17780"/>
                <wp:docPr id="1695007941" name="Grafico 1">
                  <a:extLst xmlns:a="http://schemas.openxmlformats.org/drawingml/2006/main">
                    <a:ext uri="{FF2B5EF4-FFF2-40B4-BE49-F238E27FC236}">
                      <a16:creationId xmlns:a16="http://schemas.microsoft.com/office/drawing/2014/main" id="{92BF9EAD-60C4-4D95-9997-68D4937B47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80DEC73" w14:textId="7098FF3A" w:rsidR="004101BF" w:rsidRPr="0032337D" w:rsidRDefault="004101BF" w:rsidP="004101BF">
          <w:pPr>
            <w:spacing w:before="240"/>
            <w:rPr>
              <w:rFonts w:cs="Segoe UI"/>
              <w:lang w:val="en-GB"/>
            </w:rPr>
          </w:pPr>
          <w:r w:rsidRPr="0032337D">
            <w:rPr>
              <w:rFonts w:cs="Segoe UI"/>
              <w:lang w:val="en-GB"/>
            </w:rPr>
            <w:t>The values of</w:t>
          </w:r>
          <w:r w:rsidR="000F5A8D">
            <w:rPr>
              <w:rFonts w:cs="Segoe UI"/>
              <w:lang w:val="en-GB"/>
            </w:rPr>
            <w:t xml:space="preserve"> the</w:t>
          </w:r>
          <w:r w:rsidRPr="0032337D">
            <w:rPr>
              <w:rFonts w:cs="Segoe UI"/>
              <w:lang w:val="en-GB"/>
            </w:rPr>
            <w:t xml:space="preserve"> Accuracy Ratio related to each static pool are high and stable (as shown in Exhibit 24), especially considering the high number of rated entities.</w:t>
          </w:r>
        </w:p>
        <w:p w14:paraId="0934C0B0" w14:textId="02AEEB60" w:rsidR="004101BF" w:rsidRPr="0032337D" w:rsidRDefault="004101BF" w:rsidP="004101BF">
          <w:pPr>
            <w:pStyle w:val="Didascalia"/>
            <w:rPr>
              <w:rFonts w:ascii="Segoe UI" w:hAnsi="Segoe UI" w:cs="Segoe UI"/>
              <w:i/>
              <w:sz w:val="14"/>
              <w:lang w:val="en-GB"/>
            </w:rPr>
          </w:pPr>
          <w:bookmarkStart w:id="92" w:name="_Toc130806325"/>
          <w:bookmarkStart w:id="93" w:name="_Toc166675665"/>
          <w:bookmarkStart w:id="94" w:name="_Toc167131792"/>
          <w:r w:rsidRPr="0032337D">
            <w:rPr>
              <w:rFonts w:ascii="Segoe UI" w:hAnsi="Segoe UI" w:cs="Segoe UI"/>
              <w:i/>
              <w:sz w:val="14"/>
              <w:lang w:val="en-GB"/>
            </w:rPr>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24</w:t>
          </w:r>
          <w:r>
            <w:rPr>
              <w:rFonts w:ascii="Segoe UI" w:hAnsi="Segoe UI" w:cs="Segoe UI"/>
              <w:i/>
              <w:sz w:val="14"/>
              <w:lang w:val="en-GB"/>
            </w:rPr>
            <w:fldChar w:fldCharType="end"/>
          </w:r>
          <w:r w:rsidRPr="0032337D">
            <w:rPr>
              <w:rFonts w:ascii="Segoe UI" w:hAnsi="Segoe UI" w:cs="Segoe UI"/>
              <w:i/>
              <w:sz w:val="14"/>
              <w:lang w:val="en-GB"/>
            </w:rPr>
            <w:t>: Trend of the 1-year Accuracy Ratio</w:t>
          </w:r>
          <w:bookmarkEnd w:id="92"/>
          <w:bookmarkEnd w:id="93"/>
          <w:bookmarkEnd w:id="94"/>
        </w:p>
        <w:p w14:paraId="47D0C94C" w14:textId="65EA7416" w:rsidR="004101BF" w:rsidRPr="0032337D" w:rsidRDefault="004A3387" w:rsidP="004101BF">
          <w:pPr>
            <w:jc w:val="center"/>
            <w:rPr>
              <w:rFonts w:cs="Segoe UI"/>
              <w:b/>
              <w:bCs/>
              <w:sz w:val="28"/>
              <w:szCs w:val="32"/>
              <w:lang w:val="en-GB"/>
            </w:rPr>
          </w:pPr>
          <w:r>
            <w:rPr>
              <w:noProof/>
            </w:rPr>
            <w:drawing>
              <wp:inline distT="0" distB="0" distL="0" distR="0" wp14:anchorId="6E744C9A" wp14:editId="45617FAC">
                <wp:extent cx="6570980" cy="2553824"/>
                <wp:effectExtent l="0" t="0" r="1270" b="0"/>
                <wp:docPr id="2059160452" name="Grafico 1">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4101BF" w:rsidRPr="0032337D">
            <w:rPr>
              <w:rFonts w:cs="Segoe UI"/>
            </w:rPr>
            <w:br w:type="page"/>
          </w:r>
        </w:p>
        <w:p w14:paraId="2FC74CA4" w14:textId="77777777" w:rsidR="004101BF" w:rsidRPr="00FA752D" w:rsidRDefault="004101BF" w:rsidP="004101BF">
          <w:pPr>
            <w:pStyle w:val="Titolo2"/>
            <w:rPr>
              <w:lang w:val="en-GB"/>
            </w:rPr>
          </w:pPr>
          <w:bookmarkStart w:id="95" w:name="_Toc130806402"/>
          <w:bookmarkStart w:id="96" w:name="_Toc167131723"/>
          <w:r w:rsidRPr="00FA752D">
            <w:rPr>
              <w:lang w:val="en-GB"/>
            </w:rPr>
            <w:lastRenderedPageBreak/>
            <w:t>Default Study for multiple time horizon: the cumulative default rates</w:t>
          </w:r>
          <w:bookmarkEnd w:id="95"/>
          <w:bookmarkEnd w:id="96"/>
        </w:p>
        <w:p w14:paraId="0AA82BD9" w14:textId="50619B0C" w:rsidR="00C34063" w:rsidRDefault="004101BF" w:rsidP="004101BF">
          <w:pPr>
            <w:rPr>
              <w:rFonts w:cs="Segoe UI"/>
              <w:lang w:val="en-GB"/>
            </w:rPr>
          </w:pPr>
          <w:r w:rsidRPr="0032337D">
            <w:rPr>
              <w:rFonts w:cs="Segoe UI"/>
              <w:lang w:val="en-GB"/>
            </w:rPr>
            <w:t xml:space="preserve">Cerved Rating Agency </w:t>
          </w:r>
          <w:r w:rsidR="00D67804">
            <w:rPr>
              <w:rFonts w:cs="Segoe UI"/>
              <w:lang w:val="en-GB"/>
            </w:rPr>
            <w:t>adopts</w:t>
          </w:r>
          <w:r w:rsidRPr="0032337D">
            <w:rPr>
              <w:rFonts w:cs="Segoe UI"/>
              <w:lang w:val="en-GB"/>
            </w:rPr>
            <w:t xml:space="preserve"> the static pool approach to compute cumulative default rates – CDR (for methodological background please refer to Annex 3).</w:t>
          </w:r>
          <w:r>
            <w:rPr>
              <w:rFonts w:cs="Segoe UI"/>
              <w:lang w:val="en-GB"/>
            </w:rPr>
            <w:t xml:space="preserve"> </w:t>
          </w:r>
          <w:r w:rsidRPr="0032337D">
            <w:rPr>
              <w:rFonts w:cs="Segoe UI"/>
              <w:lang w:val="en-GB"/>
            </w:rPr>
            <w:t>Exhibits 25 and 26 show the observed Cumulative Default Rates from 1 to 5 years after rating issuance.</w:t>
          </w:r>
        </w:p>
        <w:p w14:paraId="1088A6B2" w14:textId="7339FFA8" w:rsidR="0045557C" w:rsidRDefault="0045557C" w:rsidP="0045557C">
          <w:pPr>
            <w:pStyle w:val="Didascalia"/>
          </w:pPr>
          <w:bookmarkStart w:id="97" w:name="_Toc166675666"/>
          <w:bookmarkStart w:id="98" w:name="_Toc167131793"/>
          <w:r w:rsidRPr="0032337D">
            <w:rPr>
              <w:rFonts w:ascii="Segoe UI" w:hAnsi="Segoe UI" w:cs="Segoe UI"/>
              <w:i/>
              <w:sz w:val="14"/>
              <w:lang w:val="en-GB"/>
            </w:rPr>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25</w:t>
          </w:r>
          <w:r>
            <w:rPr>
              <w:rFonts w:ascii="Segoe UI" w:hAnsi="Segoe UI" w:cs="Segoe UI"/>
              <w:i/>
              <w:sz w:val="14"/>
              <w:lang w:val="en-GB"/>
            </w:rPr>
            <w:fldChar w:fldCharType="end"/>
          </w:r>
          <w:r w:rsidRPr="0032337D">
            <w:rPr>
              <w:rFonts w:ascii="Segoe UI" w:hAnsi="Segoe UI" w:cs="Segoe UI"/>
              <w:i/>
              <w:sz w:val="14"/>
              <w:lang w:val="en-GB"/>
            </w:rPr>
            <w:t>: Cumulative default rates</w:t>
          </w:r>
          <w:r>
            <w:rPr>
              <w:rFonts w:ascii="Segoe UI" w:hAnsi="Segoe UI" w:cs="Segoe UI"/>
              <w:i/>
              <w:sz w:val="14"/>
              <w:lang w:val="en-GB"/>
            </w:rPr>
            <w:t xml:space="preserve"> (table)</w:t>
          </w:r>
          <w:bookmarkEnd w:id="97"/>
          <w:bookmarkEnd w:id="98"/>
        </w:p>
        <w:tbl>
          <w:tblPr>
            <w:tblW w:w="4863" w:type="pct"/>
            <w:tblBorders>
              <w:top w:val="single" w:sz="4" w:space="0" w:color="AFAFB4" w:themeColor="accent4"/>
              <w:bottom w:val="single" w:sz="4" w:space="0" w:color="AFAFB4" w:themeColor="accent4"/>
              <w:insideH w:val="single" w:sz="4" w:space="0" w:color="AFAFB4" w:themeColor="accent4"/>
            </w:tblBorders>
            <w:shd w:val="clear" w:color="auto" w:fill="FFFFFF" w:themeFill="background2"/>
            <w:tblCellMar>
              <w:left w:w="0" w:type="dxa"/>
              <w:right w:w="0" w:type="dxa"/>
            </w:tblCellMar>
            <w:tblLook w:val="0620" w:firstRow="1" w:lastRow="0" w:firstColumn="0" w:lastColumn="0" w:noHBand="1" w:noVBand="1"/>
            <w:tblDescription w:val="{&quot;Ott&quot;:{&quot;FirstRow&quot;:{&quot;BackgroundColor&quot;:{&quot;Key&quot;:&quot;Light2&quot;},&quot;Font&quot;:{&quot;Name&quot;:&quot;Source Sans Pro&quot;,&quot;Size&quot;:14.0,&quot;Bold&quot;:false,&quot;Italic&quot;:false,&quot;Color&quot;:{&quot;Key&quot;:&quot;Dark2&quot;}},&quot;ExcelCellFormatting&quot;:&quot;General&quot;,&quot;Alignment&quot;:{&quot;Horizontal&quot;:&quot;Left&quot;,&quot;Vertical&quot;:&quot;Bottom&quot;},&quot;Borders&quot;:{&quot;Vertical&quot;:{&quot;Visible&quot;:false},&quot;Left&quot;:{&quot;Visible&quot;:false},&quot;Top&quot;:{&quot;Visible&quot;:false},&quot;Right&quot;:{&quot;Visible&quot;:false},&quot;Bottom&quot;:{&quot;Color&quot;:{&quot;Key&quot;:&quot;Accent4&quot;},&quot;BorderWeight&quot;:&quot;Pt1_5&quot;,&quot;Type&quot;:&quot;Solid&quot;,&quot;Visible&quot;:true}}},&quot;FitRowHeightPp&quot;:true,&quot;ZeroMarginsWord&quot;:true,&quot;BackgroundColor&quot;:{&quot;Key&quot;:&quot;Light2&quot;},&quot;Font&quot;:{&quot;Name&quot;:&quot;Source Sans Pro&quot;,&quot;Size&quot;:11.0,&quot;Bold&quot;:false,&quot;Italic&quot;:false,&quot;Color&quot;:{&quot;Key&quot;:&quot;Dark2&quot;}},&quot;LineSpacing&quot;:{&quot;Rule&quot;:&quot;Single&quot;},&quot;Alignment&quot;:{&quot;Horizontal&quot;:&quot;Left&quot;,&quot;Vertical&quot;:&quot;Top&quot;},&quot;Margin&quot;:{&quot;Left&quot;:5.7,&quot;Top&quot;:3.0,&quot;Right&quot;:5.7,&quot;Bottom&quot;:3.0},&quot;Borders&quot;:{&quot;Vertical&quot;:{&quot;Visible&quot;:false},&quot;Horizontal&quot;:{&quot;Color&quot;:{&quot;Key&quot;:&quot;Accent4&quot;},&quot;BorderWeight&quot;:&quot;Pt0_5&quot;,&quot;Type&quot;:&quot;Solid&quot;,&quot;Visible&quot;:true}},&quot;ParagraphSpacing&quot;:{&quot;SpaceBefore&quot;:2.0,&quot;SpaceAfter&quot;:2.0},&quot;ExcelWrapText&quot;:true},&quot;Ccs&quot;:{&quot;DarkBlue&quot;:&quot;0, 20, 55&quot;,&quot;Turquoise&quot;:&quot;0, 164, 230&quot;,&quot;Red&quot;:&quot;214, 70, 65&quot;,&quot;LightGrey&quot;:&quot;174, 174, 180&quot;,&quot;BlueGrey&quot;:&quot;77, 91, 115&quot;,&quot;IceBlue&quot;:&quot;178, 184, 195&quot;,&quot;Grey&quot;:&quot;145, 147, 153&quot;,&quot;Background&quot;:&quot;0, 0, 0, 0&quot;,&quot;White&quot;:&quot;White&quot;,&quot;Accent1&quot;:&quot;1, 1, 1, 1&quot;,&quot;Accent2&quot;:&quot;1, 1, 1, 2&quot;,&quot;Accent3&quot;:&quot;1, 1, 1, 3&quot;,&quot;Accent4&quot;:&quot;1, 1, 1, 4&quot;,&quot;Accent5&quot;:&quot;1, 1, 1, 5&quot;,&quot;Accent6&quot;:&quot;1, 1, 1, 6&quot;,&quot;Dark1&quot;:&quot;1, 1, 1, 7&quot;,&quot;Dark2&quot;:&quot;1, 1, 1, 9&quot;,&quot;Light1&quot;:&quot;1, 1, 1, 8&quot;,&quot;Light2&quot;:&quot;1, 1, 1, 10&quot;},&quot;Cop&quot;:{&quot;FirstRow&quot;:true,&quot;LastRow&quot;:false,&quot;FirstColumn&quot;:false,&quot;LastColumn&quot;:false,&quot;BandedRows&quot;:false,&quot;BandedColumns&quot;:false},&quot;Aaf&quot;:false}"/>
          </w:tblPr>
          <w:tblGrid>
            <w:gridCol w:w="1676"/>
            <w:gridCol w:w="1676"/>
            <w:gridCol w:w="1679"/>
            <w:gridCol w:w="1677"/>
            <w:gridCol w:w="1677"/>
            <w:gridCol w:w="1679"/>
          </w:tblGrid>
          <w:tr w:rsidR="00282197" w:rsidRPr="00ED33EF" w14:paraId="5E70584E" w14:textId="77777777" w:rsidTr="00A875C2">
            <w:trPr>
              <w:trHeight w:val="283"/>
            </w:trPr>
            <w:tc>
              <w:tcPr>
                <w:tcW w:w="833"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0484E0A4" w14:textId="77777777" w:rsidR="00282197" w:rsidRPr="00ED33EF" w:rsidRDefault="00282197" w:rsidP="004E4A85">
                <w:pPr>
                  <w:spacing w:before="0" w:line="240" w:lineRule="auto"/>
                  <w:jc w:val="center"/>
                  <w:rPr>
                    <w:b/>
                    <w:color w:val="33A1AB" w:themeColor="accent2"/>
                    <w:sz w:val="14"/>
                    <w:szCs w:val="14"/>
                  </w:rPr>
                </w:pPr>
                <w:r>
                  <w:rPr>
                    <w:b/>
                    <w:color w:val="33A1AB" w:themeColor="accent2"/>
                    <w:sz w:val="14"/>
                    <w:szCs w:val="14"/>
                  </w:rPr>
                  <w:t>Year of pool</w:t>
                </w:r>
              </w:p>
            </w:tc>
            <w:tc>
              <w:tcPr>
                <w:tcW w:w="833"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78AAA062" w14:textId="3615CE72" w:rsidR="00282197" w:rsidRPr="00ED33EF" w:rsidRDefault="00282197" w:rsidP="004E4A85">
                <w:pPr>
                  <w:spacing w:before="0" w:line="240" w:lineRule="auto"/>
                  <w:jc w:val="center"/>
                  <w:rPr>
                    <w:b/>
                    <w:color w:val="33A1AB" w:themeColor="accent2"/>
                    <w:sz w:val="14"/>
                    <w:szCs w:val="14"/>
                  </w:rPr>
                </w:pPr>
                <w:r>
                  <w:rPr>
                    <w:b/>
                    <w:color w:val="33A1AB" w:themeColor="accent2"/>
                    <w:sz w:val="14"/>
                    <w:szCs w:val="14"/>
                  </w:rPr>
                  <w:t>1-Y DEFAULT</w:t>
                </w:r>
              </w:p>
            </w:tc>
            <w:tc>
              <w:tcPr>
                <w:tcW w:w="834"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44D7C145" w14:textId="7D9DB5AA" w:rsidR="00282197" w:rsidRPr="00ED33EF" w:rsidRDefault="00282197" w:rsidP="004E4A85">
                <w:pPr>
                  <w:spacing w:before="0" w:line="240" w:lineRule="auto"/>
                  <w:jc w:val="center"/>
                  <w:rPr>
                    <w:b/>
                    <w:color w:val="33A1AB" w:themeColor="accent2"/>
                    <w:sz w:val="14"/>
                    <w:szCs w:val="14"/>
                  </w:rPr>
                </w:pPr>
                <w:r>
                  <w:rPr>
                    <w:b/>
                    <w:color w:val="33A1AB" w:themeColor="accent2"/>
                    <w:sz w:val="14"/>
                    <w:szCs w:val="14"/>
                  </w:rPr>
                  <w:t>2-Y DEFAULT</w:t>
                </w:r>
              </w:p>
            </w:tc>
            <w:tc>
              <w:tcPr>
                <w:tcW w:w="833" w:type="pct"/>
                <w:tcBorders>
                  <w:top w:val="single" w:sz="12" w:space="0" w:color="AFAFB4" w:themeColor="accent4"/>
                </w:tcBorders>
                <w:shd w:val="clear" w:color="auto" w:fill="FFFFFF" w:themeFill="background2"/>
                <w:vAlign w:val="center"/>
              </w:tcPr>
              <w:p w14:paraId="241E3CAD" w14:textId="264F3B30" w:rsidR="00282197" w:rsidRPr="00ED33EF" w:rsidRDefault="00282197" w:rsidP="004E4A85">
                <w:pPr>
                  <w:spacing w:before="0" w:line="240" w:lineRule="auto"/>
                  <w:jc w:val="center"/>
                  <w:rPr>
                    <w:b/>
                    <w:color w:val="33A1AB" w:themeColor="accent2"/>
                    <w:sz w:val="14"/>
                    <w:szCs w:val="14"/>
                  </w:rPr>
                </w:pPr>
                <w:r>
                  <w:rPr>
                    <w:b/>
                    <w:color w:val="33A1AB" w:themeColor="accent2"/>
                    <w:sz w:val="14"/>
                    <w:szCs w:val="14"/>
                  </w:rPr>
                  <w:t>3-Y DEFAULT</w:t>
                </w:r>
              </w:p>
            </w:tc>
            <w:tc>
              <w:tcPr>
                <w:tcW w:w="833" w:type="pct"/>
                <w:tcBorders>
                  <w:top w:val="single" w:sz="12" w:space="0" w:color="AFAFB4" w:themeColor="accent4"/>
                </w:tcBorders>
                <w:shd w:val="clear" w:color="auto" w:fill="FFFFFF" w:themeFill="background2"/>
                <w:vAlign w:val="center"/>
              </w:tcPr>
              <w:p w14:paraId="370A6CB3" w14:textId="4ABE3CE3" w:rsidR="00282197" w:rsidRPr="00ED33EF" w:rsidRDefault="00282197" w:rsidP="004E4A85">
                <w:pPr>
                  <w:spacing w:before="0" w:line="240" w:lineRule="auto"/>
                  <w:jc w:val="center"/>
                  <w:rPr>
                    <w:b/>
                    <w:color w:val="33A1AB" w:themeColor="accent2"/>
                    <w:sz w:val="14"/>
                    <w:szCs w:val="14"/>
                  </w:rPr>
                </w:pPr>
                <w:r>
                  <w:rPr>
                    <w:b/>
                    <w:color w:val="33A1AB" w:themeColor="accent2"/>
                    <w:sz w:val="14"/>
                    <w:szCs w:val="14"/>
                  </w:rPr>
                  <w:t>4-Y DEFAULT</w:t>
                </w:r>
              </w:p>
            </w:tc>
            <w:tc>
              <w:tcPr>
                <w:tcW w:w="834" w:type="pct"/>
                <w:tcBorders>
                  <w:top w:val="single" w:sz="12" w:space="0" w:color="AFAFB4" w:themeColor="accent4"/>
                </w:tcBorders>
                <w:shd w:val="clear" w:color="auto" w:fill="FFFFFF" w:themeFill="background2"/>
                <w:vAlign w:val="center"/>
              </w:tcPr>
              <w:p w14:paraId="25F8DD2E" w14:textId="3EBEBAEC" w:rsidR="00282197" w:rsidRPr="00ED33EF" w:rsidRDefault="00282197" w:rsidP="004E4A85">
                <w:pPr>
                  <w:spacing w:before="0" w:line="240" w:lineRule="auto"/>
                  <w:jc w:val="center"/>
                  <w:rPr>
                    <w:b/>
                    <w:color w:val="33A1AB" w:themeColor="accent2"/>
                    <w:sz w:val="14"/>
                    <w:szCs w:val="14"/>
                  </w:rPr>
                </w:pPr>
                <w:r>
                  <w:rPr>
                    <w:b/>
                    <w:color w:val="33A1AB" w:themeColor="accent2"/>
                    <w:sz w:val="14"/>
                    <w:szCs w:val="14"/>
                  </w:rPr>
                  <w:t>5-Y DEFAULT</w:t>
                </w:r>
              </w:p>
            </w:tc>
          </w:tr>
          <w:tr w:rsidR="00D35583" w:rsidRPr="003A089A" w14:paraId="6E9D62C7" w14:textId="77777777" w:rsidTr="00A875C2">
            <w:trPr>
              <w:trHeight w:val="283"/>
            </w:trPr>
            <w:tc>
              <w:tcPr>
                <w:tcW w:w="833" w:type="pct"/>
                <w:shd w:val="clear" w:color="auto" w:fill="FFFFFF" w:themeFill="background2"/>
                <w:tcMar>
                  <w:top w:w="60" w:type="dxa"/>
                  <w:left w:w="114" w:type="dxa"/>
                  <w:bottom w:w="60" w:type="dxa"/>
                  <w:right w:w="114" w:type="dxa"/>
                </w:tcMar>
                <w:vAlign w:val="center"/>
              </w:tcPr>
              <w:p w14:paraId="16F88061" w14:textId="77777777" w:rsidR="00D35583" w:rsidRPr="00FF727D" w:rsidRDefault="00D35583" w:rsidP="004E4A85">
                <w:pPr>
                  <w:spacing w:before="0" w:line="240" w:lineRule="auto"/>
                  <w:jc w:val="left"/>
                  <w:rPr>
                    <w:rFonts w:eastAsia="Times New Roman" w:cs="Segoe UI"/>
                    <w:b/>
                    <w:bCs/>
                    <w:sz w:val="14"/>
                    <w:szCs w:val="22"/>
                    <w:lang w:val="en-GB" w:eastAsia="it-IT"/>
                  </w:rPr>
                </w:pPr>
                <w:r w:rsidRPr="00FF727D">
                  <w:rPr>
                    <w:rFonts w:eastAsia="Times New Roman" w:cs="Segoe UI"/>
                    <w:b/>
                    <w:bCs/>
                    <w:sz w:val="14"/>
                    <w:szCs w:val="22"/>
                    <w:lang w:val="en-GB" w:eastAsia="it-IT"/>
                  </w:rPr>
                  <w:t>31 December 2008</w:t>
                </w:r>
              </w:p>
            </w:tc>
            <w:tc>
              <w:tcPr>
                <w:tcW w:w="833" w:type="pct"/>
                <w:shd w:val="clear" w:color="auto" w:fill="FFFFFF" w:themeFill="background2"/>
                <w:tcMar>
                  <w:top w:w="60" w:type="dxa"/>
                  <w:left w:w="114" w:type="dxa"/>
                  <w:bottom w:w="60" w:type="dxa"/>
                  <w:right w:w="114" w:type="dxa"/>
                </w:tcMar>
                <w:vAlign w:val="center"/>
              </w:tcPr>
              <w:p w14:paraId="5661CD1F" w14:textId="2FCD7901" w:rsidR="00D35583" w:rsidRPr="00FF727D" w:rsidRDefault="00D35583" w:rsidP="004E4A85">
                <w:pPr>
                  <w:spacing w:before="0" w:line="240" w:lineRule="auto"/>
                  <w:jc w:val="center"/>
                  <w:rPr>
                    <w:rFonts w:eastAsia="Times New Roman" w:cs="Segoe UI"/>
                    <w:sz w:val="14"/>
                    <w:szCs w:val="22"/>
                    <w:lang w:val="en-GB" w:eastAsia="it-IT"/>
                  </w:rPr>
                </w:pPr>
                <w:r w:rsidRPr="00E6657C">
                  <w:rPr>
                    <w:rFonts w:eastAsia="Times New Roman" w:cs="Segoe UI"/>
                    <w:sz w:val="14"/>
                    <w:szCs w:val="22"/>
                    <w:lang w:val="en-GB" w:eastAsia="it-IT"/>
                  </w:rPr>
                  <w:t>5</w:t>
                </w:r>
                <w:r w:rsidR="00E36720">
                  <w:rPr>
                    <w:rFonts w:eastAsia="Times New Roman" w:cs="Segoe UI"/>
                    <w:sz w:val="14"/>
                    <w:szCs w:val="22"/>
                    <w:lang w:val="en-GB" w:eastAsia="it-IT"/>
                  </w:rPr>
                  <w:t>.</w:t>
                </w:r>
                <w:r w:rsidRPr="00E6657C">
                  <w:rPr>
                    <w:rFonts w:eastAsia="Times New Roman" w:cs="Segoe UI"/>
                    <w:sz w:val="14"/>
                    <w:szCs w:val="22"/>
                    <w:lang w:val="en-GB" w:eastAsia="it-IT"/>
                  </w:rPr>
                  <w:t>40%</w:t>
                </w:r>
              </w:p>
            </w:tc>
            <w:tc>
              <w:tcPr>
                <w:tcW w:w="834" w:type="pct"/>
                <w:shd w:val="clear" w:color="auto" w:fill="FFFFFF" w:themeFill="background2"/>
                <w:tcMar>
                  <w:top w:w="60" w:type="dxa"/>
                  <w:left w:w="114" w:type="dxa"/>
                  <w:bottom w:w="60" w:type="dxa"/>
                  <w:right w:w="114" w:type="dxa"/>
                </w:tcMar>
                <w:vAlign w:val="center"/>
              </w:tcPr>
              <w:p w14:paraId="01070DD6" w14:textId="5EB311D9" w:rsidR="00D35583" w:rsidRPr="00FF727D" w:rsidRDefault="00D35583" w:rsidP="004E4A85">
                <w:pPr>
                  <w:spacing w:before="0" w:line="240" w:lineRule="auto"/>
                  <w:jc w:val="center"/>
                  <w:rPr>
                    <w:rFonts w:eastAsia="Times New Roman" w:cs="Segoe UI"/>
                    <w:sz w:val="14"/>
                    <w:szCs w:val="22"/>
                    <w:lang w:val="en-GB" w:eastAsia="it-IT"/>
                  </w:rPr>
                </w:pPr>
                <w:r w:rsidRPr="00E6657C">
                  <w:rPr>
                    <w:rFonts w:eastAsia="Times New Roman" w:cs="Segoe UI"/>
                    <w:sz w:val="14"/>
                    <w:szCs w:val="22"/>
                    <w:lang w:val="en-GB" w:eastAsia="it-IT"/>
                  </w:rPr>
                  <w:t>8</w:t>
                </w:r>
                <w:r w:rsidR="00E36720">
                  <w:rPr>
                    <w:rFonts w:eastAsia="Times New Roman" w:cs="Segoe UI"/>
                    <w:sz w:val="14"/>
                    <w:szCs w:val="22"/>
                    <w:lang w:val="en-GB" w:eastAsia="it-IT"/>
                  </w:rPr>
                  <w:t>.</w:t>
                </w:r>
                <w:r w:rsidRPr="00E6657C">
                  <w:rPr>
                    <w:rFonts w:eastAsia="Times New Roman" w:cs="Segoe UI"/>
                    <w:sz w:val="14"/>
                    <w:szCs w:val="22"/>
                    <w:lang w:val="en-GB" w:eastAsia="it-IT"/>
                  </w:rPr>
                  <w:t>14%</w:t>
                </w:r>
              </w:p>
            </w:tc>
            <w:tc>
              <w:tcPr>
                <w:tcW w:w="833" w:type="pct"/>
                <w:shd w:val="clear" w:color="auto" w:fill="FFFFFF" w:themeFill="background2"/>
                <w:vAlign w:val="center"/>
              </w:tcPr>
              <w:p w14:paraId="06AA699E" w14:textId="769AF60C" w:rsidR="00D35583" w:rsidRPr="00FF727D" w:rsidRDefault="00D35583" w:rsidP="004E4A85">
                <w:pPr>
                  <w:spacing w:before="0" w:line="240" w:lineRule="auto"/>
                  <w:jc w:val="center"/>
                  <w:rPr>
                    <w:rFonts w:eastAsia="Times New Roman" w:cs="Segoe UI"/>
                    <w:sz w:val="14"/>
                    <w:szCs w:val="22"/>
                    <w:lang w:val="en-GB" w:eastAsia="it-IT"/>
                  </w:rPr>
                </w:pPr>
                <w:r w:rsidRPr="00E6657C">
                  <w:rPr>
                    <w:rFonts w:eastAsia="Times New Roman" w:cs="Segoe UI"/>
                    <w:sz w:val="14"/>
                    <w:szCs w:val="22"/>
                    <w:lang w:val="en-GB" w:eastAsia="it-IT"/>
                  </w:rPr>
                  <w:t>10</w:t>
                </w:r>
                <w:r w:rsidR="00E36720">
                  <w:rPr>
                    <w:rFonts w:eastAsia="Times New Roman" w:cs="Segoe UI"/>
                    <w:sz w:val="14"/>
                    <w:szCs w:val="22"/>
                    <w:lang w:val="en-GB" w:eastAsia="it-IT"/>
                  </w:rPr>
                  <w:t>.</w:t>
                </w:r>
                <w:r w:rsidRPr="00E6657C">
                  <w:rPr>
                    <w:rFonts w:eastAsia="Times New Roman" w:cs="Segoe UI"/>
                    <w:sz w:val="14"/>
                    <w:szCs w:val="22"/>
                    <w:lang w:val="en-GB" w:eastAsia="it-IT"/>
                  </w:rPr>
                  <w:t>90%</w:t>
                </w:r>
              </w:p>
            </w:tc>
            <w:tc>
              <w:tcPr>
                <w:tcW w:w="833" w:type="pct"/>
                <w:shd w:val="clear" w:color="auto" w:fill="FFFFFF" w:themeFill="background2"/>
                <w:vAlign w:val="center"/>
              </w:tcPr>
              <w:p w14:paraId="52A27F95" w14:textId="302289F2" w:rsidR="00D35583" w:rsidRPr="00FF727D" w:rsidRDefault="00D35583" w:rsidP="004E4A85">
                <w:pPr>
                  <w:spacing w:before="0" w:line="240" w:lineRule="auto"/>
                  <w:jc w:val="center"/>
                  <w:rPr>
                    <w:rFonts w:eastAsia="Times New Roman" w:cs="Segoe UI"/>
                    <w:sz w:val="14"/>
                    <w:szCs w:val="22"/>
                    <w:lang w:val="en-GB" w:eastAsia="it-IT"/>
                  </w:rPr>
                </w:pPr>
                <w:r w:rsidRPr="003B5366">
                  <w:rPr>
                    <w:rFonts w:eastAsia="Times New Roman" w:cs="Segoe UI"/>
                    <w:sz w:val="14"/>
                    <w:szCs w:val="22"/>
                    <w:lang w:val="en-GB" w:eastAsia="it-IT"/>
                  </w:rPr>
                  <w:t>14</w:t>
                </w:r>
                <w:r w:rsidR="00E36720">
                  <w:rPr>
                    <w:rFonts w:eastAsia="Times New Roman" w:cs="Segoe UI"/>
                    <w:sz w:val="14"/>
                    <w:szCs w:val="22"/>
                    <w:lang w:val="en-GB" w:eastAsia="it-IT"/>
                  </w:rPr>
                  <w:t>.</w:t>
                </w:r>
                <w:r w:rsidRPr="003B5366">
                  <w:rPr>
                    <w:rFonts w:eastAsia="Times New Roman" w:cs="Segoe UI"/>
                    <w:sz w:val="14"/>
                    <w:szCs w:val="22"/>
                    <w:lang w:val="en-GB" w:eastAsia="it-IT"/>
                  </w:rPr>
                  <w:t>18%</w:t>
                </w:r>
              </w:p>
            </w:tc>
            <w:tc>
              <w:tcPr>
                <w:tcW w:w="834" w:type="pct"/>
                <w:shd w:val="clear" w:color="auto" w:fill="FFFFFF" w:themeFill="background2"/>
                <w:vAlign w:val="center"/>
              </w:tcPr>
              <w:p w14:paraId="3F054A68" w14:textId="43A0E52E" w:rsidR="00D35583" w:rsidRPr="00FF727D" w:rsidRDefault="00D35583" w:rsidP="004E4A85">
                <w:pPr>
                  <w:spacing w:before="0" w:line="240" w:lineRule="auto"/>
                  <w:jc w:val="center"/>
                  <w:rPr>
                    <w:rFonts w:eastAsia="Times New Roman" w:cs="Segoe UI"/>
                    <w:sz w:val="14"/>
                    <w:szCs w:val="22"/>
                    <w:lang w:val="en-GB" w:eastAsia="it-IT"/>
                  </w:rPr>
                </w:pPr>
                <w:r w:rsidRPr="004E4084">
                  <w:rPr>
                    <w:rFonts w:eastAsia="Times New Roman" w:cs="Segoe UI"/>
                    <w:sz w:val="14"/>
                    <w:szCs w:val="22"/>
                    <w:lang w:val="en-GB" w:eastAsia="it-IT"/>
                  </w:rPr>
                  <w:t>15</w:t>
                </w:r>
                <w:r w:rsidR="00E36720">
                  <w:rPr>
                    <w:rFonts w:eastAsia="Times New Roman" w:cs="Segoe UI"/>
                    <w:sz w:val="14"/>
                    <w:szCs w:val="22"/>
                    <w:lang w:val="en-GB" w:eastAsia="it-IT"/>
                  </w:rPr>
                  <w:t>.</w:t>
                </w:r>
                <w:r w:rsidRPr="004E4084">
                  <w:rPr>
                    <w:rFonts w:eastAsia="Times New Roman" w:cs="Segoe UI"/>
                    <w:sz w:val="14"/>
                    <w:szCs w:val="22"/>
                    <w:lang w:val="en-GB" w:eastAsia="it-IT"/>
                  </w:rPr>
                  <w:t>52%</w:t>
                </w:r>
              </w:p>
            </w:tc>
          </w:tr>
          <w:tr w:rsidR="00D35583" w:rsidRPr="003A089A" w14:paraId="128F71C8" w14:textId="77777777" w:rsidTr="00A875C2">
            <w:trPr>
              <w:trHeight w:val="283"/>
            </w:trPr>
            <w:tc>
              <w:tcPr>
                <w:tcW w:w="833" w:type="pct"/>
                <w:shd w:val="clear" w:color="auto" w:fill="FFFFFF" w:themeFill="background2"/>
                <w:tcMar>
                  <w:top w:w="60" w:type="dxa"/>
                  <w:left w:w="114" w:type="dxa"/>
                  <w:bottom w:w="60" w:type="dxa"/>
                  <w:right w:w="114" w:type="dxa"/>
                </w:tcMar>
                <w:vAlign w:val="center"/>
              </w:tcPr>
              <w:p w14:paraId="26E35FFC" w14:textId="77777777" w:rsidR="00D35583" w:rsidRPr="00FF727D" w:rsidRDefault="00D35583" w:rsidP="004E4A85">
                <w:pPr>
                  <w:spacing w:before="0" w:line="240" w:lineRule="auto"/>
                  <w:jc w:val="left"/>
                  <w:rPr>
                    <w:rFonts w:eastAsia="Times New Roman" w:cs="Segoe UI"/>
                    <w:b/>
                    <w:bCs/>
                    <w:sz w:val="14"/>
                    <w:szCs w:val="22"/>
                    <w:lang w:val="en-GB" w:eastAsia="it-IT"/>
                  </w:rPr>
                </w:pPr>
                <w:r w:rsidRPr="00FF727D">
                  <w:rPr>
                    <w:rFonts w:eastAsia="Times New Roman" w:cs="Segoe UI"/>
                    <w:b/>
                    <w:bCs/>
                    <w:sz w:val="14"/>
                    <w:szCs w:val="22"/>
                    <w:lang w:val="en-GB" w:eastAsia="it-IT"/>
                  </w:rPr>
                  <w:t>31 December 2009</w:t>
                </w:r>
              </w:p>
            </w:tc>
            <w:tc>
              <w:tcPr>
                <w:tcW w:w="833" w:type="pct"/>
                <w:shd w:val="clear" w:color="auto" w:fill="FFFFFF" w:themeFill="background2"/>
                <w:tcMar>
                  <w:top w:w="60" w:type="dxa"/>
                  <w:left w:w="114" w:type="dxa"/>
                  <w:bottom w:w="60" w:type="dxa"/>
                  <w:right w:w="114" w:type="dxa"/>
                </w:tcMar>
                <w:vAlign w:val="center"/>
              </w:tcPr>
              <w:p w14:paraId="7BE60B67" w14:textId="1B237A34" w:rsidR="00D35583" w:rsidRPr="00FF727D" w:rsidRDefault="00D35583" w:rsidP="004E4A85">
                <w:pPr>
                  <w:spacing w:before="0" w:line="240" w:lineRule="auto"/>
                  <w:jc w:val="center"/>
                  <w:rPr>
                    <w:rFonts w:eastAsia="Times New Roman" w:cs="Segoe UI"/>
                    <w:sz w:val="14"/>
                    <w:szCs w:val="22"/>
                    <w:lang w:val="en-GB" w:eastAsia="it-IT"/>
                  </w:rPr>
                </w:pPr>
                <w:r w:rsidRPr="00E6657C">
                  <w:rPr>
                    <w:rFonts w:eastAsia="Times New Roman" w:cs="Segoe UI"/>
                    <w:sz w:val="14"/>
                    <w:szCs w:val="22"/>
                    <w:lang w:val="en-GB" w:eastAsia="it-IT"/>
                  </w:rPr>
                  <w:t>4</w:t>
                </w:r>
                <w:r w:rsidR="00E36720">
                  <w:rPr>
                    <w:rFonts w:eastAsia="Times New Roman" w:cs="Segoe UI"/>
                    <w:sz w:val="14"/>
                    <w:szCs w:val="22"/>
                    <w:lang w:val="en-GB" w:eastAsia="it-IT"/>
                  </w:rPr>
                  <w:t>.</w:t>
                </w:r>
                <w:r w:rsidRPr="00E6657C">
                  <w:rPr>
                    <w:rFonts w:eastAsia="Times New Roman" w:cs="Segoe UI"/>
                    <w:sz w:val="14"/>
                    <w:szCs w:val="22"/>
                    <w:lang w:val="en-GB" w:eastAsia="it-IT"/>
                  </w:rPr>
                  <w:t>42%</w:t>
                </w:r>
              </w:p>
            </w:tc>
            <w:tc>
              <w:tcPr>
                <w:tcW w:w="834" w:type="pct"/>
                <w:shd w:val="clear" w:color="auto" w:fill="FFFFFF" w:themeFill="background2"/>
                <w:tcMar>
                  <w:top w:w="60" w:type="dxa"/>
                  <w:left w:w="114" w:type="dxa"/>
                  <w:bottom w:w="60" w:type="dxa"/>
                  <w:right w:w="114" w:type="dxa"/>
                </w:tcMar>
                <w:vAlign w:val="center"/>
              </w:tcPr>
              <w:p w14:paraId="43506BD9" w14:textId="0155E186" w:rsidR="00D35583" w:rsidRPr="00FF727D" w:rsidRDefault="00D35583" w:rsidP="004E4A85">
                <w:pPr>
                  <w:spacing w:before="0" w:line="240" w:lineRule="auto"/>
                  <w:jc w:val="center"/>
                  <w:rPr>
                    <w:rFonts w:eastAsia="Times New Roman" w:cs="Segoe UI"/>
                    <w:sz w:val="14"/>
                    <w:szCs w:val="22"/>
                    <w:lang w:val="en-GB" w:eastAsia="it-IT"/>
                  </w:rPr>
                </w:pPr>
                <w:r w:rsidRPr="00E6657C">
                  <w:rPr>
                    <w:rFonts w:eastAsia="Times New Roman" w:cs="Segoe UI"/>
                    <w:sz w:val="14"/>
                    <w:szCs w:val="22"/>
                    <w:lang w:val="en-GB" w:eastAsia="it-IT"/>
                  </w:rPr>
                  <w:t>6</w:t>
                </w:r>
                <w:r w:rsidR="00E36720">
                  <w:rPr>
                    <w:rFonts w:eastAsia="Times New Roman" w:cs="Segoe UI"/>
                    <w:sz w:val="14"/>
                    <w:szCs w:val="22"/>
                    <w:lang w:val="en-GB" w:eastAsia="it-IT"/>
                  </w:rPr>
                  <w:t>.</w:t>
                </w:r>
                <w:r w:rsidRPr="00E6657C">
                  <w:rPr>
                    <w:rFonts w:eastAsia="Times New Roman" w:cs="Segoe UI"/>
                    <w:sz w:val="14"/>
                    <w:szCs w:val="22"/>
                    <w:lang w:val="en-GB" w:eastAsia="it-IT"/>
                  </w:rPr>
                  <w:t>87%</w:t>
                </w:r>
              </w:p>
            </w:tc>
            <w:tc>
              <w:tcPr>
                <w:tcW w:w="833" w:type="pct"/>
                <w:shd w:val="clear" w:color="auto" w:fill="FFFFFF" w:themeFill="background2"/>
                <w:vAlign w:val="center"/>
              </w:tcPr>
              <w:p w14:paraId="7F46405D" w14:textId="26783E3B" w:rsidR="00D35583" w:rsidRPr="00FF727D" w:rsidRDefault="00D35583" w:rsidP="004E4A85">
                <w:pPr>
                  <w:spacing w:before="0" w:line="240" w:lineRule="auto"/>
                  <w:jc w:val="center"/>
                  <w:rPr>
                    <w:rFonts w:eastAsia="Times New Roman" w:cs="Segoe UI"/>
                    <w:sz w:val="14"/>
                    <w:szCs w:val="22"/>
                    <w:lang w:val="en-GB" w:eastAsia="it-IT"/>
                  </w:rPr>
                </w:pPr>
                <w:r w:rsidRPr="00E6657C">
                  <w:rPr>
                    <w:rFonts w:eastAsia="Times New Roman" w:cs="Segoe UI"/>
                    <w:sz w:val="14"/>
                    <w:szCs w:val="22"/>
                    <w:lang w:val="en-GB" w:eastAsia="it-IT"/>
                  </w:rPr>
                  <w:t>9</w:t>
                </w:r>
                <w:r w:rsidR="00E36720">
                  <w:rPr>
                    <w:rFonts w:eastAsia="Times New Roman" w:cs="Segoe UI"/>
                    <w:sz w:val="14"/>
                    <w:szCs w:val="22"/>
                    <w:lang w:val="en-GB" w:eastAsia="it-IT"/>
                  </w:rPr>
                  <w:t>.</w:t>
                </w:r>
                <w:r w:rsidRPr="00E6657C">
                  <w:rPr>
                    <w:rFonts w:eastAsia="Times New Roman" w:cs="Segoe UI"/>
                    <w:sz w:val="14"/>
                    <w:szCs w:val="22"/>
                    <w:lang w:val="en-GB" w:eastAsia="it-IT"/>
                  </w:rPr>
                  <w:t>90%</w:t>
                </w:r>
              </w:p>
            </w:tc>
            <w:tc>
              <w:tcPr>
                <w:tcW w:w="833" w:type="pct"/>
                <w:shd w:val="clear" w:color="auto" w:fill="FFFFFF" w:themeFill="background2"/>
                <w:vAlign w:val="center"/>
              </w:tcPr>
              <w:p w14:paraId="45203C80" w14:textId="655F1642" w:rsidR="00D35583" w:rsidRPr="00FF727D" w:rsidRDefault="00D35583" w:rsidP="004E4A85">
                <w:pPr>
                  <w:spacing w:before="0" w:line="240" w:lineRule="auto"/>
                  <w:jc w:val="center"/>
                  <w:rPr>
                    <w:rFonts w:eastAsia="Times New Roman" w:cs="Segoe UI"/>
                    <w:sz w:val="14"/>
                    <w:szCs w:val="22"/>
                    <w:lang w:val="en-GB" w:eastAsia="it-IT"/>
                  </w:rPr>
                </w:pPr>
                <w:r w:rsidRPr="003B5366">
                  <w:rPr>
                    <w:rFonts w:eastAsia="Times New Roman" w:cs="Segoe UI"/>
                    <w:sz w:val="14"/>
                    <w:szCs w:val="22"/>
                    <w:lang w:val="en-GB" w:eastAsia="it-IT"/>
                  </w:rPr>
                  <w:t>11</w:t>
                </w:r>
                <w:r w:rsidR="00E36720">
                  <w:rPr>
                    <w:rFonts w:eastAsia="Times New Roman" w:cs="Segoe UI"/>
                    <w:sz w:val="14"/>
                    <w:szCs w:val="22"/>
                    <w:lang w:val="en-GB" w:eastAsia="it-IT"/>
                  </w:rPr>
                  <w:t>.</w:t>
                </w:r>
                <w:r w:rsidRPr="003B5366">
                  <w:rPr>
                    <w:rFonts w:eastAsia="Times New Roman" w:cs="Segoe UI"/>
                    <w:sz w:val="14"/>
                    <w:szCs w:val="22"/>
                    <w:lang w:val="en-GB" w:eastAsia="it-IT"/>
                  </w:rPr>
                  <w:t>04%</w:t>
                </w:r>
              </w:p>
            </w:tc>
            <w:tc>
              <w:tcPr>
                <w:tcW w:w="834" w:type="pct"/>
                <w:shd w:val="clear" w:color="auto" w:fill="FFFFFF" w:themeFill="background2"/>
                <w:vAlign w:val="center"/>
              </w:tcPr>
              <w:p w14:paraId="00BDD923" w14:textId="07E18CE9" w:rsidR="00D35583" w:rsidRPr="00FF727D" w:rsidRDefault="00D35583" w:rsidP="004E4A85">
                <w:pPr>
                  <w:spacing w:before="0" w:line="240" w:lineRule="auto"/>
                  <w:jc w:val="center"/>
                  <w:rPr>
                    <w:rFonts w:eastAsia="Times New Roman" w:cs="Segoe UI"/>
                    <w:sz w:val="14"/>
                    <w:szCs w:val="22"/>
                    <w:lang w:val="en-GB" w:eastAsia="it-IT"/>
                  </w:rPr>
                </w:pPr>
                <w:r w:rsidRPr="004E4084">
                  <w:rPr>
                    <w:rFonts w:eastAsia="Times New Roman" w:cs="Segoe UI"/>
                    <w:sz w:val="14"/>
                    <w:szCs w:val="22"/>
                    <w:lang w:val="en-GB" w:eastAsia="it-IT"/>
                  </w:rPr>
                  <w:t>14</w:t>
                </w:r>
                <w:r w:rsidR="00E36720">
                  <w:rPr>
                    <w:rFonts w:eastAsia="Times New Roman" w:cs="Segoe UI"/>
                    <w:sz w:val="14"/>
                    <w:szCs w:val="22"/>
                    <w:lang w:val="en-GB" w:eastAsia="it-IT"/>
                  </w:rPr>
                  <w:t>.</w:t>
                </w:r>
                <w:r w:rsidRPr="004E4084">
                  <w:rPr>
                    <w:rFonts w:eastAsia="Times New Roman" w:cs="Segoe UI"/>
                    <w:sz w:val="14"/>
                    <w:szCs w:val="22"/>
                    <w:lang w:val="en-GB" w:eastAsia="it-IT"/>
                  </w:rPr>
                  <w:t>08%</w:t>
                </w:r>
              </w:p>
            </w:tc>
          </w:tr>
          <w:tr w:rsidR="00D35583" w:rsidRPr="003A089A" w14:paraId="12D59E88" w14:textId="77777777" w:rsidTr="00A875C2">
            <w:trPr>
              <w:trHeight w:val="283"/>
            </w:trPr>
            <w:tc>
              <w:tcPr>
                <w:tcW w:w="833" w:type="pct"/>
                <w:shd w:val="clear" w:color="auto" w:fill="FFFFFF" w:themeFill="background2"/>
                <w:tcMar>
                  <w:top w:w="60" w:type="dxa"/>
                  <w:left w:w="114" w:type="dxa"/>
                  <w:bottom w:w="60" w:type="dxa"/>
                  <w:right w:w="114" w:type="dxa"/>
                </w:tcMar>
                <w:vAlign w:val="center"/>
              </w:tcPr>
              <w:p w14:paraId="240CBE74" w14:textId="77777777" w:rsidR="00D35583" w:rsidRPr="00FF727D" w:rsidRDefault="00D35583" w:rsidP="004E4A85">
                <w:pPr>
                  <w:spacing w:before="0" w:line="240" w:lineRule="auto"/>
                  <w:jc w:val="left"/>
                  <w:rPr>
                    <w:rFonts w:eastAsia="Times New Roman" w:cs="Segoe UI"/>
                    <w:b/>
                    <w:bCs/>
                    <w:sz w:val="14"/>
                    <w:szCs w:val="22"/>
                    <w:lang w:val="en-GB" w:eastAsia="it-IT"/>
                  </w:rPr>
                </w:pPr>
                <w:r w:rsidRPr="00FF727D">
                  <w:rPr>
                    <w:rFonts w:eastAsia="Times New Roman" w:cs="Segoe UI"/>
                    <w:b/>
                    <w:bCs/>
                    <w:sz w:val="14"/>
                    <w:szCs w:val="22"/>
                    <w:lang w:val="en-GB" w:eastAsia="it-IT"/>
                  </w:rPr>
                  <w:t>31 December 2010</w:t>
                </w:r>
              </w:p>
            </w:tc>
            <w:tc>
              <w:tcPr>
                <w:tcW w:w="833" w:type="pct"/>
                <w:shd w:val="clear" w:color="auto" w:fill="FFFFFF" w:themeFill="background2"/>
                <w:tcMar>
                  <w:top w:w="60" w:type="dxa"/>
                  <w:left w:w="114" w:type="dxa"/>
                  <w:bottom w:w="60" w:type="dxa"/>
                  <w:right w:w="114" w:type="dxa"/>
                </w:tcMar>
                <w:vAlign w:val="center"/>
              </w:tcPr>
              <w:p w14:paraId="17F335D8" w14:textId="36C5F79B" w:rsidR="00D35583" w:rsidRPr="00FF727D" w:rsidRDefault="00D35583" w:rsidP="004E4A85">
                <w:pPr>
                  <w:spacing w:before="0" w:line="240" w:lineRule="auto"/>
                  <w:jc w:val="center"/>
                  <w:rPr>
                    <w:rFonts w:eastAsia="Times New Roman" w:cs="Segoe UI"/>
                    <w:sz w:val="14"/>
                    <w:szCs w:val="22"/>
                    <w:lang w:val="en-GB" w:eastAsia="it-IT"/>
                  </w:rPr>
                </w:pPr>
                <w:r w:rsidRPr="00E6657C">
                  <w:rPr>
                    <w:rFonts w:eastAsia="Times New Roman" w:cs="Segoe UI"/>
                    <w:sz w:val="14"/>
                    <w:szCs w:val="22"/>
                    <w:lang w:val="en-GB" w:eastAsia="it-IT"/>
                  </w:rPr>
                  <w:t>3</w:t>
                </w:r>
                <w:r w:rsidR="00E36720">
                  <w:rPr>
                    <w:rFonts w:eastAsia="Times New Roman" w:cs="Segoe UI"/>
                    <w:sz w:val="14"/>
                    <w:szCs w:val="22"/>
                    <w:lang w:val="en-GB" w:eastAsia="it-IT"/>
                  </w:rPr>
                  <w:t>.</w:t>
                </w:r>
                <w:r w:rsidRPr="00E6657C">
                  <w:rPr>
                    <w:rFonts w:eastAsia="Times New Roman" w:cs="Segoe UI"/>
                    <w:sz w:val="14"/>
                    <w:szCs w:val="22"/>
                    <w:lang w:val="en-GB" w:eastAsia="it-IT"/>
                  </w:rPr>
                  <w:t>70%</w:t>
                </w:r>
              </w:p>
            </w:tc>
            <w:tc>
              <w:tcPr>
                <w:tcW w:w="834" w:type="pct"/>
                <w:shd w:val="clear" w:color="auto" w:fill="FFFFFF" w:themeFill="background2"/>
                <w:tcMar>
                  <w:top w:w="60" w:type="dxa"/>
                  <w:left w:w="114" w:type="dxa"/>
                  <w:bottom w:w="60" w:type="dxa"/>
                  <w:right w:w="114" w:type="dxa"/>
                </w:tcMar>
                <w:vAlign w:val="center"/>
              </w:tcPr>
              <w:p w14:paraId="686560CE" w14:textId="4199D160" w:rsidR="00D35583" w:rsidRPr="00FF727D" w:rsidRDefault="00D35583" w:rsidP="004E4A85">
                <w:pPr>
                  <w:spacing w:before="0" w:line="240" w:lineRule="auto"/>
                  <w:jc w:val="center"/>
                  <w:rPr>
                    <w:rFonts w:eastAsia="Times New Roman" w:cs="Segoe UI"/>
                    <w:sz w:val="14"/>
                    <w:szCs w:val="22"/>
                    <w:lang w:val="en-GB" w:eastAsia="it-IT"/>
                  </w:rPr>
                </w:pPr>
                <w:r w:rsidRPr="00E6657C">
                  <w:rPr>
                    <w:rFonts w:eastAsia="Times New Roman" w:cs="Segoe UI"/>
                    <w:sz w:val="14"/>
                    <w:szCs w:val="22"/>
                    <w:lang w:val="en-GB" w:eastAsia="it-IT"/>
                  </w:rPr>
                  <w:t>6</w:t>
                </w:r>
                <w:r w:rsidR="00E36720">
                  <w:rPr>
                    <w:rFonts w:eastAsia="Times New Roman" w:cs="Segoe UI"/>
                    <w:sz w:val="14"/>
                    <w:szCs w:val="22"/>
                    <w:lang w:val="en-GB" w:eastAsia="it-IT"/>
                  </w:rPr>
                  <w:t>.</w:t>
                </w:r>
                <w:r w:rsidRPr="00E6657C">
                  <w:rPr>
                    <w:rFonts w:eastAsia="Times New Roman" w:cs="Segoe UI"/>
                    <w:sz w:val="14"/>
                    <w:szCs w:val="22"/>
                    <w:lang w:val="en-GB" w:eastAsia="it-IT"/>
                  </w:rPr>
                  <w:t>88%</w:t>
                </w:r>
              </w:p>
            </w:tc>
            <w:tc>
              <w:tcPr>
                <w:tcW w:w="833" w:type="pct"/>
                <w:shd w:val="clear" w:color="auto" w:fill="FFFFFF" w:themeFill="background2"/>
                <w:vAlign w:val="center"/>
              </w:tcPr>
              <w:p w14:paraId="143FA7AA" w14:textId="00EFCD2C" w:rsidR="00D35583" w:rsidRPr="00FF727D" w:rsidRDefault="00D35583" w:rsidP="004E4A85">
                <w:pPr>
                  <w:spacing w:before="0" w:line="240" w:lineRule="auto"/>
                  <w:jc w:val="center"/>
                  <w:rPr>
                    <w:rFonts w:eastAsia="Times New Roman" w:cs="Segoe UI"/>
                    <w:sz w:val="14"/>
                    <w:szCs w:val="22"/>
                    <w:lang w:val="en-GB" w:eastAsia="it-IT"/>
                  </w:rPr>
                </w:pPr>
                <w:r w:rsidRPr="00E6657C">
                  <w:rPr>
                    <w:rFonts w:eastAsia="Times New Roman" w:cs="Segoe UI"/>
                    <w:sz w:val="14"/>
                    <w:szCs w:val="22"/>
                    <w:lang w:val="en-GB" w:eastAsia="it-IT"/>
                  </w:rPr>
                  <w:t>8</w:t>
                </w:r>
                <w:r w:rsidR="00E36720">
                  <w:rPr>
                    <w:rFonts w:eastAsia="Times New Roman" w:cs="Segoe UI"/>
                    <w:sz w:val="14"/>
                    <w:szCs w:val="22"/>
                    <w:lang w:val="en-GB" w:eastAsia="it-IT"/>
                  </w:rPr>
                  <w:t>.</w:t>
                </w:r>
                <w:r w:rsidRPr="00E6657C">
                  <w:rPr>
                    <w:rFonts w:eastAsia="Times New Roman" w:cs="Segoe UI"/>
                    <w:sz w:val="14"/>
                    <w:szCs w:val="22"/>
                    <w:lang w:val="en-GB" w:eastAsia="it-IT"/>
                  </w:rPr>
                  <w:t>04%</w:t>
                </w:r>
              </w:p>
            </w:tc>
            <w:tc>
              <w:tcPr>
                <w:tcW w:w="833" w:type="pct"/>
                <w:shd w:val="clear" w:color="auto" w:fill="FFFFFF" w:themeFill="background2"/>
                <w:vAlign w:val="center"/>
              </w:tcPr>
              <w:p w14:paraId="690FDCA7" w14:textId="065146A6" w:rsidR="00D35583" w:rsidRPr="00FF727D" w:rsidRDefault="00D35583" w:rsidP="004E4A85">
                <w:pPr>
                  <w:spacing w:before="0" w:line="240" w:lineRule="auto"/>
                  <w:jc w:val="center"/>
                  <w:rPr>
                    <w:rFonts w:eastAsia="Times New Roman" w:cs="Segoe UI"/>
                    <w:sz w:val="14"/>
                    <w:szCs w:val="22"/>
                    <w:lang w:val="en-GB" w:eastAsia="it-IT"/>
                  </w:rPr>
                </w:pPr>
                <w:r w:rsidRPr="003B5366">
                  <w:rPr>
                    <w:rFonts w:eastAsia="Times New Roman" w:cs="Segoe UI"/>
                    <w:sz w:val="14"/>
                    <w:szCs w:val="22"/>
                    <w:lang w:val="en-GB" w:eastAsia="it-IT"/>
                  </w:rPr>
                  <w:t>11</w:t>
                </w:r>
                <w:r w:rsidR="00E36720">
                  <w:rPr>
                    <w:rFonts w:eastAsia="Times New Roman" w:cs="Segoe UI"/>
                    <w:sz w:val="14"/>
                    <w:szCs w:val="22"/>
                    <w:lang w:val="en-GB" w:eastAsia="it-IT"/>
                  </w:rPr>
                  <w:t>.</w:t>
                </w:r>
                <w:r w:rsidRPr="003B5366">
                  <w:rPr>
                    <w:rFonts w:eastAsia="Times New Roman" w:cs="Segoe UI"/>
                    <w:sz w:val="14"/>
                    <w:szCs w:val="22"/>
                    <w:lang w:val="en-GB" w:eastAsia="it-IT"/>
                  </w:rPr>
                  <w:t>14%</w:t>
                </w:r>
              </w:p>
            </w:tc>
            <w:tc>
              <w:tcPr>
                <w:tcW w:w="834" w:type="pct"/>
                <w:shd w:val="clear" w:color="auto" w:fill="FFFFFF" w:themeFill="background2"/>
                <w:vAlign w:val="center"/>
              </w:tcPr>
              <w:p w14:paraId="2090DFD7" w14:textId="3E02A1AB" w:rsidR="00D35583" w:rsidRPr="00FF727D" w:rsidRDefault="00D35583" w:rsidP="004E4A85">
                <w:pPr>
                  <w:spacing w:before="0" w:line="240" w:lineRule="auto"/>
                  <w:jc w:val="center"/>
                  <w:rPr>
                    <w:rFonts w:eastAsia="Times New Roman" w:cs="Segoe UI"/>
                    <w:sz w:val="14"/>
                    <w:szCs w:val="22"/>
                    <w:lang w:val="en-GB" w:eastAsia="it-IT"/>
                  </w:rPr>
                </w:pPr>
                <w:r w:rsidRPr="004E4084">
                  <w:rPr>
                    <w:rFonts w:eastAsia="Times New Roman" w:cs="Segoe UI"/>
                    <w:sz w:val="14"/>
                    <w:szCs w:val="22"/>
                    <w:lang w:val="en-GB" w:eastAsia="it-IT"/>
                  </w:rPr>
                  <w:t>13</w:t>
                </w:r>
                <w:r w:rsidR="00E36720">
                  <w:rPr>
                    <w:rFonts w:eastAsia="Times New Roman" w:cs="Segoe UI"/>
                    <w:sz w:val="14"/>
                    <w:szCs w:val="22"/>
                    <w:lang w:val="en-GB" w:eastAsia="it-IT"/>
                  </w:rPr>
                  <w:t>.</w:t>
                </w:r>
                <w:r w:rsidRPr="004E4084">
                  <w:rPr>
                    <w:rFonts w:eastAsia="Times New Roman" w:cs="Segoe UI"/>
                    <w:sz w:val="14"/>
                    <w:szCs w:val="22"/>
                    <w:lang w:val="en-GB" w:eastAsia="it-IT"/>
                  </w:rPr>
                  <w:t>49%</w:t>
                </w:r>
              </w:p>
            </w:tc>
          </w:tr>
          <w:tr w:rsidR="00D35583" w:rsidRPr="003A089A" w14:paraId="4110816B" w14:textId="77777777" w:rsidTr="00A875C2">
            <w:trPr>
              <w:trHeight w:val="283"/>
            </w:trPr>
            <w:tc>
              <w:tcPr>
                <w:tcW w:w="833" w:type="pct"/>
                <w:shd w:val="clear" w:color="auto" w:fill="FFFFFF" w:themeFill="background2"/>
                <w:tcMar>
                  <w:top w:w="60" w:type="dxa"/>
                  <w:left w:w="114" w:type="dxa"/>
                  <w:bottom w:w="60" w:type="dxa"/>
                  <w:right w:w="114" w:type="dxa"/>
                </w:tcMar>
                <w:vAlign w:val="center"/>
              </w:tcPr>
              <w:p w14:paraId="282F7FE7" w14:textId="77777777" w:rsidR="00D35583" w:rsidRPr="00FF727D" w:rsidRDefault="00D35583" w:rsidP="004E4A85">
                <w:pPr>
                  <w:spacing w:before="0" w:line="240" w:lineRule="auto"/>
                  <w:jc w:val="left"/>
                  <w:rPr>
                    <w:rFonts w:eastAsia="Times New Roman" w:cs="Segoe UI"/>
                    <w:b/>
                    <w:bCs/>
                    <w:sz w:val="14"/>
                    <w:szCs w:val="22"/>
                    <w:lang w:val="en-GB" w:eastAsia="it-IT"/>
                  </w:rPr>
                </w:pPr>
                <w:r w:rsidRPr="00FF727D">
                  <w:rPr>
                    <w:rFonts w:eastAsia="Times New Roman" w:cs="Segoe UI"/>
                    <w:b/>
                    <w:bCs/>
                    <w:sz w:val="14"/>
                    <w:szCs w:val="22"/>
                    <w:lang w:val="en-GB" w:eastAsia="it-IT"/>
                  </w:rPr>
                  <w:t>31 December 2011</w:t>
                </w:r>
              </w:p>
            </w:tc>
            <w:tc>
              <w:tcPr>
                <w:tcW w:w="833" w:type="pct"/>
                <w:shd w:val="clear" w:color="auto" w:fill="FFFFFF" w:themeFill="background2"/>
                <w:tcMar>
                  <w:top w:w="60" w:type="dxa"/>
                  <w:left w:w="114" w:type="dxa"/>
                  <w:bottom w:w="60" w:type="dxa"/>
                  <w:right w:w="114" w:type="dxa"/>
                </w:tcMar>
                <w:vAlign w:val="center"/>
              </w:tcPr>
              <w:p w14:paraId="414A991C" w14:textId="6B296E67" w:rsidR="00D35583" w:rsidRPr="00FF727D" w:rsidRDefault="00D35583" w:rsidP="004E4A85">
                <w:pPr>
                  <w:spacing w:before="0" w:line="240" w:lineRule="auto"/>
                  <w:jc w:val="center"/>
                  <w:rPr>
                    <w:rFonts w:eastAsia="Times New Roman" w:cs="Segoe UI"/>
                    <w:sz w:val="14"/>
                    <w:szCs w:val="22"/>
                    <w:lang w:val="en-GB" w:eastAsia="it-IT"/>
                  </w:rPr>
                </w:pPr>
                <w:r w:rsidRPr="00E6657C">
                  <w:rPr>
                    <w:rFonts w:eastAsia="Times New Roman" w:cs="Segoe UI"/>
                    <w:sz w:val="14"/>
                    <w:szCs w:val="22"/>
                    <w:lang w:val="en-GB" w:eastAsia="it-IT"/>
                  </w:rPr>
                  <w:t>4</w:t>
                </w:r>
                <w:r w:rsidR="00E36720">
                  <w:rPr>
                    <w:rFonts w:eastAsia="Times New Roman" w:cs="Segoe UI"/>
                    <w:sz w:val="14"/>
                    <w:szCs w:val="22"/>
                    <w:lang w:val="en-GB" w:eastAsia="it-IT"/>
                  </w:rPr>
                  <w:t>.</w:t>
                </w:r>
                <w:r w:rsidRPr="00E6657C">
                  <w:rPr>
                    <w:rFonts w:eastAsia="Times New Roman" w:cs="Segoe UI"/>
                    <w:sz w:val="14"/>
                    <w:szCs w:val="22"/>
                    <w:lang w:val="en-GB" w:eastAsia="it-IT"/>
                  </w:rPr>
                  <w:t>26%</w:t>
                </w:r>
              </w:p>
            </w:tc>
            <w:tc>
              <w:tcPr>
                <w:tcW w:w="834" w:type="pct"/>
                <w:shd w:val="clear" w:color="auto" w:fill="FFFFFF" w:themeFill="background2"/>
                <w:tcMar>
                  <w:top w:w="60" w:type="dxa"/>
                  <w:left w:w="114" w:type="dxa"/>
                  <w:bottom w:w="60" w:type="dxa"/>
                  <w:right w:w="114" w:type="dxa"/>
                </w:tcMar>
                <w:vAlign w:val="center"/>
              </w:tcPr>
              <w:p w14:paraId="65E098FE" w14:textId="76FB6A2A" w:rsidR="00D35583" w:rsidRPr="00FF727D" w:rsidRDefault="00D35583" w:rsidP="004E4A85">
                <w:pPr>
                  <w:spacing w:before="0" w:line="240" w:lineRule="auto"/>
                  <w:jc w:val="center"/>
                  <w:rPr>
                    <w:rFonts w:eastAsia="Times New Roman" w:cs="Segoe UI"/>
                    <w:sz w:val="14"/>
                    <w:szCs w:val="22"/>
                    <w:lang w:val="en-GB" w:eastAsia="it-IT"/>
                  </w:rPr>
                </w:pPr>
                <w:r w:rsidRPr="00E6657C">
                  <w:rPr>
                    <w:rFonts w:eastAsia="Times New Roman" w:cs="Segoe UI"/>
                    <w:sz w:val="14"/>
                    <w:szCs w:val="22"/>
                    <w:lang w:val="en-GB" w:eastAsia="it-IT"/>
                  </w:rPr>
                  <w:t>6</w:t>
                </w:r>
                <w:r w:rsidR="00E36720">
                  <w:rPr>
                    <w:rFonts w:eastAsia="Times New Roman" w:cs="Segoe UI"/>
                    <w:sz w:val="14"/>
                    <w:szCs w:val="22"/>
                    <w:lang w:val="en-GB" w:eastAsia="it-IT"/>
                  </w:rPr>
                  <w:t>.</w:t>
                </w:r>
                <w:r w:rsidRPr="00E6657C">
                  <w:rPr>
                    <w:rFonts w:eastAsia="Times New Roman" w:cs="Segoe UI"/>
                    <w:sz w:val="14"/>
                    <w:szCs w:val="22"/>
                    <w:lang w:val="en-GB" w:eastAsia="it-IT"/>
                  </w:rPr>
                  <w:t>28%</w:t>
                </w:r>
              </w:p>
            </w:tc>
            <w:tc>
              <w:tcPr>
                <w:tcW w:w="833" w:type="pct"/>
                <w:shd w:val="clear" w:color="auto" w:fill="FFFFFF" w:themeFill="background2"/>
                <w:vAlign w:val="center"/>
              </w:tcPr>
              <w:p w14:paraId="745A2F99" w14:textId="6A083AEC" w:rsidR="00D35583" w:rsidRPr="00FF727D" w:rsidRDefault="00D35583" w:rsidP="004E4A85">
                <w:pPr>
                  <w:spacing w:before="0" w:line="240" w:lineRule="auto"/>
                  <w:jc w:val="center"/>
                  <w:rPr>
                    <w:rFonts w:eastAsia="Times New Roman" w:cs="Segoe UI"/>
                    <w:sz w:val="14"/>
                    <w:szCs w:val="22"/>
                    <w:lang w:val="en-GB" w:eastAsia="it-IT"/>
                  </w:rPr>
                </w:pPr>
                <w:r w:rsidRPr="00E6657C">
                  <w:rPr>
                    <w:rFonts w:eastAsia="Times New Roman" w:cs="Segoe UI"/>
                    <w:sz w:val="14"/>
                    <w:szCs w:val="22"/>
                    <w:lang w:val="en-GB" w:eastAsia="it-IT"/>
                  </w:rPr>
                  <w:t>9</w:t>
                </w:r>
                <w:r w:rsidR="00E36720">
                  <w:rPr>
                    <w:rFonts w:eastAsia="Times New Roman" w:cs="Segoe UI"/>
                    <w:sz w:val="14"/>
                    <w:szCs w:val="22"/>
                    <w:lang w:val="en-GB" w:eastAsia="it-IT"/>
                  </w:rPr>
                  <w:t>.</w:t>
                </w:r>
                <w:r w:rsidRPr="00E6657C">
                  <w:rPr>
                    <w:rFonts w:eastAsia="Times New Roman" w:cs="Segoe UI"/>
                    <w:sz w:val="14"/>
                    <w:szCs w:val="22"/>
                    <w:lang w:val="en-GB" w:eastAsia="it-IT"/>
                  </w:rPr>
                  <w:t>88%</w:t>
                </w:r>
              </w:p>
            </w:tc>
            <w:tc>
              <w:tcPr>
                <w:tcW w:w="833" w:type="pct"/>
                <w:shd w:val="clear" w:color="auto" w:fill="FFFFFF" w:themeFill="background2"/>
                <w:vAlign w:val="center"/>
              </w:tcPr>
              <w:p w14:paraId="42E0ECEE" w14:textId="429BBE93" w:rsidR="00D35583" w:rsidRPr="00FF727D" w:rsidRDefault="00D35583" w:rsidP="004E4A85">
                <w:pPr>
                  <w:spacing w:before="0" w:line="240" w:lineRule="auto"/>
                  <w:jc w:val="center"/>
                  <w:rPr>
                    <w:rFonts w:eastAsia="Times New Roman" w:cs="Segoe UI"/>
                    <w:sz w:val="14"/>
                    <w:szCs w:val="22"/>
                    <w:lang w:val="en-GB" w:eastAsia="it-IT"/>
                  </w:rPr>
                </w:pPr>
                <w:r w:rsidRPr="003B5366">
                  <w:rPr>
                    <w:rFonts w:eastAsia="Times New Roman" w:cs="Segoe UI"/>
                    <w:sz w:val="14"/>
                    <w:szCs w:val="22"/>
                    <w:lang w:val="en-GB" w:eastAsia="it-IT"/>
                  </w:rPr>
                  <w:t>12</w:t>
                </w:r>
                <w:r w:rsidR="00E36720">
                  <w:rPr>
                    <w:rFonts w:eastAsia="Times New Roman" w:cs="Segoe UI"/>
                    <w:sz w:val="14"/>
                    <w:szCs w:val="22"/>
                    <w:lang w:val="en-GB" w:eastAsia="it-IT"/>
                  </w:rPr>
                  <w:t>.</w:t>
                </w:r>
                <w:r w:rsidRPr="003B5366">
                  <w:rPr>
                    <w:rFonts w:eastAsia="Times New Roman" w:cs="Segoe UI"/>
                    <w:sz w:val="14"/>
                    <w:szCs w:val="22"/>
                    <w:lang w:val="en-GB" w:eastAsia="it-IT"/>
                  </w:rPr>
                  <w:t>72%</w:t>
                </w:r>
              </w:p>
            </w:tc>
            <w:tc>
              <w:tcPr>
                <w:tcW w:w="834" w:type="pct"/>
                <w:shd w:val="clear" w:color="auto" w:fill="FFFFFF" w:themeFill="background2"/>
                <w:vAlign w:val="center"/>
              </w:tcPr>
              <w:p w14:paraId="49EE331D" w14:textId="2F1D5708" w:rsidR="00D35583" w:rsidRPr="00FF727D" w:rsidRDefault="00D35583" w:rsidP="004E4A85">
                <w:pPr>
                  <w:spacing w:before="0" w:line="240" w:lineRule="auto"/>
                  <w:jc w:val="center"/>
                  <w:rPr>
                    <w:rFonts w:eastAsia="Times New Roman" w:cs="Segoe UI"/>
                    <w:sz w:val="14"/>
                    <w:szCs w:val="22"/>
                    <w:lang w:val="en-GB" w:eastAsia="it-IT"/>
                  </w:rPr>
                </w:pPr>
                <w:r w:rsidRPr="004E4084">
                  <w:rPr>
                    <w:rFonts w:eastAsia="Times New Roman" w:cs="Segoe UI"/>
                    <w:sz w:val="14"/>
                    <w:szCs w:val="22"/>
                    <w:lang w:val="en-GB" w:eastAsia="it-IT"/>
                  </w:rPr>
                  <w:t>14</w:t>
                </w:r>
                <w:r w:rsidR="00E36720">
                  <w:rPr>
                    <w:rFonts w:eastAsia="Times New Roman" w:cs="Segoe UI"/>
                    <w:sz w:val="14"/>
                    <w:szCs w:val="22"/>
                    <w:lang w:val="en-GB" w:eastAsia="it-IT"/>
                  </w:rPr>
                  <w:t>.</w:t>
                </w:r>
                <w:r w:rsidRPr="004E4084">
                  <w:rPr>
                    <w:rFonts w:eastAsia="Times New Roman" w:cs="Segoe UI"/>
                    <w:sz w:val="14"/>
                    <w:szCs w:val="22"/>
                    <w:lang w:val="en-GB" w:eastAsia="it-IT"/>
                  </w:rPr>
                  <w:t>73%</w:t>
                </w:r>
              </w:p>
            </w:tc>
          </w:tr>
          <w:tr w:rsidR="00D35583" w:rsidRPr="003A089A" w14:paraId="4B3AF3B8" w14:textId="77777777" w:rsidTr="00A875C2">
            <w:trPr>
              <w:trHeight w:val="283"/>
            </w:trPr>
            <w:tc>
              <w:tcPr>
                <w:tcW w:w="833" w:type="pct"/>
                <w:shd w:val="clear" w:color="auto" w:fill="FFFFFF" w:themeFill="background2"/>
                <w:tcMar>
                  <w:top w:w="60" w:type="dxa"/>
                  <w:left w:w="114" w:type="dxa"/>
                  <w:bottom w:w="60" w:type="dxa"/>
                  <w:right w:w="114" w:type="dxa"/>
                </w:tcMar>
                <w:vAlign w:val="center"/>
              </w:tcPr>
              <w:p w14:paraId="3141B79E" w14:textId="77777777" w:rsidR="00D35583" w:rsidRPr="00FF727D" w:rsidRDefault="00D35583" w:rsidP="004E4A85">
                <w:pPr>
                  <w:spacing w:before="0" w:line="240" w:lineRule="auto"/>
                  <w:jc w:val="left"/>
                  <w:rPr>
                    <w:rFonts w:eastAsia="Times New Roman" w:cs="Segoe UI"/>
                    <w:b/>
                    <w:bCs/>
                    <w:sz w:val="14"/>
                    <w:szCs w:val="22"/>
                    <w:lang w:val="en-GB" w:eastAsia="it-IT"/>
                  </w:rPr>
                </w:pPr>
                <w:r w:rsidRPr="00FF727D">
                  <w:rPr>
                    <w:rFonts w:eastAsia="Times New Roman" w:cs="Segoe UI"/>
                    <w:b/>
                    <w:bCs/>
                    <w:sz w:val="14"/>
                    <w:szCs w:val="22"/>
                    <w:lang w:val="en-GB" w:eastAsia="it-IT"/>
                  </w:rPr>
                  <w:t>31 December 2012</w:t>
                </w:r>
              </w:p>
            </w:tc>
            <w:tc>
              <w:tcPr>
                <w:tcW w:w="833" w:type="pct"/>
                <w:shd w:val="clear" w:color="auto" w:fill="FFFFFF" w:themeFill="background2"/>
                <w:tcMar>
                  <w:top w:w="60" w:type="dxa"/>
                  <w:left w:w="114" w:type="dxa"/>
                  <w:bottom w:w="60" w:type="dxa"/>
                  <w:right w:w="114" w:type="dxa"/>
                </w:tcMar>
                <w:vAlign w:val="center"/>
              </w:tcPr>
              <w:p w14:paraId="412E08C2" w14:textId="12CC3908" w:rsidR="00D35583" w:rsidRPr="00FF727D" w:rsidRDefault="00D35583" w:rsidP="004E4A85">
                <w:pPr>
                  <w:spacing w:before="0" w:line="240" w:lineRule="auto"/>
                  <w:jc w:val="center"/>
                  <w:rPr>
                    <w:rFonts w:eastAsia="Times New Roman" w:cs="Segoe UI"/>
                    <w:sz w:val="14"/>
                    <w:szCs w:val="22"/>
                    <w:lang w:val="en-GB" w:eastAsia="it-IT"/>
                  </w:rPr>
                </w:pPr>
                <w:r w:rsidRPr="00E6657C">
                  <w:rPr>
                    <w:rFonts w:eastAsia="Times New Roman" w:cs="Segoe UI"/>
                    <w:sz w:val="14"/>
                    <w:szCs w:val="22"/>
                    <w:lang w:val="en-GB" w:eastAsia="it-IT"/>
                  </w:rPr>
                  <w:t>3</w:t>
                </w:r>
                <w:r w:rsidR="00E36720">
                  <w:rPr>
                    <w:rFonts w:eastAsia="Times New Roman" w:cs="Segoe UI"/>
                    <w:sz w:val="14"/>
                    <w:szCs w:val="22"/>
                    <w:lang w:val="en-GB" w:eastAsia="it-IT"/>
                  </w:rPr>
                  <w:t>.</w:t>
                </w:r>
                <w:r w:rsidRPr="00E6657C">
                  <w:rPr>
                    <w:rFonts w:eastAsia="Times New Roman" w:cs="Segoe UI"/>
                    <w:sz w:val="14"/>
                    <w:szCs w:val="22"/>
                    <w:lang w:val="en-GB" w:eastAsia="it-IT"/>
                  </w:rPr>
                  <w:t>71%</w:t>
                </w:r>
              </w:p>
            </w:tc>
            <w:tc>
              <w:tcPr>
                <w:tcW w:w="834" w:type="pct"/>
                <w:shd w:val="clear" w:color="auto" w:fill="FFFFFF" w:themeFill="background2"/>
                <w:tcMar>
                  <w:top w:w="60" w:type="dxa"/>
                  <w:left w:w="114" w:type="dxa"/>
                  <w:bottom w:w="60" w:type="dxa"/>
                  <w:right w:w="114" w:type="dxa"/>
                </w:tcMar>
                <w:vAlign w:val="center"/>
              </w:tcPr>
              <w:p w14:paraId="1E12C495" w14:textId="0F048CEA" w:rsidR="00D35583" w:rsidRPr="00FF727D" w:rsidRDefault="00D35583" w:rsidP="004E4A85">
                <w:pPr>
                  <w:spacing w:before="0" w:line="240" w:lineRule="auto"/>
                  <w:jc w:val="center"/>
                  <w:rPr>
                    <w:rFonts w:eastAsia="Times New Roman" w:cs="Segoe UI"/>
                    <w:sz w:val="14"/>
                    <w:szCs w:val="22"/>
                    <w:lang w:val="en-GB" w:eastAsia="it-IT"/>
                  </w:rPr>
                </w:pPr>
                <w:r w:rsidRPr="00E6657C">
                  <w:rPr>
                    <w:rFonts w:eastAsia="Times New Roman" w:cs="Segoe UI"/>
                    <w:sz w:val="14"/>
                    <w:szCs w:val="22"/>
                    <w:lang w:val="en-GB" w:eastAsia="it-IT"/>
                  </w:rPr>
                  <w:t>6</w:t>
                </w:r>
                <w:r w:rsidR="00E36720">
                  <w:rPr>
                    <w:rFonts w:eastAsia="Times New Roman" w:cs="Segoe UI"/>
                    <w:sz w:val="14"/>
                    <w:szCs w:val="22"/>
                    <w:lang w:val="en-GB" w:eastAsia="it-IT"/>
                  </w:rPr>
                  <w:t>.</w:t>
                </w:r>
                <w:r w:rsidRPr="00E6657C">
                  <w:rPr>
                    <w:rFonts w:eastAsia="Times New Roman" w:cs="Segoe UI"/>
                    <w:sz w:val="14"/>
                    <w:szCs w:val="22"/>
                    <w:lang w:val="en-GB" w:eastAsia="it-IT"/>
                  </w:rPr>
                  <w:t>53%</w:t>
                </w:r>
              </w:p>
            </w:tc>
            <w:tc>
              <w:tcPr>
                <w:tcW w:w="833" w:type="pct"/>
                <w:shd w:val="clear" w:color="auto" w:fill="FFFFFF" w:themeFill="background2"/>
                <w:vAlign w:val="center"/>
              </w:tcPr>
              <w:p w14:paraId="510C5441" w14:textId="2D9EF9CA" w:rsidR="00D35583" w:rsidRPr="00FF727D" w:rsidRDefault="00D35583" w:rsidP="004E4A85">
                <w:pPr>
                  <w:spacing w:before="0" w:line="240" w:lineRule="auto"/>
                  <w:jc w:val="center"/>
                  <w:rPr>
                    <w:rFonts w:eastAsia="Times New Roman" w:cs="Segoe UI"/>
                    <w:sz w:val="14"/>
                    <w:szCs w:val="22"/>
                    <w:lang w:val="en-GB" w:eastAsia="it-IT"/>
                  </w:rPr>
                </w:pPr>
                <w:r w:rsidRPr="00E6657C">
                  <w:rPr>
                    <w:rFonts w:eastAsia="Times New Roman" w:cs="Segoe UI"/>
                    <w:sz w:val="14"/>
                    <w:szCs w:val="22"/>
                    <w:lang w:val="en-GB" w:eastAsia="it-IT"/>
                  </w:rPr>
                  <w:t>9</w:t>
                </w:r>
                <w:r w:rsidR="00E36720">
                  <w:rPr>
                    <w:rFonts w:eastAsia="Times New Roman" w:cs="Segoe UI"/>
                    <w:sz w:val="14"/>
                    <w:szCs w:val="22"/>
                    <w:lang w:val="en-GB" w:eastAsia="it-IT"/>
                  </w:rPr>
                  <w:t>.</w:t>
                </w:r>
                <w:r w:rsidRPr="00E6657C">
                  <w:rPr>
                    <w:rFonts w:eastAsia="Times New Roman" w:cs="Segoe UI"/>
                    <w:sz w:val="14"/>
                    <w:szCs w:val="22"/>
                    <w:lang w:val="en-GB" w:eastAsia="it-IT"/>
                  </w:rPr>
                  <w:t>29%</w:t>
                </w:r>
              </w:p>
            </w:tc>
            <w:tc>
              <w:tcPr>
                <w:tcW w:w="833" w:type="pct"/>
                <w:shd w:val="clear" w:color="auto" w:fill="FFFFFF" w:themeFill="background2"/>
                <w:vAlign w:val="center"/>
              </w:tcPr>
              <w:p w14:paraId="6109306E" w14:textId="52AA924C" w:rsidR="00D35583" w:rsidRPr="00FF727D" w:rsidRDefault="00D35583" w:rsidP="004E4A85">
                <w:pPr>
                  <w:spacing w:before="0" w:line="240" w:lineRule="auto"/>
                  <w:jc w:val="center"/>
                  <w:rPr>
                    <w:rFonts w:eastAsia="Times New Roman" w:cs="Segoe UI"/>
                    <w:sz w:val="14"/>
                    <w:szCs w:val="22"/>
                    <w:lang w:val="en-GB" w:eastAsia="it-IT"/>
                  </w:rPr>
                </w:pPr>
                <w:r w:rsidRPr="003B5366">
                  <w:rPr>
                    <w:rFonts w:eastAsia="Times New Roman" w:cs="Segoe UI"/>
                    <w:sz w:val="14"/>
                    <w:szCs w:val="22"/>
                    <w:lang w:val="en-GB" w:eastAsia="it-IT"/>
                  </w:rPr>
                  <w:t>11</w:t>
                </w:r>
                <w:r w:rsidR="00E36720">
                  <w:rPr>
                    <w:rFonts w:eastAsia="Times New Roman" w:cs="Segoe UI"/>
                    <w:sz w:val="14"/>
                    <w:szCs w:val="22"/>
                    <w:lang w:val="en-GB" w:eastAsia="it-IT"/>
                  </w:rPr>
                  <w:t>.</w:t>
                </w:r>
                <w:r w:rsidRPr="003B5366">
                  <w:rPr>
                    <w:rFonts w:eastAsia="Times New Roman" w:cs="Segoe UI"/>
                    <w:sz w:val="14"/>
                    <w:szCs w:val="22"/>
                    <w:lang w:val="en-GB" w:eastAsia="it-IT"/>
                  </w:rPr>
                  <w:t>33%</w:t>
                </w:r>
              </w:p>
            </w:tc>
            <w:tc>
              <w:tcPr>
                <w:tcW w:w="834" w:type="pct"/>
                <w:shd w:val="clear" w:color="auto" w:fill="FFFFFF" w:themeFill="background2"/>
                <w:vAlign w:val="center"/>
              </w:tcPr>
              <w:p w14:paraId="3893DE9A" w14:textId="524BBA72" w:rsidR="00D35583" w:rsidRPr="00FF727D" w:rsidRDefault="00D35583" w:rsidP="004E4A85">
                <w:pPr>
                  <w:spacing w:before="0" w:line="240" w:lineRule="auto"/>
                  <w:jc w:val="center"/>
                  <w:rPr>
                    <w:rFonts w:eastAsia="Times New Roman" w:cs="Segoe UI"/>
                    <w:sz w:val="14"/>
                    <w:szCs w:val="22"/>
                    <w:lang w:val="en-GB" w:eastAsia="it-IT"/>
                  </w:rPr>
                </w:pPr>
                <w:r w:rsidRPr="004E4084">
                  <w:rPr>
                    <w:rFonts w:eastAsia="Times New Roman" w:cs="Segoe UI"/>
                    <w:sz w:val="14"/>
                    <w:szCs w:val="22"/>
                    <w:lang w:val="en-GB" w:eastAsia="it-IT"/>
                  </w:rPr>
                  <w:t>13</w:t>
                </w:r>
                <w:r w:rsidR="00E36720">
                  <w:rPr>
                    <w:rFonts w:eastAsia="Times New Roman" w:cs="Segoe UI"/>
                    <w:sz w:val="14"/>
                    <w:szCs w:val="22"/>
                    <w:lang w:val="en-GB" w:eastAsia="it-IT"/>
                  </w:rPr>
                  <w:t>.</w:t>
                </w:r>
                <w:r w:rsidRPr="004E4084">
                  <w:rPr>
                    <w:rFonts w:eastAsia="Times New Roman" w:cs="Segoe UI"/>
                    <w:sz w:val="14"/>
                    <w:szCs w:val="22"/>
                    <w:lang w:val="en-GB" w:eastAsia="it-IT"/>
                  </w:rPr>
                  <w:t>02%</w:t>
                </w:r>
              </w:p>
            </w:tc>
          </w:tr>
          <w:tr w:rsidR="00D35583" w:rsidRPr="003A089A" w14:paraId="1B286DD0" w14:textId="77777777" w:rsidTr="00A875C2">
            <w:trPr>
              <w:trHeight w:val="283"/>
            </w:trPr>
            <w:tc>
              <w:tcPr>
                <w:tcW w:w="833" w:type="pct"/>
                <w:shd w:val="clear" w:color="auto" w:fill="FFFFFF" w:themeFill="background2"/>
                <w:tcMar>
                  <w:top w:w="60" w:type="dxa"/>
                  <w:left w:w="114" w:type="dxa"/>
                  <w:bottom w:w="60" w:type="dxa"/>
                  <w:right w:w="114" w:type="dxa"/>
                </w:tcMar>
                <w:vAlign w:val="center"/>
              </w:tcPr>
              <w:p w14:paraId="2FA4BD33" w14:textId="77777777" w:rsidR="00D35583" w:rsidRPr="00FF727D" w:rsidRDefault="00D35583" w:rsidP="004E4A85">
                <w:pPr>
                  <w:spacing w:before="0" w:line="240" w:lineRule="auto"/>
                  <w:jc w:val="left"/>
                  <w:rPr>
                    <w:rFonts w:eastAsia="Times New Roman" w:cs="Segoe UI"/>
                    <w:b/>
                    <w:bCs/>
                    <w:sz w:val="14"/>
                    <w:szCs w:val="22"/>
                    <w:lang w:val="en-GB" w:eastAsia="it-IT"/>
                  </w:rPr>
                </w:pPr>
                <w:r w:rsidRPr="00FF727D">
                  <w:rPr>
                    <w:rFonts w:eastAsia="Times New Roman" w:cs="Segoe UI"/>
                    <w:b/>
                    <w:bCs/>
                    <w:sz w:val="14"/>
                    <w:szCs w:val="22"/>
                    <w:lang w:val="en-GB" w:eastAsia="it-IT"/>
                  </w:rPr>
                  <w:t>31 December 2013</w:t>
                </w:r>
              </w:p>
            </w:tc>
            <w:tc>
              <w:tcPr>
                <w:tcW w:w="833" w:type="pct"/>
                <w:shd w:val="clear" w:color="auto" w:fill="FFFFFF" w:themeFill="background2"/>
                <w:tcMar>
                  <w:top w:w="60" w:type="dxa"/>
                  <w:left w:w="114" w:type="dxa"/>
                  <w:bottom w:w="60" w:type="dxa"/>
                  <w:right w:w="114" w:type="dxa"/>
                </w:tcMar>
                <w:vAlign w:val="center"/>
              </w:tcPr>
              <w:p w14:paraId="5DFB21D2" w14:textId="329EE7A1" w:rsidR="00D35583" w:rsidRPr="00FF727D" w:rsidRDefault="00D35583" w:rsidP="004E4A85">
                <w:pPr>
                  <w:spacing w:before="0" w:line="240" w:lineRule="auto"/>
                  <w:jc w:val="center"/>
                  <w:rPr>
                    <w:rFonts w:eastAsia="Times New Roman" w:cs="Segoe UI"/>
                    <w:sz w:val="14"/>
                    <w:szCs w:val="22"/>
                    <w:lang w:val="en-GB" w:eastAsia="it-IT"/>
                  </w:rPr>
                </w:pPr>
                <w:r w:rsidRPr="00E6657C">
                  <w:rPr>
                    <w:rFonts w:eastAsia="Times New Roman" w:cs="Segoe UI"/>
                    <w:sz w:val="14"/>
                    <w:szCs w:val="22"/>
                    <w:lang w:val="en-GB" w:eastAsia="it-IT"/>
                  </w:rPr>
                  <w:t>3</w:t>
                </w:r>
                <w:r w:rsidR="00E36720">
                  <w:rPr>
                    <w:rFonts w:eastAsia="Times New Roman" w:cs="Segoe UI"/>
                    <w:sz w:val="14"/>
                    <w:szCs w:val="22"/>
                    <w:lang w:val="en-GB" w:eastAsia="it-IT"/>
                  </w:rPr>
                  <w:t>.</w:t>
                </w:r>
                <w:r w:rsidRPr="00E6657C">
                  <w:rPr>
                    <w:rFonts w:eastAsia="Times New Roman" w:cs="Segoe UI"/>
                    <w:sz w:val="14"/>
                    <w:szCs w:val="22"/>
                    <w:lang w:val="en-GB" w:eastAsia="it-IT"/>
                  </w:rPr>
                  <w:t>23%</w:t>
                </w:r>
              </w:p>
            </w:tc>
            <w:tc>
              <w:tcPr>
                <w:tcW w:w="834" w:type="pct"/>
                <w:shd w:val="clear" w:color="auto" w:fill="FFFFFF" w:themeFill="background2"/>
                <w:tcMar>
                  <w:top w:w="60" w:type="dxa"/>
                  <w:left w:w="114" w:type="dxa"/>
                  <w:bottom w:w="60" w:type="dxa"/>
                  <w:right w:w="114" w:type="dxa"/>
                </w:tcMar>
                <w:vAlign w:val="center"/>
              </w:tcPr>
              <w:p w14:paraId="064D5C65" w14:textId="5DA4D12B" w:rsidR="00D35583" w:rsidRPr="00FF727D" w:rsidRDefault="00D35583" w:rsidP="004E4A85">
                <w:pPr>
                  <w:spacing w:before="0" w:line="240" w:lineRule="auto"/>
                  <w:jc w:val="center"/>
                  <w:rPr>
                    <w:rFonts w:eastAsia="Times New Roman" w:cs="Segoe UI"/>
                    <w:sz w:val="14"/>
                    <w:szCs w:val="22"/>
                    <w:lang w:val="en-GB" w:eastAsia="it-IT"/>
                  </w:rPr>
                </w:pPr>
                <w:r w:rsidRPr="00E6657C">
                  <w:rPr>
                    <w:rFonts w:eastAsia="Times New Roman" w:cs="Segoe UI"/>
                    <w:sz w:val="14"/>
                    <w:szCs w:val="22"/>
                    <w:lang w:val="en-GB" w:eastAsia="it-IT"/>
                  </w:rPr>
                  <w:t>5</w:t>
                </w:r>
                <w:r w:rsidR="00E36720">
                  <w:rPr>
                    <w:rFonts w:eastAsia="Times New Roman" w:cs="Segoe UI"/>
                    <w:sz w:val="14"/>
                    <w:szCs w:val="22"/>
                    <w:lang w:val="en-GB" w:eastAsia="it-IT"/>
                  </w:rPr>
                  <w:t>.</w:t>
                </w:r>
                <w:r w:rsidRPr="00E6657C">
                  <w:rPr>
                    <w:rFonts w:eastAsia="Times New Roman" w:cs="Segoe UI"/>
                    <w:sz w:val="14"/>
                    <w:szCs w:val="22"/>
                    <w:lang w:val="en-GB" w:eastAsia="it-IT"/>
                  </w:rPr>
                  <w:t>95%</w:t>
                </w:r>
              </w:p>
            </w:tc>
            <w:tc>
              <w:tcPr>
                <w:tcW w:w="833" w:type="pct"/>
                <w:shd w:val="clear" w:color="auto" w:fill="FFFFFF" w:themeFill="background2"/>
                <w:vAlign w:val="center"/>
              </w:tcPr>
              <w:p w14:paraId="60DE3FC5" w14:textId="73DAC2CF" w:rsidR="00D35583" w:rsidRPr="00FF727D" w:rsidRDefault="00D35583" w:rsidP="004E4A85">
                <w:pPr>
                  <w:spacing w:before="0" w:line="240" w:lineRule="auto"/>
                  <w:jc w:val="center"/>
                  <w:rPr>
                    <w:rFonts w:eastAsia="Times New Roman" w:cs="Segoe UI"/>
                    <w:sz w:val="14"/>
                    <w:szCs w:val="22"/>
                    <w:lang w:val="en-GB" w:eastAsia="it-IT"/>
                  </w:rPr>
                </w:pPr>
                <w:r w:rsidRPr="00E6657C">
                  <w:rPr>
                    <w:rFonts w:eastAsia="Times New Roman" w:cs="Segoe UI"/>
                    <w:sz w:val="14"/>
                    <w:szCs w:val="22"/>
                    <w:lang w:val="en-GB" w:eastAsia="it-IT"/>
                  </w:rPr>
                  <w:t>8</w:t>
                </w:r>
                <w:r w:rsidR="00E36720">
                  <w:rPr>
                    <w:rFonts w:eastAsia="Times New Roman" w:cs="Segoe UI"/>
                    <w:sz w:val="14"/>
                    <w:szCs w:val="22"/>
                    <w:lang w:val="en-GB" w:eastAsia="it-IT"/>
                  </w:rPr>
                  <w:t>.</w:t>
                </w:r>
                <w:r w:rsidRPr="00E6657C">
                  <w:rPr>
                    <w:rFonts w:eastAsia="Times New Roman" w:cs="Segoe UI"/>
                    <w:sz w:val="14"/>
                    <w:szCs w:val="22"/>
                    <w:lang w:val="en-GB" w:eastAsia="it-IT"/>
                  </w:rPr>
                  <w:t>09%</w:t>
                </w:r>
              </w:p>
            </w:tc>
            <w:tc>
              <w:tcPr>
                <w:tcW w:w="833" w:type="pct"/>
                <w:shd w:val="clear" w:color="auto" w:fill="FFFFFF" w:themeFill="background2"/>
                <w:vAlign w:val="center"/>
              </w:tcPr>
              <w:p w14:paraId="4941416E" w14:textId="387E280C" w:rsidR="00D35583" w:rsidRPr="00FF727D" w:rsidRDefault="00D35583" w:rsidP="004E4A85">
                <w:pPr>
                  <w:spacing w:before="0" w:line="240" w:lineRule="auto"/>
                  <w:jc w:val="center"/>
                  <w:rPr>
                    <w:rFonts w:eastAsia="Times New Roman" w:cs="Segoe UI"/>
                    <w:sz w:val="14"/>
                    <w:szCs w:val="22"/>
                    <w:lang w:val="en-GB" w:eastAsia="it-IT"/>
                  </w:rPr>
                </w:pPr>
                <w:r w:rsidRPr="003B5366">
                  <w:rPr>
                    <w:rFonts w:eastAsia="Times New Roman" w:cs="Segoe UI"/>
                    <w:sz w:val="14"/>
                    <w:szCs w:val="22"/>
                    <w:lang w:val="en-GB" w:eastAsia="it-IT"/>
                  </w:rPr>
                  <w:t>9</w:t>
                </w:r>
                <w:r w:rsidR="00E36720">
                  <w:rPr>
                    <w:rFonts w:eastAsia="Times New Roman" w:cs="Segoe UI"/>
                    <w:sz w:val="14"/>
                    <w:szCs w:val="22"/>
                    <w:lang w:val="en-GB" w:eastAsia="it-IT"/>
                  </w:rPr>
                  <w:t>.</w:t>
                </w:r>
                <w:r w:rsidRPr="003B5366">
                  <w:rPr>
                    <w:rFonts w:eastAsia="Times New Roman" w:cs="Segoe UI"/>
                    <w:sz w:val="14"/>
                    <w:szCs w:val="22"/>
                    <w:lang w:val="en-GB" w:eastAsia="it-IT"/>
                  </w:rPr>
                  <w:t>87%</w:t>
                </w:r>
              </w:p>
            </w:tc>
            <w:tc>
              <w:tcPr>
                <w:tcW w:w="834" w:type="pct"/>
                <w:shd w:val="clear" w:color="auto" w:fill="FFFFFF" w:themeFill="background2"/>
                <w:vAlign w:val="center"/>
              </w:tcPr>
              <w:p w14:paraId="67780322" w14:textId="6F22346B" w:rsidR="00D35583" w:rsidRPr="00FF727D" w:rsidRDefault="00D35583" w:rsidP="004E4A85">
                <w:pPr>
                  <w:spacing w:before="0" w:line="240" w:lineRule="auto"/>
                  <w:jc w:val="center"/>
                  <w:rPr>
                    <w:rFonts w:eastAsia="Times New Roman" w:cs="Segoe UI"/>
                    <w:sz w:val="14"/>
                    <w:szCs w:val="22"/>
                    <w:lang w:val="en-GB" w:eastAsia="it-IT"/>
                  </w:rPr>
                </w:pPr>
                <w:r w:rsidRPr="004E4084">
                  <w:rPr>
                    <w:rFonts w:eastAsia="Times New Roman" w:cs="Segoe UI"/>
                    <w:sz w:val="14"/>
                    <w:szCs w:val="22"/>
                    <w:lang w:val="en-GB" w:eastAsia="it-IT"/>
                  </w:rPr>
                  <w:t>11</w:t>
                </w:r>
                <w:r w:rsidR="00E36720">
                  <w:rPr>
                    <w:rFonts w:eastAsia="Times New Roman" w:cs="Segoe UI"/>
                    <w:sz w:val="14"/>
                    <w:szCs w:val="22"/>
                    <w:lang w:val="en-GB" w:eastAsia="it-IT"/>
                  </w:rPr>
                  <w:t>.</w:t>
                </w:r>
                <w:r w:rsidRPr="004E4084">
                  <w:rPr>
                    <w:rFonts w:eastAsia="Times New Roman" w:cs="Segoe UI"/>
                    <w:sz w:val="14"/>
                    <w:szCs w:val="22"/>
                    <w:lang w:val="en-GB" w:eastAsia="it-IT"/>
                  </w:rPr>
                  <w:t>43%</w:t>
                </w:r>
              </w:p>
            </w:tc>
          </w:tr>
          <w:tr w:rsidR="00D35583" w:rsidRPr="003A089A" w14:paraId="06D6C557" w14:textId="77777777" w:rsidTr="00A875C2">
            <w:trPr>
              <w:trHeight w:val="283"/>
            </w:trPr>
            <w:tc>
              <w:tcPr>
                <w:tcW w:w="833" w:type="pct"/>
                <w:shd w:val="clear" w:color="auto" w:fill="FFFFFF" w:themeFill="background2"/>
                <w:tcMar>
                  <w:top w:w="60" w:type="dxa"/>
                  <w:left w:w="114" w:type="dxa"/>
                  <w:bottom w:w="60" w:type="dxa"/>
                  <w:right w:w="114" w:type="dxa"/>
                </w:tcMar>
                <w:vAlign w:val="center"/>
              </w:tcPr>
              <w:p w14:paraId="79098081" w14:textId="77777777" w:rsidR="00D35583" w:rsidRPr="00FF727D" w:rsidRDefault="00D35583" w:rsidP="004E4A85">
                <w:pPr>
                  <w:spacing w:before="0" w:line="240" w:lineRule="auto"/>
                  <w:jc w:val="left"/>
                  <w:rPr>
                    <w:rFonts w:eastAsia="Times New Roman" w:cs="Segoe UI"/>
                    <w:b/>
                    <w:bCs/>
                    <w:sz w:val="14"/>
                    <w:szCs w:val="22"/>
                    <w:lang w:val="en-GB" w:eastAsia="it-IT"/>
                  </w:rPr>
                </w:pPr>
                <w:r w:rsidRPr="00FF727D">
                  <w:rPr>
                    <w:rFonts w:eastAsia="Times New Roman" w:cs="Segoe UI"/>
                    <w:b/>
                    <w:bCs/>
                    <w:sz w:val="14"/>
                    <w:szCs w:val="22"/>
                    <w:lang w:val="en-GB" w:eastAsia="it-IT"/>
                  </w:rPr>
                  <w:t>31 December 2014</w:t>
                </w:r>
              </w:p>
            </w:tc>
            <w:tc>
              <w:tcPr>
                <w:tcW w:w="833" w:type="pct"/>
                <w:shd w:val="clear" w:color="auto" w:fill="FFFFFF" w:themeFill="background2"/>
                <w:tcMar>
                  <w:top w:w="60" w:type="dxa"/>
                  <w:left w:w="114" w:type="dxa"/>
                  <w:bottom w:w="60" w:type="dxa"/>
                  <w:right w:w="114" w:type="dxa"/>
                </w:tcMar>
                <w:vAlign w:val="center"/>
              </w:tcPr>
              <w:p w14:paraId="7C93BAB0" w14:textId="0EB88BB0" w:rsidR="00D35583" w:rsidRPr="00FF727D" w:rsidRDefault="00D35583" w:rsidP="004E4A85">
                <w:pPr>
                  <w:spacing w:before="0" w:line="240" w:lineRule="auto"/>
                  <w:jc w:val="center"/>
                  <w:rPr>
                    <w:rFonts w:eastAsia="Times New Roman" w:cs="Segoe UI"/>
                    <w:sz w:val="14"/>
                    <w:szCs w:val="22"/>
                    <w:lang w:val="en-GB" w:eastAsia="it-IT"/>
                  </w:rPr>
                </w:pPr>
                <w:r w:rsidRPr="00E6657C">
                  <w:rPr>
                    <w:rFonts w:eastAsia="Times New Roman" w:cs="Segoe UI"/>
                    <w:sz w:val="14"/>
                    <w:szCs w:val="22"/>
                    <w:lang w:val="en-GB" w:eastAsia="it-IT"/>
                  </w:rPr>
                  <w:t>3</w:t>
                </w:r>
                <w:r w:rsidR="00E36720">
                  <w:rPr>
                    <w:rFonts w:eastAsia="Times New Roman" w:cs="Segoe UI"/>
                    <w:sz w:val="14"/>
                    <w:szCs w:val="22"/>
                    <w:lang w:val="en-GB" w:eastAsia="it-IT"/>
                  </w:rPr>
                  <w:t>.</w:t>
                </w:r>
                <w:r w:rsidRPr="00E6657C">
                  <w:rPr>
                    <w:rFonts w:eastAsia="Times New Roman" w:cs="Segoe UI"/>
                    <w:sz w:val="14"/>
                    <w:szCs w:val="22"/>
                    <w:lang w:val="en-GB" w:eastAsia="it-IT"/>
                  </w:rPr>
                  <w:t>05%</w:t>
                </w:r>
              </w:p>
            </w:tc>
            <w:tc>
              <w:tcPr>
                <w:tcW w:w="834" w:type="pct"/>
                <w:shd w:val="clear" w:color="auto" w:fill="FFFFFF" w:themeFill="background2"/>
                <w:tcMar>
                  <w:top w:w="60" w:type="dxa"/>
                  <w:left w:w="114" w:type="dxa"/>
                  <w:bottom w:w="60" w:type="dxa"/>
                  <w:right w:w="114" w:type="dxa"/>
                </w:tcMar>
                <w:vAlign w:val="center"/>
              </w:tcPr>
              <w:p w14:paraId="4A6DEC72" w14:textId="4AC6BA19" w:rsidR="00D35583" w:rsidRPr="00FF727D" w:rsidRDefault="00D35583" w:rsidP="004E4A85">
                <w:pPr>
                  <w:spacing w:before="0" w:line="240" w:lineRule="auto"/>
                  <w:jc w:val="center"/>
                  <w:rPr>
                    <w:rFonts w:eastAsia="Times New Roman" w:cs="Segoe UI"/>
                    <w:sz w:val="14"/>
                    <w:szCs w:val="22"/>
                    <w:lang w:val="en-GB" w:eastAsia="it-IT"/>
                  </w:rPr>
                </w:pPr>
                <w:r w:rsidRPr="00E6657C">
                  <w:rPr>
                    <w:rFonts w:eastAsia="Times New Roman" w:cs="Segoe UI"/>
                    <w:sz w:val="14"/>
                    <w:szCs w:val="22"/>
                    <w:lang w:val="en-GB" w:eastAsia="it-IT"/>
                  </w:rPr>
                  <w:t>5</w:t>
                </w:r>
                <w:r w:rsidR="00E36720">
                  <w:rPr>
                    <w:rFonts w:eastAsia="Times New Roman" w:cs="Segoe UI"/>
                    <w:sz w:val="14"/>
                    <w:szCs w:val="22"/>
                    <w:lang w:val="en-GB" w:eastAsia="it-IT"/>
                  </w:rPr>
                  <w:t>.</w:t>
                </w:r>
                <w:r w:rsidRPr="00E6657C">
                  <w:rPr>
                    <w:rFonts w:eastAsia="Times New Roman" w:cs="Segoe UI"/>
                    <w:sz w:val="14"/>
                    <w:szCs w:val="22"/>
                    <w:lang w:val="en-GB" w:eastAsia="it-IT"/>
                  </w:rPr>
                  <w:t>12%</w:t>
                </w:r>
              </w:p>
            </w:tc>
            <w:tc>
              <w:tcPr>
                <w:tcW w:w="833" w:type="pct"/>
                <w:shd w:val="clear" w:color="auto" w:fill="FFFFFF" w:themeFill="background2"/>
                <w:vAlign w:val="center"/>
              </w:tcPr>
              <w:p w14:paraId="7614AAA7" w14:textId="1A3B503F" w:rsidR="00D35583" w:rsidRPr="00FF727D" w:rsidRDefault="00D35583" w:rsidP="004E4A85">
                <w:pPr>
                  <w:spacing w:before="0" w:line="240" w:lineRule="auto"/>
                  <w:jc w:val="center"/>
                  <w:rPr>
                    <w:rFonts w:eastAsia="Times New Roman" w:cs="Segoe UI"/>
                    <w:sz w:val="14"/>
                    <w:szCs w:val="22"/>
                    <w:lang w:val="en-GB" w:eastAsia="it-IT"/>
                  </w:rPr>
                </w:pPr>
                <w:r w:rsidRPr="00E6657C">
                  <w:rPr>
                    <w:rFonts w:eastAsia="Times New Roman" w:cs="Segoe UI"/>
                    <w:sz w:val="14"/>
                    <w:szCs w:val="22"/>
                    <w:lang w:val="en-GB" w:eastAsia="it-IT"/>
                  </w:rPr>
                  <w:t>6</w:t>
                </w:r>
                <w:r w:rsidR="00E36720">
                  <w:rPr>
                    <w:rFonts w:eastAsia="Times New Roman" w:cs="Segoe UI"/>
                    <w:sz w:val="14"/>
                    <w:szCs w:val="22"/>
                    <w:lang w:val="en-GB" w:eastAsia="it-IT"/>
                  </w:rPr>
                  <w:t>.</w:t>
                </w:r>
                <w:r w:rsidRPr="00E6657C">
                  <w:rPr>
                    <w:rFonts w:eastAsia="Times New Roman" w:cs="Segoe UI"/>
                    <w:sz w:val="14"/>
                    <w:szCs w:val="22"/>
                    <w:lang w:val="en-GB" w:eastAsia="it-IT"/>
                  </w:rPr>
                  <w:t>85%</w:t>
                </w:r>
              </w:p>
            </w:tc>
            <w:tc>
              <w:tcPr>
                <w:tcW w:w="833" w:type="pct"/>
                <w:shd w:val="clear" w:color="auto" w:fill="FFFFFF" w:themeFill="background2"/>
                <w:vAlign w:val="center"/>
              </w:tcPr>
              <w:p w14:paraId="11E3AF53" w14:textId="4E3F4409" w:rsidR="00D35583" w:rsidRPr="00FF727D" w:rsidRDefault="00D35583" w:rsidP="004E4A85">
                <w:pPr>
                  <w:spacing w:before="0" w:line="240" w:lineRule="auto"/>
                  <w:jc w:val="center"/>
                  <w:rPr>
                    <w:rFonts w:eastAsia="Times New Roman" w:cs="Segoe UI"/>
                    <w:sz w:val="14"/>
                    <w:szCs w:val="22"/>
                    <w:lang w:val="en-GB" w:eastAsia="it-IT"/>
                  </w:rPr>
                </w:pPr>
                <w:r w:rsidRPr="003B5366">
                  <w:rPr>
                    <w:rFonts w:eastAsia="Times New Roman" w:cs="Segoe UI"/>
                    <w:sz w:val="14"/>
                    <w:szCs w:val="22"/>
                    <w:lang w:val="en-GB" w:eastAsia="it-IT"/>
                  </w:rPr>
                  <w:t>8</w:t>
                </w:r>
                <w:r w:rsidR="00E36720">
                  <w:rPr>
                    <w:rFonts w:eastAsia="Times New Roman" w:cs="Segoe UI"/>
                    <w:sz w:val="14"/>
                    <w:szCs w:val="22"/>
                    <w:lang w:val="en-GB" w:eastAsia="it-IT"/>
                  </w:rPr>
                  <w:t>.</w:t>
                </w:r>
                <w:r w:rsidRPr="003B5366">
                  <w:rPr>
                    <w:rFonts w:eastAsia="Times New Roman" w:cs="Segoe UI"/>
                    <w:sz w:val="14"/>
                    <w:szCs w:val="22"/>
                    <w:lang w:val="en-GB" w:eastAsia="it-IT"/>
                  </w:rPr>
                  <w:t>34%</w:t>
                </w:r>
              </w:p>
            </w:tc>
            <w:tc>
              <w:tcPr>
                <w:tcW w:w="834" w:type="pct"/>
                <w:shd w:val="clear" w:color="auto" w:fill="FFFFFF" w:themeFill="background2"/>
                <w:vAlign w:val="center"/>
              </w:tcPr>
              <w:p w14:paraId="66C9B0EE" w14:textId="6A923B84" w:rsidR="00D35583" w:rsidRPr="00FF727D" w:rsidRDefault="00D35583" w:rsidP="004E4A85">
                <w:pPr>
                  <w:spacing w:before="0" w:line="240" w:lineRule="auto"/>
                  <w:jc w:val="center"/>
                  <w:rPr>
                    <w:rFonts w:eastAsia="Times New Roman" w:cs="Segoe UI"/>
                    <w:sz w:val="14"/>
                    <w:szCs w:val="22"/>
                    <w:lang w:val="en-GB" w:eastAsia="it-IT"/>
                  </w:rPr>
                </w:pPr>
                <w:r w:rsidRPr="004E4084">
                  <w:rPr>
                    <w:rFonts w:eastAsia="Times New Roman" w:cs="Segoe UI"/>
                    <w:sz w:val="14"/>
                    <w:szCs w:val="22"/>
                    <w:lang w:val="en-GB" w:eastAsia="it-IT"/>
                  </w:rPr>
                  <w:t>9</w:t>
                </w:r>
                <w:r w:rsidR="00E36720">
                  <w:rPr>
                    <w:rFonts w:eastAsia="Times New Roman" w:cs="Segoe UI"/>
                    <w:sz w:val="14"/>
                    <w:szCs w:val="22"/>
                    <w:lang w:val="en-GB" w:eastAsia="it-IT"/>
                  </w:rPr>
                  <w:t>.</w:t>
                </w:r>
                <w:r w:rsidRPr="004E4084">
                  <w:rPr>
                    <w:rFonts w:eastAsia="Times New Roman" w:cs="Segoe UI"/>
                    <w:sz w:val="14"/>
                    <w:szCs w:val="22"/>
                    <w:lang w:val="en-GB" w:eastAsia="it-IT"/>
                  </w:rPr>
                  <w:t>79%</w:t>
                </w:r>
              </w:p>
            </w:tc>
          </w:tr>
          <w:tr w:rsidR="00D35583" w:rsidRPr="003A089A" w14:paraId="787D9085" w14:textId="77777777" w:rsidTr="00A875C2">
            <w:trPr>
              <w:trHeight w:val="283"/>
            </w:trPr>
            <w:tc>
              <w:tcPr>
                <w:tcW w:w="833" w:type="pct"/>
                <w:shd w:val="clear" w:color="auto" w:fill="FFFFFF" w:themeFill="background2"/>
                <w:tcMar>
                  <w:top w:w="60" w:type="dxa"/>
                  <w:left w:w="114" w:type="dxa"/>
                  <w:bottom w:w="60" w:type="dxa"/>
                  <w:right w:w="114" w:type="dxa"/>
                </w:tcMar>
                <w:vAlign w:val="center"/>
              </w:tcPr>
              <w:p w14:paraId="785D3F18" w14:textId="77777777" w:rsidR="00D35583" w:rsidRPr="00FF727D" w:rsidRDefault="00D35583" w:rsidP="004E4A85">
                <w:pPr>
                  <w:spacing w:before="0" w:line="240" w:lineRule="auto"/>
                  <w:jc w:val="left"/>
                  <w:rPr>
                    <w:rFonts w:eastAsia="Times New Roman" w:cs="Segoe UI"/>
                    <w:b/>
                    <w:bCs/>
                    <w:sz w:val="14"/>
                    <w:szCs w:val="22"/>
                    <w:lang w:val="en-GB" w:eastAsia="it-IT"/>
                  </w:rPr>
                </w:pPr>
                <w:r w:rsidRPr="00FF727D">
                  <w:rPr>
                    <w:rFonts w:eastAsia="Times New Roman" w:cs="Segoe UI"/>
                    <w:b/>
                    <w:bCs/>
                    <w:sz w:val="14"/>
                    <w:szCs w:val="22"/>
                    <w:lang w:val="en-GB" w:eastAsia="it-IT"/>
                  </w:rPr>
                  <w:t>31 December 2015</w:t>
                </w:r>
              </w:p>
            </w:tc>
            <w:tc>
              <w:tcPr>
                <w:tcW w:w="833" w:type="pct"/>
                <w:shd w:val="clear" w:color="auto" w:fill="FFFFFF" w:themeFill="background2"/>
                <w:tcMar>
                  <w:top w:w="60" w:type="dxa"/>
                  <w:left w:w="114" w:type="dxa"/>
                  <w:bottom w:w="60" w:type="dxa"/>
                  <w:right w:w="114" w:type="dxa"/>
                </w:tcMar>
                <w:vAlign w:val="center"/>
              </w:tcPr>
              <w:p w14:paraId="2C4A672B" w14:textId="7841EB46" w:rsidR="00D35583" w:rsidRPr="00FF727D" w:rsidRDefault="00D35583" w:rsidP="004E4A85">
                <w:pPr>
                  <w:spacing w:before="0" w:line="240" w:lineRule="auto"/>
                  <w:jc w:val="center"/>
                  <w:rPr>
                    <w:rFonts w:eastAsia="Times New Roman" w:cs="Segoe UI"/>
                    <w:sz w:val="14"/>
                    <w:szCs w:val="22"/>
                    <w:lang w:val="en-GB" w:eastAsia="it-IT"/>
                  </w:rPr>
                </w:pPr>
                <w:r w:rsidRPr="00E6657C">
                  <w:rPr>
                    <w:rFonts w:eastAsia="Times New Roman" w:cs="Segoe UI"/>
                    <w:sz w:val="14"/>
                    <w:szCs w:val="22"/>
                    <w:lang w:val="en-GB" w:eastAsia="it-IT"/>
                  </w:rPr>
                  <w:t>2</w:t>
                </w:r>
                <w:r w:rsidR="00E36720">
                  <w:rPr>
                    <w:rFonts w:eastAsia="Times New Roman" w:cs="Segoe UI"/>
                    <w:sz w:val="14"/>
                    <w:szCs w:val="22"/>
                    <w:lang w:val="en-GB" w:eastAsia="it-IT"/>
                  </w:rPr>
                  <w:t>.</w:t>
                </w:r>
                <w:r w:rsidRPr="00E6657C">
                  <w:rPr>
                    <w:rFonts w:eastAsia="Times New Roman" w:cs="Segoe UI"/>
                    <w:sz w:val="14"/>
                    <w:szCs w:val="22"/>
                    <w:lang w:val="en-GB" w:eastAsia="it-IT"/>
                  </w:rPr>
                  <w:t>37%</w:t>
                </w:r>
              </w:p>
            </w:tc>
            <w:tc>
              <w:tcPr>
                <w:tcW w:w="834" w:type="pct"/>
                <w:shd w:val="clear" w:color="auto" w:fill="FFFFFF" w:themeFill="background2"/>
                <w:tcMar>
                  <w:top w:w="60" w:type="dxa"/>
                  <w:left w:w="114" w:type="dxa"/>
                  <w:bottom w:w="60" w:type="dxa"/>
                  <w:right w:w="114" w:type="dxa"/>
                </w:tcMar>
                <w:vAlign w:val="center"/>
              </w:tcPr>
              <w:p w14:paraId="3D64A261" w14:textId="5859DD2B" w:rsidR="00D35583" w:rsidRPr="00FF727D" w:rsidRDefault="00D35583" w:rsidP="004E4A85">
                <w:pPr>
                  <w:spacing w:before="0" w:line="240" w:lineRule="auto"/>
                  <w:jc w:val="center"/>
                  <w:rPr>
                    <w:rFonts w:eastAsia="Times New Roman" w:cs="Segoe UI"/>
                    <w:sz w:val="14"/>
                    <w:szCs w:val="22"/>
                    <w:lang w:val="en-GB" w:eastAsia="it-IT"/>
                  </w:rPr>
                </w:pPr>
                <w:r w:rsidRPr="00E6657C">
                  <w:rPr>
                    <w:rFonts w:eastAsia="Times New Roman" w:cs="Segoe UI"/>
                    <w:sz w:val="14"/>
                    <w:szCs w:val="22"/>
                    <w:lang w:val="en-GB" w:eastAsia="it-IT"/>
                  </w:rPr>
                  <w:t>4</w:t>
                </w:r>
                <w:r w:rsidR="00E36720">
                  <w:rPr>
                    <w:rFonts w:eastAsia="Times New Roman" w:cs="Segoe UI"/>
                    <w:sz w:val="14"/>
                    <w:szCs w:val="22"/>
                    <w:lang w:val="en-GB" w:eastAsia="it-IT"/>
                  </w:rPr>
                  <w:t>.</w:t>
                </w:r>
                <w:r w:rsidRPr="00E6657C">
                  <w:rPr>
                    <w:rFonts w:eastAsia="Times New Roman" w:cs="Segoe UI"/>
                    <w:sz w:val="14"/>
                    <w:szCs w:val="22"/>
                    <w:lang w:val="en-GB" w:eastAsia="it-IT"/>
                  </w:rPr>
                  <w:t>10%</w:t>
                </w:r>
              </w:p>
            </w:tc>
            <w:tc>
              <w:tcPr>
                <w:tcW w:w="833" w:type="pct"/>
                <w:shd w:val="clear" w:color="auto" w:fill="FFFFFF" w:themeFill="background2"/>
                <w:vAlign w:val="center"/>
              </w:tcPr>
              <w:p w14:paraId="58B64132" w14:textId="6B4FFE20" w:rsidR="00D35583" w:rsidRPr="00FF727D" w:rsidRDefault="00D35583" w:rsidP="004E4A85">
                <w:pPr>
                  <w:spacing w:before="0" w:line="240" w:lineRule="auto"/>
                  <w:jc w:val="center"/>
                  <w:rPr>
                    <w:rFonts w:eastAsia="Times New Roman" w:cs="Segoe UI"/>
                    <w:sz w:val="14"/>
                    <w:szCs w:val="22"/>
                    <w:lang w:val="en-GB" w:eastAsia="it-IT"/>
                  </w:rPr>
                </w:pPr>
                <w:r w:rsidRPr="00E6657C">
                  <w:rPr>
                    <w:rFonts w:eastAsia="Times New Roman" w:cs="Segoe UI"/>
                    <w:sz w:val="14"/>
                    <w:szCs w:val="22"/>
                    <w:lang w:val="en-GB" w:eastAsia="it-IT"/>
                  </w:rPr>
                  <w:t>5</w:t>
                </w:r>
                <w:r w:rsidR="00E36720">
                  <w:rPr>
                    <w:rFonts w:eastAsia="Times New Roman" w:cs="Segoe UI"/>
                    <w:sz w:val="14"/>
                    <w:szCs w:val="22"/>
                    <w:lang w:val="en-GB" w:eastAsia="it-IT"/>
                  </w:rPr>
                  <w:t>.</w:t>
                </w:r>
                <w:r w:rsidRPr="00E6657C">
                  <w:rPr>
                    <w:rFonts w:eastAsia="Times New Roman" w:cs="Segoe UI"/>
                    <w:sz w:val="14"/>
                    <w:szCs w:val="22"/>
                    <w:lang w:val="en-GB" w:eastAsia="it-IT"/>
                  </w:rPr>
                  <w:t>56%</w:t>
                </w:r>
              </w:p>
            </w:tc>
            <w:tc>
              <w:tcPr>
                <w:tcW w:w="833" w:type="pct"/>
                <w:shd w:val="clear" w:color="auto" w:fill="FFFFFF" w:themeFill="background2"/>
                <w:vAlign w:val="center"/>
              </w:tcPr>
              <w:p w14:paraId="62F012D3" w14:textId="67955E46" w:rsidR="00D35583" w:rsidRPr="00FF727D" w:rsidRDefault="00D35583" w:rsidP="004E4A85">
                <w:pPr>
                  <w:spacing w:before="0" w:line="240" w:lineRule="auto"/>
                  <w:jc w:val="center"/>
                  <w:rPr>
                    <w:rFonts w:eastAsia="Times New Roman" w:cs="Segoe UI"/>
                    <w:sz w:val="14"/>
                    <w:szCs w:val="22"/>
                    <w:lang w:val="en-GB" w:eastAsia="it-IT"/>
                  </w:rPr>
                </w:pPr>
                <w:r w:rsidRPr="003B5366">
                  <w:rPr>
                    <w:rFonts w:eastAsia="Times New Roman" w:cs="Segoe UI"/>
                    <w:sz w:val="14"/>
                    <w:szCs w:val="22"/>
                    <w:lang w:val="en-GB" w:eastAsia="it-IT"/>
                  </w:rPr>
                  <w:t>7</w:t>
                </w:r>
                <w:r w:rsidR="00E36720">
                  <w:rPr>
                    <w:rFonts w:eastAsia="Times New Roman" w:cs="Segoe UI"/>
                    <w:sz w:val="14"/>
                    <w:szCs w:val="22"/>
                    <w:lang w:val="en-GB" w:eastAsia="it-IT"/>
                  </w:rPr>
                  <w:t>.</w:t>
                </w:r>
                <w:r w:rsidRPr="003B5366">
                  <w:rPr>
                    <w:rFonts w:eastAsia="Times New Roman" w:cs="Segoe UI"/>
                    <w:sz w:val="14"/>
                    <w:szCs w:val="22"/>
                    <w:lang w:val="en-GB" w:eastAsia="it-IT"/>
                  </w:rPr>
                  <w:t>05%</w:t>
                </w:r>
              </w:p>
            </w:tc>
            <w:tc>
              <w:tcPr>
                <w:tcW w:w="834" w:type="pct"/>
                <w:shd w:val="clear" w:color="auto" w:fill="FFFFFF" w:themeFill="background2"/>
                <w:vAlign w:val="center"/>
              </w:tcPr>
              <w:p w14:paraId="2F0F0591" w14:textId="2A61611D" w:rsidR="00D35583" w:rsidRPr="00FF727D" w:rsidRDefault="00D35583" w:rsidP="004E4A85">
                <w:pPr>
                  <w:spacing w:before="0" w:line="240" w:lineRule="auto"/>
                  <w:jc w:val="center"/>
                  <w:rPr>
                    <w:rFonts w:eastAsia="Times New Roman" w:cs="Segoe UI"/>
                    <w:sz w:val="14"/>
                    <w:szCs w:val="22"/>
                    <w:lang w:val="en-GB" w:eastAsia="it-IT"/>
                  </w:rPr>
                </w:pPr>
                <w:r w:rsidRPr="004E4084">
                  <w:rPr>
                    <w:rFonts w:eastAsia="Times New Roman" w:cs="Segoe UI"/>
                    <w:sz w:val="14"/>
                    <w:szCs w:val="22"/>
                    <w:lang w:val="en-GB" w:eastAsia="it-IT"/>
                  </w:rPr>
                  <w:t>8</w:t>
                </w:r>
                <w:r w:rsidR="00E36720">
                  <w:rPr>
                    <w:rFonts w:eastAsia="Times New Roman" w:cs="Segoe UI"/>
                    <w:sz w:val="14"/>
                    <w:szCs w:val="22"/>
                    <w:lang w:val="en-GB" w:eastAsia="it-IT"/>
                  </w:rPr>
                  <w:t>.</w:t>
                </w:r>
                <w:r w:rsidRPr="004E4084">
                  <w:rPr>
                    <w:rFonts w:eastAsia="Times New Roman" w:cs="Segoe UI"/>
                    <w:sz w:val="14"/>
                    <w:szCs w:val="22"/>
                    <w:lang w:val="en-GB" w:eastAsia="it-IT"/>
                  </w:rPr>
                  <w:t>06%</w:t>
                </w:r>
              </w:p>
            </w:tc>
          </w:tr>
          <w:tr w:rsidR="00D35583" w:rsidRPr="003A089A" w14:paraId="4FE868C0" w14:textId="77777777" w:rsidTr="00A875C2">
            <w:trPr>
              <w:trHeight w:val="283"/>
            </w:trPr>
            <w:tc>
              <w:tcPr>
                <w:tcW w:w="833" w:type="pct"/>
                <w:shd w:val="clear" w:color="auto" w:fill="FFFFFF" w:themeFill="background2"/>
                <w:tcMar>
                  <w:top w:w="60" w:type="dxa"/>
                  <w:left w:w="114" w:type="dxa"/>
                  <w:bottom w:w="60" w:type="dxa"/>
                  <w:right w:w="114" w:type="dxa"/>
                </w:tcMar>
                <w:vAlign w:val="center"/>
              </w:tcPr>
              <w:p w14:paraId="325EABCA" w14:textId="77777777" w:rsidR="00D35583" w:rsidRPr="00FF727D" w:rsidRDefault="00D35583" w:rsidP="004E4A85">
                <w:pPr>
                  <w:spacing w:before="0" w:line="240" w:lineRule="auto"/>
                  <w:jc w:val="left"/>
                  <w:rPr>
                    <w:rFonts w:eastAsia="Times New Roman" w:cs="Segoe UI"/>
                    <w:b/>
                    <w:bCs/>
                    <w:sz w:val="14"/>
                    <w:szCs w:val="22"/>
                    <w:lang w:val="en-GB" w:eastAsia="it-IT"/>
                  </w:rPr>
                </w:pPr>
                <w:r w:rsidRPr="00FF727D">
                  <w:rPr>
                    <w:rFonts w:eastAsia="Times New Roman" w:cs="Segoe UI"/>
                    <w:b/>
                    <w:bCs/>
                    <w:sz w:val="14"/>
                    <w:szCs w:val="22"/>
                    <w:lang w:val="en-GB" w:eastAsia="it-IT"/>
                  </w:rPr>
                  <w:t>31 December 2016</w:t>
                </w:r>
              </w:p>
            </w:tc>
            <w:tc>
              <w:tcPr>
                <w:tcW w:w="833" w:type="pct"/>
                <w:shd w:val="clear" w:color="auto" w:fill="FFFFFF" w:themeFill="background2"/>
                <w:tcMar>
                  <w:top w:w="60" w:type="dxa"/>
                  <w:left w:w="114" w:type="dxa"/>
                  <w:bottom w:w="60" w:type="dxa"/>
                  <w:right w:w="114" w:type="dxa"/>
                </w:tcMar>
                <w:vAlign w:val="center"/>
              </w:tcPr>
              <w:p w14:paraId="74F12711" w14:textId="05886231" w:rsidR="00D35583" w:rsidRPr="00FF727D" w:rsidRDefault="00D35583" w:rsidP="004E4A85">
                <w:pPr>
                  <w:spacing w:before="0" w:line="240" w:lineRule="auto"/>
                  <w:jc w:val="center"/>
                  <w:rPr>
                    <w:rFonts w:eastAsia="Times New Roman" w:cs="Segoe UI"/>
                    <w:sz w:val="14"/>
                    <w:szCs w:val="22"/>
                    <w:lang w:val="en-GB" w:eastAsia="it-IT"/>
                  </w:rPr>
                </w:pPr>
                <w:r w:rsidRPr="00E6657C">
                  <w:rPr>
                    <w:rFonts w:eastAsia="Times New Roman" w:cs="Segoe UI"/>
                    <w:sz w:val="14"/>
                    <w:szCs w:val="22"/>
                    <w:lang w:val="en-GB" w:eastAsia="it-IT"/>
                  </w:rPr>
                  <w:t>1</w:t>
                </w:r>
                <w:r w:rsidR="00E36720">
                  <w:rPr>
                    <w:rFonts w:eastAsia="Times New Roman" w:cs="Segoe UI"/>
                    <w:sz w:val="14"/>
                    <w:szCs w:val="22"/>
                    <w:lang w:val="en-GB" w:eastAsia="it-IT"/>
                  </w:rPr>
                  <w:t>.</w:t>
                </w:r>
                <w:r w:rsidRPr="00E6657C">
                  <w:rPr>
                    <w:rFonts w:eastAsia="Times New Roman" w:cs="Segoe UI"/>
                    <w:sz w:val="14"/>
                    <w:szCs w:val="22"/>
                    <w:lang w:val="en-GB" w:eastAsia="it-IT"/>
                  </w:rPr>
                  <w:t>58%</w:t>
                </w:r>
              </w:p>
            </w:tc>
            <w:tc>
              <w:tcPr>
                <w:tcW w:w="834" w:type="pct"/>
                <w:shd w:val="clear" w:color="auto" w:fill="FFFFFF" w:themeFill="background2"/>
                <w:tcMar>
                  <w:top w:w="60" w:type="dxa"/>
                  <w:left w:w="114" w:type="dxa"/>
                  <w:bottom w:w="60" w:type="dxa"/>
                  <w:right w:w="114" w:type="dxa"/>
                </w:tcMar>
                <w:vAlign w:val="center"/>
              </w:tcPr>
              <w:p w14:paraId="6274AA57" w14:textId="121CDEB5" w:rsidR="00D35583" w:rsidRPr="00FF727D" w:rsidRDefault="00D35583" w:rsidP="004E4A85">
                <w:pPr>
                  <w:spacing w:before="0" w:line="240" w:lineRule="auto"/>
                  <w:jc w:val="center"/>
                  <w:rPr>
                    <w:rFonts w:eastAsia="Times New Roman" w:cs="Segoe UI"/>
                    <w:sz w:val="14"/>
                    <w:szCs w:val="22"/>
                    <w:lang w:val="en-GB" w:eastAsia="it-IT"/>
                  </w:rPr>
                </w:pPr>
                <w:r w:rsidRPr="00E6657C">
                  <w:rPr>
                    <w:rFonts w:eastAsia="Times New Roman" w:cs="Segoe UI"/>
                    <w:sz w:val="14"/>
                    <w:szCs w:val="22"/>
                    <w:lang w:val="en-GB" w:eastAsia="it-IT"/>
                  </w:rPr>
                  <w:t>2</w:t>
                </w:r>
                <w:r w:rsidR="00E36720">
                  <w:rPr>
                    <w:rFonts w:eastAsia="Times New Roman" w:cs="Segoe UI"/>
                    <w:sz w:val="14"/>
                    <w:szCs w:val="22"/>
                    <w:lang w:val="en-GB" w:eastAsia="it-IT"/>
                  </w:rPr>
                  <w:t>.</w:t>
                </w:r>
                <w:r w:rsidRPr="00E6657C">
                  <w:rPr>
                    <w:rFonts w:eastAsia="Times New Roman" w:cs="Segoe UI"/>
                    <w:sz w:val="14"/>
                    <w:szCs w:val="22"/>
                    <w:lang w:val="en-GB" w:eastAsia="it-IT"/>
                  </w:rPr>
                  <w:t>82%</w:t>
                </w:r>
              </w:p>
            </w:tc>
            <w:tc>
              <w:tcPr>
                <w:tcW w:w="833" w:type="pct"/>
                <w:shd w:val="clear" w:color="auto" w:fill="FFFFFF" w:themeFill="background2"/>
                <w:vAlign w:val="center"/>
              </w:tcPr>
              <w:p w14:paraId="30B7AC7D" w14:textId="0F8EBA28" w:rsidR="00D35583" w:rsidRPr="00FF727D" w:rsidRDefault="00D35583" w:rsidP="004E4A85">
                <w:pPr>
                  <w:spacing w:before="0" w:line="240" w:lineRule="auto"/>
                  <w:jc w:val="center"/>
                  <w:rPr>
                    <w:rFonts w:eastAsia="Times New Roman" w:cs="Segoe UI"/>
                    <w:sz w:val="14"/>
                    <w:szCs w:val="22"/>
                    <w:lang w:val="en-GB" w:eastAsia="it-IT"/>
                  </w:rPr>
                </w:pPr>
                <w:r w:rsidRPr="00E6657C">
                  <w:rPr>
                    <w:rFonts w:eastAsia="Times New Roman" w:cs="Segoe UI"/>
                    <w:sz w:val="14"/>
                    <w:szCs w:val="22"/>
                    <w:lang w:val="en-GB" w:eastAsia="it-IT"/>
                  </w:rPr>
                  <w:t>4</w:t>
                </w:r>
                <w:r w:rsidR="00E36720">
                  <w:rPr>
                    <w:rFonts w:eastAsia="Times New Roman" w:cs="Segoe UI"/>
                    <w:sz w:val="14"/>
                    <w:szCs w:val="22"/>
                    <w:lang w:val="en-GB" w:eastAsia="it-IT"/>
                  </w:rPr>
                  <w:t>.</w:t>
                </w:r>
                <w:r w:rsidRPr="00E6657C">
                  <w:rPr>
                    <w:rFonts w:eastAsia="Times New Roman" w:cs="Segoe UI"/>
                    <w:sz w:val="14"/>
                    <w:szCs w:val="22"/>
                    <w:lang w:val="en-GB" w:eastAsia="it-IT"/>
                  </w:rPr>
                  <w:t>08%</w:t>
                </w:r>
              </w:p>
            </w:tc>
            <w:tc>
              <w:tcPr>
                <w:tcW w:w="833" w:type="pct"/>
                <w:shd w:val="clear" w:color="auto" w:fill="FFFFFF" w:themeFill="background2"/>
                <w:vAlign w:val="center"/>
              </w:tcPr>
              <w:p w14:paraId="11610BEF" w14:textId="145DCA20" w:rsidR="00D35583" w:rsidRPr="00FF727D" w:rsidRDefault="00D35583" w:rsidP="004E4A85">
                <w:pPr>
                  <w:spacing w:before="0" w:line="240" w:lineRule="auto"/>
                  <w:jc w:val="center"/>
                  <w:rPr>
                    <w:rFonts w:eastAsia="Times New Roman" w:cs="Segoe UI"/>
                    <w:sz w:val="14"/>
                    <w:szCs w:val="22"/>
                    <w:lang w:val="en-GB" w:eastAsia="it-IT"/>
                  </w:rPr>
                </w:pPr>
                <w:r w:rsidRPr="003B5366">
                  <w:rPr>
                    <w:rFonts w:eastAsia="Times New Roman" w:cs="Segoe UI"/>
                    <w:sz w:val="14"/>
                    <w:szCs w:val="22"/>
                    <w:lang w:val="en-GB" w:eastAsia="it-IT"/>
                  </w:rPr>
                  <w:t>5</w:t>
                </w:r>
                <w:r w:rsidR="00E36720">
                  <w:rPr>
                    <w:rFonts w:eastAsia="Times New Roman" w:cs="Segoe UI"/>
                    <w:sz w:val="14"/>
                    <w:szCs w:val="22"/>
                    <w:lang w:val="en-GB" w:eastAsia="it-IT"/>
                  </w:rPr>
                  <w:t>.</w:t>
                </w:r>
                <w:r w:rsidRPr="003B5366">
                  <w:rPr>
                    <w:rFonts w:eastAsia="Times New Roman" w:cs="Segoe UI"/>
                    <w:sz w:val="14"/>
                    <w:szCs w:val="22"/>
                    <w:lang w:val="en-GB" w:eastAsia="it-IT"/>
                  </w:rPr>
                  <w:t>04%</w:t>
                </w:r>
              </w:p>
            </w:tc>
            <w:tc>
              <w:tcPr>
                <w:tcW w:w="834" w:type="pct"/>
                <w:shd w:val="clear" w:color="auto" w:fill="FFFFFF" w:themeFill="background2"/>
                <w:vAlign w:val="center"/>
              </w:tcPr>
              <w:p w14:paraId="53137F1A" w14:textId="7BB7EC5B" w:rsidR="00D35583" w:rsidRPr="00FF727D" w:rsidRDefault="00D35583" w:rsidP="004E4A85">
                <w:pPr>
                  <w:spacing w:before="0" w:line="240" w:lineRule="auto"/>
                  <w:jc w:val="center"/>
                  <w:rPr>
                    <w:rFonts w:eastAsia="Times New Roman" w:cs="Segoe UI"/>
                    <w:sz w:val="14"/>
                    <w:szCs w:val="22"/>
                    <w:lang w:val="en-GB" w:eastAsia="it-IT"/>
                  </w:rPr>
                </w:pPr>
                <w:r w:rsidRPr="004E4084">
                  <w:rPr>
                    <w:rFonts w:eastAsia="Times New Roman" w:cs="Segoe UI"/>
                    <w:sz w:val="14"/>
                    <w:szCs w:val="22"/>
                    <w:lang w:val="en-GB" w:eastAsia="it-IT"/>
                  </w:rPr>
                  <w:t>5</w:t>
                </w:r>
                <w:r w:rsidR="00E36720">
                  <w:rPr>
                    <w:rFonts w:eastAsia="Times New Roman" w:cs="Segoe UI"/>
                    <w:sz w:val="14"/>
                    <w:szCs w:val="22"/>
                    <w:lang w:val="en-GB" w:eastAsia="it-IT"/>
                  </w:rPr>
                  <w:t>.</w:t>
                </w:r>
                <w:r w:rsidRPr="004E4084">
                  <w:rPr>
                    <w:rFonts w:eastAsia="Times New Roman" w:cs="Segoe UI"/>
                    <w:sz w:val="14"/>
                    <w:szCs w:val="22"/>
                    <w:lang w:val="en-GB" w:eastAsia="it-IT"/>
                  </w:rPr>
                  <w:t>86%</w:t>
                </w:r>
              </w:p>
            </w:tc>
          </w:tr>
          <w:tr w:rsidR="00D35583" w:rsidRPr="003A089A" w14:paraId="568131D7" w14:textId="77777777" w:rsidTr="00A875C2">
            <w:trPr>
              <w:trHeight w:val="283"/>
            </w:trPr>
            <w:tc>
              <w:tcPr>
                <w:tcW w:w="833" w:type="pct"/>
                <w:shd w:val="clear" w:color="auto" w:fill="FFFFFF" w:themeFill="background2"/>
                <w:tcMar>
                  <w:top w:w="60" w:type="dxa"/>
                  <w:left w:w="114" w:type="dxa"/>
                  <w:bottom w:w="60" w:type="dxa"/>
                  <w:right w:w="114" w:type="dxa"/>
                </w:tcMar>
                <w:vAlign w:val="center"/>
              </w:tcPr>
              <w:p w14:paraId="22075EE6" w14:textId="77777777" w:rsidR="00D35583" w:rsidRPr="00FF727D" w:rsidRDefault="00D35583" w:rsidP="004E4A85">
                <w:pPr>
                  <w:spacing w:before="0" w:line="240" w:lineRule="auto"/>
                  <w:jc w:val="left"/>
                  <w:rPr>
                    <w:rFonts w:eastAsia="Times New Roman" w:cs="Segoe UI"/>
                    <w:b/>
                    <w:bCs/>
                    <w:sz w:val="14"/>
                    <w:szCs w:val="22"/>
                    <w:lang w:val="en-GB" w:eastAsia="it-IT"/>
                  </w:rPr>
                </w:pPr>
                <w:r w:rsidRPr="00FF727D">
                  <w:rPr>
                    <w:rFonts w:eastAsia="Times New Roman" w:cs="Segoe UI"/>
                    <w:b/>
                    <w:bCs/>
                    <w:sz w:val="14"/>
                    <w:szCs w:val="22"/>
                    <w:lang w:val="en-GB" w:eastAsia="it-IT"/>
                  </w:rPr>
                  <w:t>31 December 2017</w:t>
                </w:r>
              </w:p>
            </w:tc>
            <w:tc>
              <w:tcPr>
                <w:tcW w:w="833" w:type="pct"/>
                <w:shd w:val="clear" w:color="auto" w:fill="FFFFFF" w:themeFill="background2"/>
                <w:tcMar>
                  <w:top w:w="60" w:type="dxa"/>
                  <w:left w:w="114" w:type="dxa"/>
                  <w:bottom w:w="60" w:type="dxa"/>
                  <w:right w:w="114" w:type="dxa"/>
                </w:tcMar>
                <w:vAlign w:val="center"/>
              </w:tcPr>
              <w:p w14:paraId="0FD06C88" w14:textId="65FF7D17" w:rsidR="00D35583" w:rsidRPr="00FF727D" w:rsidRDefault="00D35583" w:rsidP="004E4A85">
                <w:pPr>
                  <w:spacing w:before="0" w:line="240" w:lineRule="auto"/>
                  <w:jc w:val="center"/>
                  <w:rPr>
                    <w:rFonts w:eastAsia="Times New Roman" w:cs="Segoe UI"/>
                    <w:sz w:val="14"/>
                    <w:szCs w:val="22"/>
                    <w:lang w:val="en-GB" w:eastAsia="it-IT"/>
                  </w:rPr>
                </w:pPr>
                <w:r w:rsidRPr="00E6657C">
                  <w:rPr>
                    <w:rFonts w:eastAsia="Times New Roman" w:cs="Segoe UI"/>
                    <w:sz w:val="14"/>
                    <w:szCs w:val="22"/>
                    <w:lang w:val="en-GB" w:eastAsia="it-IT"/>
                  </w:rPr>
                  <w:t>1</w:t>
                </w:r>
                <w:r w:rsidR="00E36720">
                  <w:rPr>
                    <w:rFonts w:eastAsia="Times New Roman" w:cs="Segoe UI"/>
                    <w:sz w:val="14"/>
                    <w:szCs w:val="22"/>
                    <w:lang w:val="en-GB" w:eastAsia="it-IT"/>
                  </w:rPr>
                  <w:t>.</w:t>
                </w:r>
                <w:r w:rsidRPr="00E6657C">
                  <w:rPr>
                    <w:rFonts w:eastAsia="Times New Roman" w:cs="Segoe UI"/>
                    <w:sz w:val="14"/>
                    <w:szCs w:val="22"/>
                    <w:lang w:val="en-GB" w:eastAsia="it-IT"/>
                  </w:rPr>
                  <w:t>38%</w:t>
                </w:r>
              </w:p>
            </w:tc>
            <w:tc>
              <w:tcPr>
                <w:tcW w:w="834" w:type="pct"/>
                <w:shd w:val="clear" w:color="auto" w:fill="FFFFFF" w:themeFill="background2"/>
                <w:tcMar>
                  <w:top w:w="60" w:type="dxa"/>
                  <w:left w:w="114" w:type="dxa"/>
                  <w:bottom w:w="60" w:type="dxa"/>
                  <w:right w:w="114" w:type="dxa"/>
                </w:tcMar>
                <w:vAlign w:val="center"/>
              </w:tcPr>
              <w:p w14:paraId="49E0621D" w14:textId="53B12AC2" w:rsidR="00D35583" w:rsidRPr="00FF727D" w:rsidRDefault="00D35583" w:rsidP="004E4A85">
                <w:pPr>
                  <w:spacing w:before="0" w:line="240" w:lineRule="auto"/>
                  <w:jc w:val="center"/>
                  <w:rPr>
                    <w:rFonts w:eastAsia="Times New Roman" w:cs="Segoe UI"/>
                    <w:sz w:val="14"/>
                    <w:szCs w:val="22"/>
                    <w:lang w:val="en-GB" w:eastAsia="it-IT"/>
                  </w:rPr>
                </w:pPr>
                <w:r w:rsidRPr="00E6657C">
                  <w:rPr>
                    <w:rFonts w:eastAsia="Times New Roman" w:cs="Segoe UI"/>
                    <w:sz w:val="14"/>
                    <w:szCs w:val="22"/>
                    <w:lang w:val="en-GB" w:eastAsia="it-IT"/>
                  </w:rPr>
                  <w:t>2</w:t>
                </w:r>
                <w:r w:rsidR="00E36720">
                  <w:rPr>
                    <w:rFonts w:eastAsia="Times New Roman" w:cs="Segoe UI"/>
                    <w:sz w:val="14"/>
                    <w:szCs w:val="22"/>
                    <w:lang w:val="en-GB" w:eastAsia="it-IT"/>
                  </w:rPr>
                  <w:t>.</w:t>
                </w:r>
                <w:r w:rsidRPr="00E6657C">
                  <w:rPr>
                    <w:rFonts w:eastAsia="Times New Roman" w:cs="Segoe UI"/>
                    <w:sz w:val="14"/>
                    <w:szCs w:val="22"/>
                    <w:lang w:val="en-GB" w:eastAsia="it-IT"/>
                  </w:rPr>
                  <w:t>63%</w:t>
                </w:r>
              </w:p>
            </w:tc>
            <w:tc>
              <w:tcPr>
                <w:tcW w:w="833" w:type="pct"/>
                <w:shd w:val="clear" w:color="auto" w:fill="FFFFFF" w:themeFill="background2"/>
                <w:vAlign w:val="center"/>
              </w:tcPr>
              <w:p w14:paraId="4020E207" w14:textId="0A1E8F1C" w:rsidR="00D35583" w:rsidRPr="00FF727D" w:rsidRDefault="00D35583" w:rsidP="004E4A85">
                <w:pPr>
                  <w:spacing w:before="0" w:line="240" w:lineRule="auto"/>
                  <w:jc w:val="center"/>
                  <w:rPr>
                    <w:rFonts w:eastAsia="Times New Roman" w:cs="Segoe UI"/>
                    <w:sz w:val="14"/>
                    <w:szCs w:val="22"/>
                    <w:lang w:val="en-GB" w:eastAsia="it-IT"/>
                  </w:rPr>
                </w:pPr>
                <w:r w:rsidRPr="00E6657C">
                  <w:rPr>
                    <w:rFonts w:eastAsia="Times New Roman" w:cs="Segoe UI"/>
                    <w:sz w:val="14"/>
                    <w:szCs w:val="22"/>
                    <w:lang w:val="en-GB" w:eastAsia="it-IT"/>
                  </w:rPr>
                  <w:t>3</w:t>
                </w:r>
                <w:r w:rsidR="00E36720">
                  <w:rPr>
                    <w:rFonts w:eastAsia="Times New Roman" w:cs="Segoe UI"/>
                    <w:sz w:val="14"/>
                    <w:szCs w:val="22"/>
                    <w:lang w:val="en-GB" w:eastAsia="it-IT"/>
                  </w:rPr>
                  <w:t>.</w:t>
                </w:r>
                <w:r w:rsidRPr="00E6657C">
                  <w:rPr>
                    <w:rFonts w:eastAsia="Times New Roman" w:cs="Segoe UI"/>
                    <w:sz w:val="14"/>
                    <w:szCs w:val="22"/>
                    <w:lang w:val="en-GB" w:eastAsia="it-IT"/>
                  </w:rPr>
                  <w:t>68%</w:t>
                </w:r>
              </w:p>
            </w:tc>
            <w:tc>
              <w:tcPr>
                <w:tcW w:w="833" w:type="pct"/>
                <w:shd w:val="clear" w:color="auto" w:fill="FFFFFF" w:themeFill="background2"/>
                <w:vAlign w:val="center"/>
              </w:tcPr>
              <w:p w14:paraId="488C0B2C" w14:textId="26ACB4E6" w:rsidR="00D35583" w:rsidRPr="00FF727D" w:rsidRDefault="00D35583" w:rsidP="004E4A85">
                <w:pPr>
                  <w:spacing w:before="0" w:line="240" w:lineRule="auto"/>
                  <w:jc w:val="center"/>
                  <w:rPr>
                    <w:rFonts w:eastAsia="Times New Roman" w:cs="Segoe UI"/>
                    <w:sz w:val="14"/>
                    <w:szCs w:val="22"/>
                    <w:lang w:val="en-GB" w:eastAsia="it-IT"/>
                  </w:rPr>
                </w:pPr>
                <w:r w:rsidRPr="003B5366">
                  <w:rPr>
                    <w:rFonts w:eastAsia="Times New Roman" w:cs="Segoe UI"/>
                    <w:sz w:val="14"/>
                    <w:szCs w:val="22"/>
                    <w:lang w:val="en-GB" w:eastAsia="it-IT"/>
                  </w:rPr>
                  <w:t>4</w:t>
                </w:r>
                <w:r w:rsidR="00E36720">
                  <w:rPr>
                    <w:rFonts w:eastAsia="Times New Roman" w:cs="Segoe UI"/>
                    <w:sz w:val="14"/>
                    <w:szCs w:val="22"/>
                    <w:lang w:val="en-GB" w:eastAsia="it-IT"/>
                  </w:rPr>
                  <w:t>.</w:t>
                </w:r>
                <w:r w:rsidRPr="003B5366">
                  <w:rPr>
                    <w:rFonts w:eastAsia="Times New Roman" w:cs="Segoe UI"/>
                    <w:sz w:val="14"/>
                    <w:szCs w:val="22"/>
                    <w:lang w:val="en-GB" w:eastAsia="it-IT"/>
                  </w:rPr>
                  <w:t>51%</w:t>
                </w:r>
              </w:p>
            </w:tc>
            <w:tc>
              <w:tcPr>
                <w:tcW w:w="834" w:type="pct"/>
                <w:shd w:val="clear" w:color="auto" w:fill="FFFFFF" w:themeFill="background2"/>
                <w:vAlign w:val="center"/>
              </w:tcPr>
              <w:p w14:paraId="3F956EA7" w14:textId="28D037E5" w:rsidR="00D35583" w:rsidRPr="00FF727D" w:rsidRDefault="00D35583" w:rsidP="004E4A85">
                <w:pPr>
                  <w:spacing w:before="0" w:line="240" w:lineRule="auto"/>
                  <w:jc w:val="center"/>
                  <w:rPr>
                    <w:rFonts w:eastAsia="Times New Roman" w:cs="Segoe UI"/>
                    <w:sz w:val="14"/>
                    <w:szCs w:val="22"/>
                    <w:lang w:val="en-GB" w:eastAsia="it-IT"/>
                  </w:rPr>
                </w:pPr>
                <w:r w:rsidRPr="004E4084">
                  <w:rPr>
                    <w:rFonts w:eastAsia="Times New Roman" w:cs="Segoe UI"/>
                    <w:sz w:val="14"/>
                    <w:szCs w:val="22"/>
                    <w:lang w:val="en-GB" w:eastAsia="it-IT"/>
                  </w:rPr>
                  <w:t>5</w:t>
                </w:r>
                <w:r w:rsidR="00E36720">
                  <w:rPr>
                    <w:rFonts w:eastAsia="Times New Roman" w:cs="Segoe UI"/>
                    <w:sz w:val="14"/>
                    <w:szCs w:val="22"/>
                    <w:lang w:val="en-GB" w:eastAsia="it-IT"/>
                  </w:rPr>
                  <w:t>.</w:t>
                </w:r>
                <w:r w:rsidRPr="004E4084">
                  <w:rPr>
                    <w:rFonts w:eastAsia="Times New Roman" w:cs="Segoe UI"/>
                    <w:sz w:val="14"/>
                    <w:szCs w:val="22"/>
                    <w:lang w:val="en-GB" w:eastAsia="it-IT"/>
                  </w:rPr>
                  <w:t>12%</w:t>
                </w:r>
              </w:p>
            </w:tc>
          </w:tr>
          <w:tr w:rsidR="00D35583" w:rsidRPr="003A089A" w14:paraId="43A1B618" w14:textId="77777777" w:rsidTr="00A875C2">
            <w:trPr>
              <w:trHeight w:val="283"/>
            </w:trPr>
            <w:tc>
              <w:tcPr>
                <w:tcW w:w="833" w:type="pct"/>
                <w:shd w:val="clear" w:color="auto" w:fill="FFFFFF" w:themeFill="background2"/>
                <w:tcMar>
                  <w:top w:w="60" w:type="dxa"/>
                  <w:left w:w="114" w:type="dxa"/>
                  <w:bottom w:w="60" w:type="dxa"/>
                  <w:right w:w="114" w:type="dxa"/>
                </w:tcMar>
                <w:vAlign w:val="center"/>
              </w:tcPr>
              <w:p w14:paraId="3561EA42" w14:textId="77777777" w:rsidR="00D35583" w:rsidRPr="00FF727D" w:rsidRDefault="00D35583" w:rsidP="004E4A85">
                <w:pPr>
                  <w:spacing w:before="0" w:line="240" w:lineRule="auto"/>
                  <w:jc w:val="left"/>
                  <w:rPr>
                    <w:rFonts w:eastAsia="Times New Roman" w:cs="Segoe UI"/>
                    <w:b/>
                    <w:bCs/>
                    <w:sz w:val="14"/>
                    <w:szCs w:val="22"/>
                    <w:lang w:val="en-GB" w:eastAsia="it-IT"/>
                  </w:rPr>
                </w:pPr>
                <w:r w:rsidRPr="00FF727D">
                  <w:rPr>
                    <w:rFonts w:eastAsia="Times New Roman" w:cs="Segoe UI"/>
                    <w:b/>
                    <w:bCs/>
                    <w:sz w:val="14"/>
                    <w:szCs w:val="22"/>
                    <w:lang w:val="en-GB" w:eastAsia="it-IT"/>
                  </w:rPr>
                  <w:t>31 December 2018</w:t>
                </w:r>
              </w:p>
            </w:tc>
            <w:tc>
              <w:tcPr>
                <w:tcW w:w="833" w:type="pct"/>
                <w:shd w:val="clear" w:color="auto" w:fill="FFFFFF" w:themeFill="background2"/>
                <w:tcMar>
                  <w:top w:w="60" w:type="dxa"/>
                  <w:left w:w="114" w:type="dxa"/>
                  <w:bottom w:w="60" w:type="dxa"/>
                  <w:right w:w="114" w:type="dxa"/>
                </w:tcMar>
                <w:vAlign w:val="center"/>
              </w:tcPr>
              <w:p w14:paraId="0864C810" w14:textId="46C3086F" w:rsidR="00D35583" w:rsidRPr="00FF727D" w:rsidRDefault="00D35583" w:rsidP="004E4A85">
                <w:pPr>
                  <w:spacing w:before="0" w:line="240" w:lineRule="auto"/>
                  <w:jc w:val="center"/>
                  <w:rPr>
                    <w:rFonts w:eastAsia="Times New Roman" w:cs="Segoe UI"/>
                    <w:sz w:val="14"/>
                    <w:szCs w:val="22"/>
                    <w:lang w:val="en-GB" w:eastAsia="it-IT"/>
                  </w:rPr>
                </w:pPr>
                <w:r w:rsidRPr="00E6657C">
                  <w:rPr>
                    <w:rFonts w:eastAsia="Times New Roman" w:cs="Segoe UI"/>
                    <w:sz w:val="14"/>
                    <w:szCs w:val="22"/>
                    <w:lang w:val="en-GB" w:eastAsia="it-IT"/>
                  </w:rPr>
                  <w:t>1</w:t>
                </w:r>
                <w:r w:rsidR="00E36720">
                  <w:rPr>
                    <w:rFonts w:eastAsia="Times New Roman" w:cs="Segoe UI"/>
                    <w:sz w:val="14"/>
                    <w:szCs w:val="22"/>
                    <w:lang w:val="en-GB" w:eastAsia="it-IT"/>
                  </w:rPr>
                  <w:t>.</w:t>
                </w:r>
                <w:r w:rsidRPr="00E6657C">
                  <w:rPr>
                    <w:rFonts w:eastAsia="Times New Roman" w:cs="Segoe UI"/>
                    <w:sz w:val="14"/>
                    <w:szCs w:val="22"/>
                    <w:lang w:val="en-GB" w:eastAsia="it-IT"/>
                  </w:rPr>
                  <w:t>36%</w:t>
                </w:r>
              </w:p>
            </w:tc>
            <w:tc>
              <w:tcPr>
                <w:tcW w:w="834" w:type="pct"/>
                <w:shd w:val="clear" w:color="auto" w:fill="FFFFFF" w:themeFill="background2"/>
                <w:tcMar>
                  <w:top w:w="60" w:type="dxa"/>
                  <w:left w:w="114" w:type="dxa"/>
                  <w:bottom w:w="60" w:type="dxa"/>
                  <w:right w:w="114" w:type="dxa"/>
                </w:tcMar>
                <w:vAlign w:val="center"/>
              </w:tcPr>
              <w:p w14:paraId="1D5BB860" w14:textId="5A0C477D" w:rsidR="00D35583" w:rsidRPr="00FF727D" w:rsidRDefault="00D35583" w:rsidP="004E4A85">
                <w:pPr>
                  <w:spacing w:before="0" w:line="240" w:lineRule="auto"/>
                  <w:jc w:val="center"/>
                  <w:rPr>
                    <w:rFonts w:eastAsia="Times New Roman" w:cs="Segoe UI"/>
                    <w:sz w:val="14"/>
                    <w:szCs w:val="22"/>
                    <w:lang w:val="en-GB" w:eastAsia="it-IT"/>
                  </w:rPr>
                </w:pPr>
                <w:r w:rsidRPr="00E6657C">
                  <w:rPr>
                    <w:rFonts w:eastAsia="Times New Roman" w:cs="Segoe UI"/>
                    <w:sz w:val="14"/>
                    <w:szCs w:val="22"/>
                    <w:lang w:val="en-GB" w:eastAsia="it-IT"/>
                  </w:rPr>
                  <w:t>2</w:t>
                </w:r>
                <w:r w:rsidR="00E36720">
                  <w:rPr>
                    <w:rFonts w:eastAsia="Times New Roman" w:cs="Segoe UI"/>
                    <w:sz w:val="14"/>
                    <w:szCs w:val="22"/>
                    <w:lang w:val="en-GB" w:eastAsia="it-IT"/>
                  </w:rPr>
                  <w:t>.</w:t>
                </w:r>
                <w:r w:rsidRPr="00E6657C">
                  <w:rPr>
                    <w:rFonts w:eastAsia="Times New Roman" w:cs="Segoe UI"/>
                    <w:sz w:val="14"/>
                    <w:szCs w:val="22"/>
                    <w:lang w:val="en-GB" w:eastAsia="it-IT"/>
                  </w:rPr>
                  <w:t>33%</w:t>
                </w:r>
              </w:p>
            </w:tc>
            <w:tc>
              <w:tcPr>
                <w:tcW w:w="833" w:type="pct"/>
                <w:shd w:val="clear" w:color="auto" w:fill="FFFFFF" w:themeFill="background2"/>
                <w:vAlign w:val="center"/>
              </w:tcPr>
              <w:p w14:paraId="62BCF4F1" w14:textId="6393DF38" w:rsidR="00D35583" w:rsidRPr="00FF727D" w:rsidRDefault="00D35583" w:rsidP="004E4A85">
                <w:pPr>
                  <w:spacing w:before="0" w:line="240" w:lineRule="auto"/>
                  <w:jc w:val="center"/>
                  <w:rPr>
                    <w:rFonts w:eastAsia="Times New Roman" w:cs="Segoe UI"/>
                    <w:sz w:val="14"/>
                    <w:szCs w:val="22"/>
                    <w:lang w:val="en-GB" w:eastAsia="it-IT"/>
                  </w:rPr>
                </w:pPr>
                <w:r w:rsidRPr="00E6657C">
                  <w:rPr>
                    <w:rFonts w:eastAsia="Times New Roman" w:cs="Segoe UI"/>
                    <w:sz w:val="14"/>
                    <w:szCs w:val="22"/>
                    <w:lang w:val="en-GB" w:eastAsia="it-IT"/>
                  </w:rPr>
                  <w:t>3</w:t>
                </w:r>
                <w:r w:rsidR="00E36720">
                  <w:rPr>
                    <w:rFonts w:eastAsia="Times New Roman" w:cs="Segoe UI"/>
                    <w:sz w:val="14"/>
                    <w:szCs w:val="22"/>
                    <w:lang w:val="en-GB" w:eastAsia="it-IT"/>
                  </w:rPr>
                  <w:t>.</w:t>
                </w:r>
                <w:r w:rsidRPr="00E6657C">
                  <w:rPr>
                    <w:rFonts w:eastAsia="Times New Roman" w:cs="Segoe UI"/>
                    <w:sz w:val="14"/>
                    <w:szCs w:val="22"/>
                    <w:lang w:val="en-GB" w:eastAsia="it-IT"/>
                  </w:rPr>
                  <w:t>08%</w:t>
                </w:r>
              </w:p>
            </w:tc>
            <w:tc>
              <w:tcPr>
                <w:tcW w:w="833" w:type="pct"/>
                <w:shd w:val="clear" w:color="auto" w:fill="FFFFFF" w:themeFill="background2"/>
                <w:vAlign w:val="center"/>
              </w:tcPr>
              <w:p w14:paraId="060DB8FE" w14:textId="5A179C0E" w:rsidR="00D35583" w:rsidRPr="00FF727D" w:rsidRDefault="00D35583" w:rsidP="004E4A85">
                <w:pPr>
                  <w:spacing w:before="0" w:line="240" w:lineRule="auto"/>
                  <w:jc w:val="center"/>
                  <w:rPr>
                    <w:rFonts w:eastAsia="Times New Roman" w:cs="Segoe UI"/>
                    <w:sz w:val="14"/>
                    <w:szCs w:val="22"/>
                    <w:lang w:val="en-GB" w:eastAsia="it-IT"/>
                  </w:rPr>
                </w:pPr>
                <w:r w:rsidRPr="003B5366">
                  <w:rPr>
                    <w:rFonts w:eastAsia="Times New Roman" w:cs="Segoe UI"/>
                    <w:sz w:val="14"/>
                    <w:szCs w:val="22"/>
                    <w:lang w:val="en-GB" w:eastAsia="it-IT"/>
                  </w:rPr>
                  <w:t>3</w:t>
                </w:r>
                <w:r w:rsidR="00E36720">
                  <w:rPr>
                    <w:rFonts w:eastAsia="Times New Roman" w:cs="Segoe UI"/>
                    <w:sz w:val="14"/>
                    <w:szCs w:val="22"/>
                    <w:lang w:val="en-GB" w:eastAsia="it-IT"/>
                  </w:rPr>
                  <w:t>.</w:t>
                </w:r>
                <w:r w:rsidRPr="003B5366">
                  <w:rPr>
                    <w:rFonts w:eastAsia="Times New Roman" w:cs="Segoe UI"/>
                    <w:sz w:val="14"/>
                    <w:szCs w:val="22"/>
                    <w:lang w:val="en-GB" w:eastAsia="it-IT"/>
                  </w:rPr>
                  <w:t>69%</w:t>
                </w:r>
              </w:p>
            </w:tc>
            <w:tc>
              <w:tcPr>
                <w:tcW w:w="834" w:type="pct"/>
                <w:shd w:val="clear" w:color="auto" w:fill="FFFFFF" w:themeFill="background2"/>
                <w:vAlign w:val="center"/>
              </w:tcPr>
              <w:p w14:paraId="577E89EA" w14:textId="3A8CAA3D" w:rsidR="00D35583" w:rsidRPr="00FF727D" w:rsidRDefault="00D35583" w:rsidP="004E4A85">
                <w:pPr>
                  <w:spacing w:before="0" w:line="240" w:lineRule="auto"/>
                  <w:jc w:val="center"/>
                  <w:rPr>
                    <w:rFonts w:eastAsia="Times New Roman" w:cs="Segoe UI"/>
                    <w:sz w:val="14"/>
                    <w:szCs w:val="22"/>
                    <w:lang w:val="en-GB" w:eastAsia="it-IT"/>
                  </w:rPr>
                </w:pPr>
                <w:r w:rsidRPr="004E4084">
                  <w:rPr>
                    <w:rFonts w:eastAsia="Times New Roman" w:cs="Segoe UI"/>
                    <w:sz w:val="14"/>
                    <w:szCs w:val="22"/>
                    <w:lang w:val="en-GB" w:eastAsia="it-IT"/>
                  </w:rPr>
                  <w:t>4</w:t>
                </w:r>
                <w:r w:rsidR="00E36720">
                  <w:rPr>
                    <w:rFonts w:eastAsia="Times New Roman" w:cs="Segoe UI"/>
                    <w:sz w:val="14"/>
                    <w:szCs w:val="22"/>
                    <w:lang w:val="en-GB" w:eastAsia="it-IT"/>
                  </w:rPr>
                  <w:t>.</w:t>
                </w:r>
                <w:r w:rsidRPr="004E4084">
                  <w:rPr>
                    <w:rFonts w:eastAsia="Times New Roman" w:cs="Segoe UI"/>
                    <w:sz w:val="14"/>
                    <w:szCs w:val="22"/>
                    <w:lang w:val="en-GB" w:eastAsia="it-IT"/>
                  </w:rPr>
                  <w:t>57%</w:t>
                </w:r>
              </w:p>
            </w:tc>
          </w:tr>
          <w:tr w:rsidR="003B5366" w:rsidRPr="003A089A" w14:paraId="3847ABEF" w14:textId="77777777" w:rsidTr="00A875C2">
            <w:trPr>
              <w:trHeight w:val="283"/>
            </w:trPr>
            <w:tc>
              <w:tcPr>
                <w:tcW w:w="833" w:type="pct"/>
                <w:shd w:val="clear" w:color="auto" w:fill="FFFFFF" w:themeFill="background2"/>
                <w:tcMar>
                  <w:top w:w="60" w:type="dxa"/>
                  <w:left w:w="114" w:type="dxa"/>
                  <w:bottom w:w="60" w:type="dxa"/>
                  <w:right w:w="114" w:type="dxa"/>
                </w:tcMar>
                <w:vAlign w:val="center"/>
              </w:tcPr>
              <w:p w14:paraId="2DD37CC7" w14:textId="77777777" w:rsidR="003B5366" w:rsidRPr="00FF727D" w:rsidRDefault="003B5366" w:rsidP="004E4A85">
                <w:pPr>
                  <w:spacing w:before="0" w:line="240" w:lineRule="auto"/>
                  <w:jc w:val="left"/>
                  <w:rPr>
                    <w:rFonts w:eastAsia="Times New Roman" w:cs="Segoe UI"/>
                    <w:b/>
                    <w:bCs/>
                    <w:sz w:val="14"/>
                    <w:szCs w:val="22"/>
                    <w:lang w:val="en-GB" w:eastAsia="it-IT"/>
                  </w:rPr>
                </w:pPr>
                <w:r w:rsidRPr="00FF727D">
                  <w:rPr>
                    <w:rFonts w:eastAsia="Times New Roman" w:cs="Segoe UI"/>
                    <w:b/>
                    <w:bCs/>
                    <w:sz w:val="14"/>
                    <w:szCs w:val="22"/>
                    <w:lang w:val="en-GB" w:eastAsia="it-IT"/>
                  </w:rPr>
                  <w:t>31 December 2019</w:t>
                </w:r>
              </w:p>
            </w:tc>
            <w:tc>
              <w:tcPr>
                <w:tcW w:w="833" w:type="pct"/>
                <w:shd w:val="clear" w:color="auto" w:fill="FFFFFF" w:themeFill="background2"/>
                <w:tcMar>
                  <w:top w:w="60" w:type="dxa"/>
                  <w:left w:w="114" w:type="dxa"/>
                  <w:bottom w:w="60" w:type="dxa"/>
                  <w:right w:w="114" w:type="dxa"/>
                </w:tcMar>
                <w:vAlign w:val="center"/>
              </w:tcPr>
              <w:p w14:paraId="2566B1C4" w14:textId="5CCE7BE3" w:rsidR="003B5366" w:rsidRPr="00FF727D" w:rsidRDefault="003B5366" w:rsidP="004E4A85">
                <w:pPr>
                  <w:spacing w:before="0" w:line="240" w:lineRule="auto"/>
                  <w:jc w:val="center"/>
                  <w:rPr>
                    <w:rFonts w:eastAsia="Times New Roman" w:cs="Segoe UI"/>
                    <w:sz w:val="14"/>
                    <w:szCs w:val="22"/>
                    <w:lang w:val="en-GB" w:eastAsia="it-IT"/>
                  </w:rPr>
                </w:pPr>
                <w:r w:rsidRPr="00E6657C">
                  <w:rPr>
                    <w:rFonts w:eastAsia="Times New Roman" w:cs="Segoe UI"/>
                    <w:sz w:val="14"/>
                    <w:szCs w:val="22"/>
                    <w:lang w:val="en-GB" w:eastAsia="it-IT"/>
                  </w:rPr>
                  <w:t>0</w:t>
                </w:r>
                <w:r w:rsidR="00E36720">
                  <w:rPr>
                    <w:rFonts w:eastAsia="Times New Roman" w:cs="Segoe UI"/>
                    <w:sz w:val="14"/>
                    <w:szCs w:val="22"/>
                    <w:lang w:val="en-GB" w:eastAsia="it-IT"/>
                  </w:rPr>
                  <w:t>.</w:t>
                </w:r>
                <w:r w:rsidRPr="00E6657C">
                  <w:rPr>
                    <w:rFonts w:eastAsia="Times New Roman" w:cs="Segoe UI"/>
                    <w:sz w:val="14"/>
                    <w:szCs w:val="22"/>
                    <w:lang w:val="en-GB" w:eastAsia="it-IT"/>
                  </w:rPr>
                  <w:t>88%</w:t>
                </w:r>
              </w:p>
            </w:tc>
            <w:tc>
              <w:tcPr>
                <w:tcW w:w="834" w:type="pct"/>
                <w:shd w:val="clear" w:color="auto" w:fill="FFFFFF" w:themeFill="background2"/>
                <w:tcMar>
                  <w:top w:w="60" w:type="dxa"/>
                  <w:left w:w="114" w:type="dxa"/>
                  <w:bottom w:w="60" w:type="dxa"/>
                  <w:right w:w="114" w:type="dxa"/>
                </w:tcMar>
                <w:vAlign w:val="center"/>
              </w:tcPr>
              <w:p w14:paraId="6FBE6D03" w14:textId="06BB3B96" w:rsidR="003B5366" w:rsidRPr="00FF727D" w:rsidRDefault="003B5366" w:rsidP="004E4A85">
                <w:pPr>
                  <w:spacing w:before="0" w:line="240" w:lineRule="auto"/>
                  <w:jc w:val="center"/>
                  <w:rPr>
                    <w:rFonts w:eastAsia="Times New Roman" w:cs="Segoe UI"/>
                    <w:sz w:val="14"/>
                    <w:szCs w:val="22"/>
                    <w:lang w:val="en-GB" w:eastAsia="it-IT"/>
                  </w:rPr>
                </w:pPr>
                <w:r w:rsidRPr="00E6657C">
                  <w:rPr>
                    <w:rFonts w:eastAsia="Times New Roman" w:cs="Segoe UI"/>
                    <w:sz w:val="14"/>
                    <w:szCs w:val="22"/>
                    <w:lang w:val="en-GB" w:eastAsia="it-IT"/>
                  </w:rPr>
                  <w:t>1</w:t>
                </w:r>
                <w:r w:rsidR="00E36720">
                  <w:rPr>
                    <w:rFonts w:eastAsia="Times New Roman" w:cs="Segoe UI"/>
                    <w:sz w:val="14"/>
                    <w:szCs w:val="22"/>
                    <w:lang w:val="en-GB" w:eastAsia="it-IT"/>
                  </w:rPr>
                  <w:t>.</w:t>
                </w:r>
                <w:r w:rsidRPr="00E6657C">
                  <w:rPr>
                    <w:rFonts w:eastAsia="Times New Roman" w:cs="Segoe UI"/>
                    <w:sz w:val="14"/>
                    <w:szCs w:val="22"/>
                    <w:lang w:val="en-GB" w:eastAsia="it-IT"/>
                  </w:rPr>
                  <w:t>40%</w:t>
                </w:r>
              </w:p>
            </w:tc>
            <w:tc>
              <w:tcPr>
                <w:tcW w:w="833" w:type="pct"/>
                <w:shd w:val="clear" w:color="auto" w:fill="FFFFFF" w:themeFill="background2"/>
                <w:vAlign w:val="center"/>
              </w:tcPr>
              <w:p w14:paraId="776910DC" w14:textId="3790EF44" w:rsidR="003B5366" w:rsidRPr="00FF727D" w:rsidRDefault="003B5366" w:rsidP="004E4A85">
                <w:pPr>
                  <w:spacing w:before="0" w:line="240" w:lineRule="auto"/>
                  <w:jc w:val="center"/>
                  <w:rPr>
                    <w:rFonts w:eastAsia="Times New Roman" w:cs="Segoe UI"/>
                    <w:sz w:val="14"/>
                    <w:szCs w:val="22"/>
                    <w:lang w:val="en-GB" w:eastAsia="it-IT"/>
                  </w:rPr>
                </w:pPr>
                <w:r w:rsidRPr="00E6657C">
                  <w:rPr>
                    <w:rFonts w:eastAsia="Times New Roman" w:cs="Segoe UI"/>
                    <w:sz w:val="14"/>
                    <w:szCs w:val="22"/>
                    <w:lang w:val="en-GB" w:eastAsia="it-IT"/>
                  </w:rPr>
                  <w:t>1</w:t>
                </w:r>
                <w:r w:rsidR="00E36720">
                  <w:rPr>
                    <w:rFonts w:eastAsia="Times New Roman" w:cs="Segoe UI"/>
                    <w:sz w:val="14"/>
                    <w:szCs w:val="22"/>
                    <w:lang w:val="en-GB" w:eastAsia="it-IT"/>
                  </w:rPr>
                  <w:t>.</w:t>
                </w:r>
                <w:r w:rsidRPr="00E6657C">
                  <w:rPr>
                    <w:rFonts w:eastAsia="Times New Roman" w:cs="Segoe UI"/>
                    <w:sz w:val="14"/>
                    <w:szCs w:val="22"/>
                    <w:lang w:val="en-GB" w:eastAsia="it-IT"/>
                  </w:rPr>
                  <w:t>88%</w:t>
                </w:r>
              </w:p>
            </w:tc>
            <w:tc>
              <w:tcPr>
                <w:tcW w:w="833" w:type="pct"/>
                <w:shd w:val="clear" w:color="auto" w:fill="FFFFFF" w:themeFill="background2"/>
                <w:vAlign w:val="center"/>
              </w:tcPr>
              <w:p w14:paraId="14B8C308" w14:textId="517CE0AF" w:rsidR="003B5366" w:rsidRPr="00FF727D" w:rsidRDefault="003B5366" w:rsidP="004E4A85">
                <w:pPr>
                  <w:spacing w:before="0" w:line="240" w:lineRule="auto"/>
                  <w:jc w:val="center"/>
                  <w:rPr>
                    <w:rFonts w:eastAsia="Times New Roman" w:cs="Segoe UI"/>
                    <w:sz w:val="14"/>
                    <w:szCs w:val="22"/>
                    <w:lang w:val="en-GB" w:eastAsia="it-IT"/>
                  </w:rPr>
                </w:pPr>
                <w:r w:rsidRPr="003B5366">
                  <w:rPr>
                    <w:rFonts w:eastAsia="Times New Roman" w:cs="Segoe UI"/>
                    <w:sz w:val="14"/>
                    <w:szCs w:val="22"/>
                    <w:lang w:val="en-GB" w:eastAsia="it-IT"/>
                  </w:rPr>
                  <w:t>2</w:t>
                </w:r>
                <w:r w:rsidR="00E36720">
                  <w:rPr>
                    <w:rFonts w:eastAsia="Times New Roman" w:cs="Segoe UI"/>
                    <w:sz w:val="14"/>
                    <w:szCs w:val="22"/>
                    <w:lang w:val="en-GB" w:eastAsia="it-IT"/>
                  </w:rPr>
                  <w:t>.</w:t>
                </w:r>
                <w:r w:rsidRPr="003B5366">
                  <w:rPr>
                    <w:rFonts w:eastAsia="Times New Roman" w:cs="Segoe UI"/>
                    <w:sz w:val="14"/>
                    <w:szCs w:val="22"/>
                    <w:lang w:val="en-GB" w:eastAsia="it-IT"/>
                  </w:rPr>
                  <w:t>72%</w:t>
                </w:r>
              </w:p>
            </w:tc>
            <w:tc>
              <w:tcPr>
                <w:tcW w:w="834" w:type="pct"/>
                <w:shd w:val="clear" w:color="auto" w:fill="FFFFFF" w:themeFill="background2"/>
                <w:vAlign w:val="center"/>
              </w:tcPr>
              <w:p w14:paraId="0F1ECE2B" w14:textId="23ECA92C" w:rsidR="003B5366" w:rsidRPr="00FF727D" w:rsidRDefault="004E4084" w:rsidP="004E4A85">
                <w:pPr>
                  <w:spacing w:before="0" w:line="240" w:lineRule="auto"/>
                  <w:jc w:val="center"/>
                  <w:rPr>
                    <w:rFonts w:eastAsia="Times New Roman" w:cs="Segoe UI"/>
                    <w:sz w:val="14"/>
                    <w:szCs w:val="22"/>
                    <w:lang w:val="en-GB" w:eastAsia="it-IT"/>
                  </w:rPr>
                </w:pPr>
                <w:r>
                  <w:rPr>
                    <w:rFonts w:eastAsia="Times New Roman" w:cs="Segoe UI"/>
                    <w:sz w:val="14"/>
                    <w:szCs w:val="22"/>
                    <w:lang w:val="en-GB" w:eastAsia="it-IT"/>
                  </w:rPr>
                  <w:t>-</w:t>
                </w:r>
              </w:p>
            </w:tc>
          </w:tr>
          <w:tr w:rsidR="003B5366" w:rsidRPr="003A089A" w14:paraId="11565910" w14:textId="77777777" w:rsidTr="00A875C2">
            <w:trPr>
              <w:trHeight w:val="283"/>
            </w:trPr>
            <w:tc>
              <w:tcPr>
                <w:tcW w:w="833" w:type="pct"/>
                <w:shd w:val="clear" w:color="auto" w:fill="FFFFFF" w:themeFill="background2"/>
                <w:tcMar>
                  <w:top w:w="60" w:type="dxa"/>
                  <w:left w:w="114" w:type="dxa"/>
                  <w:bottom w:w="60" w:type="dxa"/>
                  <w:right w:w="114" w:type="dxa"/>
                </w:tcMar>
                <w:vAlign w:val="center"/>
              </w:tcPr>
              <w:p w14:paraId="309BCC5D" w14:textId="77777777" w:rsidR="003B5366" w:rsidRPr="00FF727D" w:rsidRDefault="003B5366" w:rsidP="004E4A85">
                <w:pPr>
                  <w:spacing w:before="0" w:line="240" w:lineRule="auto"/>
                  <w:jc w:val="left"/>
                  <w:rPr>
                    <w:rFonts w:eastAsia="Times New Roman" w:cs="Segoe UI"/>
                    <w:b/>
                    <w:bCs/>
                    <w:sz w:val="14"/>
                    <w:szCs w:val="22"/>
                    <w:lang w:val="en-GB" w:eastAsia="it-IT"/>
                  </w:rPr>
                </w:pPr>
                <w:r w:rsidRPr="00FF727D">
                  <w:rPr>
                    <w:rFonts w:eastAsia="Times New Roman" w:cs="Segoe UI"/>
                    <w:b/>
                    <w:bCs/>
                    <w:sz w:val="14"/>
                    <w:szCs w:val="22"/>
                    <w:lang w:val="en-GB" w:eastAsia="it-IT"/>
                  </w:rPr>
                  <w:t>31 December 2020</w:t>
                </w:r>
              </w:p>
            </w:tc>
            <w:tc>
              <w:tcPr>
                <w:tcW w:w="833" w:type="pct"/>
                <w:shd w:val="clear" w:color="auto" w:fill="FFFFFF" w:themeFill="background2"/>
                <w:tcMar>
                  <w:top w:w="60" w:type="dxa"/>
                  <w:left w:w="114" w:type="dxa"/>
                  <w:bottom w:w="60" w:type="dxa"/>
                  <w:right w:w="114" w:type="dxa"/>
                </w:tcMar>
                <w:vAlign w:val="center"/>
              </w:tcPr>
              <w:p w14:paraId="63FBCBC6" w14:textId="114D3E07" w:rsidR="003B5366" w:rsidRPr="00FF727D" w:rsidRDefault="003B5366" w:rsidP="004E4A85">
                <w:pPr>
                  <w:spacing w:before="0" w:line="240" w:lineRule="auto"/>
                  <w:jc w:val="center"/>
                  <w:rPr>
                    <w:rFonts w:eastAsia="Times New Roman" w:cs="Segoe UI"/>
                    <w:sz w:val="14"/>
                    <w:szCs w:val="22"/>
                    <w:lang w:val="en-GB" w:eastAsia="it-IT"/>
                  </w:rPr>
                </w:pPr>
                <w:r w:rsidRPr="00E6657C">
                  <w:rPr>
                    <w:rFonts w:eastAsia="Times New Roman" w:cs="Segoe UI"/>
                    <w:sz w:val="14"/>
                    <w:szCs w:val="22"/>
                    <w:lang w:val="en-GB" w:eastAsia="it-IT"/>
                  </w:rPr>
                  <w:t>0</w:t>
                </w:r>
                <w:r w:rsidR="00E36720">
                  <w:rPr>
                    <w:rFonts w:eastAsia="Times New Roman" w:cs="Segoe UI"/>
                    <w:sz w:val="14"/>
                    <w:szCs w:val="22"/>
                    <w:lang w:val="en-GB" w:eastAsia="it-IT"/>
                  </w:rPr>
                  <w:t>.</w:t>
                </w:r>
                <w:r w:rsidRPr="00E6657C">
                  <w:rPr>
                    <w:rFonts w:eastAsia="Times New Roman" w:cs="Segoe UI"/>
                    <w:sz w:val="14"/>
                    <w:szCs w:val="22"/>
                    <w:lang w:val="en-GB" w:eastAsia="it-IT"/>
                  </w:rPr>
                  <w:t>54%</w:t>
                </w:r>
              </w:p>
            </w:tc>
            <w:tc>
              <w:tcPr>
                <w:tcW w:w="834" w:type="pct"/>
                <w:shd w:val="clear" w:color="auto" w:fill="FFFFFF" w:themeFill="background2"/>
                <w:tcMar>
                  <w:top w:w="60" w:type="dxa"/>
                  <w:left w:w="114" w:type="dxa"/>
                  <w:bottom w:w="60" w:type="dxa"/>
                  <w:right w:w="114" w:type="dxa"/>
                </w:tcMar>
                <w:vAlign w:val="center"/>
              </w:tcPr>
              <w:p w14:paraId="4DC5496A" w14:textId="59FD6835" w:rsidR="003B5366" w:rsidRPr="00FF727D" w:rsidRDefault="003B5366" w:rsidP="004E4A85">
                <w:pPr>
                  <w:spacing w:before="0" w:line="240" w:lineRule="auto"/>
                  <w:jc w:val="center"/>
                  <w:rPr>
                    <w:rFonts w:eastAsia="Times New Roman" w:cs="Segoe UI"/>
                    <w:sz w:val="14"/>
                    <w:szCs w:val="22"/>
                    <w:lang w:val="en-GB" w:eastAsia="it-IT"/>
                  </w:rPr>
                </w:pPr>
                <w:r w:rsidRPr="00E6657C">
                  <w:rPr>
                    <w:rFonts w:eastAsia="Times New Roman" w:cs="Segoe UI"/>
                    <w:sz w:val="14"/>
                    <w:szCs w:val="22"/>
                    <w:lang w:val="en-GB" w:eastAsia="it-IT"/>
                  </w:rPr>
                  <w:t>0</w:t>
                </w:r>
                <w:r w:rsidR="00E36720">
                  <w:rPr>
                    <w:rFonts w:eastAsia="Times New Roman" w:cs="Segoe UI"/>
                    <w:sz w:val="14"/>
                    <w:szCs w:val="22"/>
                    <w:lang w:val="en-GB" w:eastAsia="it-IT"/>
                  </w:rPr>
                  <w:t>.</w:t>
                </w:r>
                <w:r w:rsidRPr="00E6657C">
                  <w:rPr>
                    <w:rFonts w:eastAsia="Times New Roman" w:cs="Segoe UI"/>
                    <w:sz w:val="14"/>
                    <w:szCs w:val="22"/>
                    <w:lang w:val="en-GB" w:eastAsia="it-IT"/>
                  </w:rPr>
                  <w:t>92%</w:t>
                </w:r>
              </w:p>
            </w:tc>
            <w:tc>
              <w:tcPr>
                <w:tcW w:w="833" w:type="pct"/>
                <w:shd w:val="clear" w:color="auto" w:fill="FFFFFF" w:themeFill="background2"/>
                <w:vAlign w:val="center"/>
              </w:tcPr>
              <w:p w14:paraId="249E4339" w14:textId="613EE632" w:rsidR="003B5366" w:rsidRPr="00FF727D" w:rsidRDefault="003B5366" w:rsidP="004E4A85">
                <w:pPr>
                  <w:spacing w:before="0" w:line="240" w:lineRule="auto"/>
                  <w:jc w:val="center"/>
                  <w:rPr>
                    <w:rFonts w:eastAsia="Times New Roman" w:cs="Segoe UI"/>
                    <w:sz w:val="14"/>
                    <w:szCs w:val="22"/>
                    <w:lang w:val="en-GB" w:eastAsia="it-IT"/>
                  </w:rPr>
                </w:pPr>
                <w:r w:rsidRPr="00E6657C">
                  <w:rPr>
                    <w:rFonts w:eastAsia="Times New Roman" w:cs="Segoe UI"/>
                    <w:sz w:val="14"/>
                    <w:szCs w:val="22"/>
                    <w:lang w:val="en-GB" w:eastAsia="it-IT"/>
                  </w:rPr>
                  <w:t>1</w:t>
                </w:r>
                <w:r w:rsidR="00E36720">
                  <w:rPr>
                    <w:rFonts w:eastAsia="Times New Roman" w:cs="Segoe UI"/>
                    <w:sz w:val="14"/>
                    <w:szCs w:val="22"/>
                    <w:lang w:val="en-GB" w:eastAsia="it-IT"/>
                  </w:rPr>
                  <w:t>.</w:t>
                </w:r>
                <w:r w:rsidRPr="00E6657C">
                  <w:rPr>
                    <w:rFonts w:eastAsia="Times New Roman" w:cs="Segoe UI"/>
                    <w:sz w:val="14"/>
                    <w:szCs w:val="22"/>
                    <w:lang w:val="en-GB" w:eastAsia="it-IT"/>
                  </w:rPr>
                  <w:t>69%</w:t>
                </w:r>
              </w:p>
            </w:tc>
            <w:tc>
              <w:tcPr>
                <w:tcW w:w="833" w:type="pct"/>
                <w:shd w:val="clear" w:color="auto" w:fill="FFFFFF" w:themeFill="background2"/>
                <w:vAlign w:val="center"/>
              </w:tcPr>
              <w:p w14:paraId="6685A1C5" w14:textId="33D09463" w:rsidR="003B5366" w:rsidRPr="00FF727D" w:rsidRDefault="004E4084" w:rsidP="004E4A85">
                <w:pPr>
                  <w:spacing w:before="0" w:line="240" w:lineRule="auto"/>
                  <w:jc w:val="center"/>
                  <w:rPr>
                    <w:rFonts w:eastAsia="Times New Roman" w:cs="Segoe UI"/>
                    <w:sz w:val="14"/>
                    <w:szCs w:val="22"/>
                    <w:lang w:val="en-GB" w:eastAsia="it-IT"/>
                  </w:rPr>
                </w:pPr>
                <w:r>
                  <w:rPr>
                    <w:rFonts w:eastAsia="Times New Roman" w:cs="Segoe UI"/>
                    <w:sz w:val="14"/>
                    <w:szCs w:val="22"/>
                    <w:lang w:val="en-GB" w:eastAsia="it-IT"/>
                  </w:rPr>
                  <w:t>-</w:t>
                </w:r>
              </w:p>
            </w:tc>
            <w:tc>
              <w:tcPr>
                <w:tcW w:w="834" w:type="pct"/>
                <w:shd w:val="clear" w:color="auto" w:fill="FFFFFF" w:themeFill="background2"/>
                <w:vAlign w:val="center"/>
              </w:tcPr>
              <w:p w14:paraId="2F9BE805" w14:textId="63D95708" w:rsidR="003B5366" w:rsidRPr="00FF727D" w:rsidRDefault="004E4084" w:rsidP="004E4A85">
                <w:pPr>
                  <w:spacing w:before="0" w:line="240" w:lineRule="auto"/>
                  <w:jc w:val="center"/>
                  <w:rPr>
                    <w:rFonts w:eastAsia="Times New Roman" w:cs="Segoe UI"/>
                    <w:sz w:val="14"/>
                    <w:szCs w:val="22"/>
                    <w:lang w:val="en-GB" w:eastAsia="it-IT"/>
                  </w:rPr>
                </w:pPr>
                <w:r>
                  <w:rPr>
                    <w:rFonts w:eastAsia="Times New Roman" w:cs="Segoe UI"/>
                    <w:sz w:val="14"/>
                    <w:szCs w:val="22"/>
                    <w:lang w:val="en-GB" w:eastAsia="it-IT"/>
                  </w:rPr>
                  <w:t>-</w:t>
                </w:r>
              </w:p>
            </w:tc>
          </w:tr>
          <w:tr w:rsidR="003B5366" w:rsidRPr="003A089A" w14:paraId="72B9611C" w14:textId="77777777" w:rsidTr="00A875C2">
            <w:trPr>
              <w:trHeight w:val="283"/>
            </w:trPr>
            <w:tc>
              <w:tcPr>
                <w:tcW w:w="833" w:type="pct"/>
                <w:shd w:val="clear" w:color="auto" w:fill="FFFFFF" w:themeFill="background2"/>
                <w:tcMar>
                  <w:top w:w="60" w:type="dxa"/>
                  <w:left w:w="114" w:type="dxa"/>
                  <w:bottom w:w="60" w:type="dxa"/>
                  <w:right w:w="114" w:type="dxa"/>
                </w:tcMar>
                <w:vAlign w:val="center"/>
              </w:tcPr>
              <w:p w14:paraId="38A37DCD" w14:textId="77777777" w:rsidR="003B5366" w:rsidRPr="00FF727D" w:rsidRDefault="003B5366" w:rsidP="004E4A85">
                <w:pPr>
                  <w:spacing w:before="0" w:line="240" w:lineRule="auto"/>
                  <w:jc w:val="left"/>
                  <w:rPr>
                    <w:rFonts w:eastAsia="Times New Roman" w:cs="Segoe UI"/>
                    <w:b/>
                    <w:bCs/>
                    <w:sz w:val="14"/>
                    <w:szCs w:val="22"/>
                    <w:lang w:val="en-GB" w:eastAsia="it-IT"/>
                  </w:rPr>
                </w:pPr>
                <w:r w:rsidRPr="00FF727D">
                  <w:rPr>
                    <w:rFonts w:eastAsia="Times New Roman" w:cs="Segoe UI"/>
                    <w:b/>
                    <w:bCs/>
                    <w:sz w:val="14"/>
                    <w:szCs w:val="22"/>
                    <w:lang w:val="en-GB" w:eastAsia="it-IT"/>
                  </w:rPr>
                  <w:t>31 December 2021</w:t>
                </w:r>
              </w:p>
            </w:tc>
            <w:tc>
              <w:tcPr>
                <w:tcW w:w="833" w:type="pct"/>
                <w:shd w:val="clear" w:color="auto" w:fill="FFFFFF" w:themeFill="background2"/>
                <w:tcMar>
                  <w:top w:w="60" w:type="dxa"/>
                  <w:left w:w="114" w:type="dxa"/>
                  <w:bottom w:w="60" w:type="dxa"/>
                  <w:right w:w="114" w:type="dxa"/>
                </w:tcMar>
                <w:vAlign w:val="center"/>
              </w:tcPr>
              <w:p w14:paraId="731DE3C8" w14:textId="5B527ECB" w:rsidR="003B5366" w:rsidRPr="00FF727D" w:rsidRDefault="003B5366" w:rsidP="004E4A85">
                <w:pPr>
                  <w:spacing w:before="0" w:line="240" w:lineRule="auto"/>
                  <w:jc w:val="center"/>
                  <w:rPr>
                    <w:rFonts w:eastAsia="Times New Roman" w:cs="Segoe UI"/>
                    <w:sz w:val="14"/>
                    <w:szCs w:val="22"/>
                    <w:lang w:val="en-GB" w:eastAsia="it-IT"/>
                  </w:rPr>
                </w:pPr>
                <w:r w:rsidRPr="00E6657C">
                  <w:rPr>
                    <w:rFonts w:eastAsia="Times New Roman" w:cs="Segoe UI"/>
                    <w:sz w:val="14"/>
                    <w:szCs w:val="22"/>
                    <w:lang w:val="en-GB" w:eastAsia="it-IT"/>
                  </w:rPr>
                  <w:t>0</w:t>
                </w:r>
                <w:r w:rsidR="00E36720">
                  <w:rPr>
                    <w:rFonts w:eastAsia="Times New Roman" w:cs="Segoe UI"/>
                    <w:sz w:val="14"/>
                    <w:szCs w:val="22"/>
                    <w:lang w:val="en-GB" w:eastAsia="it-IT"/>
                  </w:rPr>
                  <w:t>.</w:t>
                </w:r>
                <w:r w:rsidRPr="00E6657C">
                  <w:rPr>
                    <w:rFonts w:eastAsia="Times New Roman" w:cs="Segoe UI"/>
                    <w:sz w:val="14"/>
                    <w:szCs w:val="22"/>
                    <w:lang w:val="en-GB" w:eastAsia="it-IT"/>
                  </w:rPr>
                  <w:t>42%</w:t>
                </w:r>
              </w:p>
            </w:tc>
            <w:tc>
              <w:tcPr>
                <w:tcW w:w="834" w:type="pct"/>
                <w:shd w:val="clear" w:color="auto" w:fill="FFFFFF" w:themeFill="background2"/>
                <w:tcMar>
                  <w:top w:w="60" w:type="dxa"/>
                  <w:left w:w="114" w:type="dxa"/>
                  <w:bottom w:w="60" w:type="dxa"/>
                  <w:right w:w="114" w:type="dxa"/>
                </w:tcMar>
                <w:vAlign w:val="center"/>
              </w:tcPr>
              <w:p w14:paraId="5CB86657" w14:textId="02BC0CFB" w:rsidR="003B5366" w:rsidRPr="00FF727D" w:rsidRDefault="003B5366" w:rsidP="004E4A85">
                <w:pPr>
                  <w:spacing w:before="0" w:line="240" w:lineRule="auto"/>
                  <w:jc w:val="center"/>
                  <w:rPr>
                    <w:rFonts w:eastAsia="Times New Roman" w:cs="Segoe UI"/>
                    <w:sz w:val="14"/>
                    <w:szCs w:val="22"/>
                    <w:lang w:val="en-GB" w:eastAsia="it-IT"/>
                  </w:rPr>
                </w:pPr>
                <w:r w:rsidRPr="00E6657C">
                  <w:rPr>
                    <w:rFonts w:eastAsia="Times New Roman" w:cs="Segoe UI"/>
                    <w:sz w:val="14"/>
                    <w:szCs w:val="22"/>
                    <w:lang w:val="en-GB" w:eastAsia="it-IT"/>
                  </w:rPr>
                  <w:t>1</w:t>
                </w:r>
                <w:r w:rsidR="00E36720">
                  <w:rPr>
                    <w:rFonts w:eastAsia="Times New Roman" w:cs="Segoe UI"/>
                    <w:sz w:val="14"/>
                    <w:szCs w:val="22"/>
                    <w:lang w:val="en-GB" w:eastAsia="it-IT"/>
                  </w:rPr>
                  <w:t>.</w:t>
                </w:r>
                <w:r w:rsidRPr="00E6657C">
                  <w:rPr>
                    <w:rFonts w:eastAsia="Times New Roman" w:cs="Segoe UI"/>
                    <w:sz w:val="14"/>
                    <w:szCs w:val="22"/>
                    <w:lang w:val="en-GB" w:eastAsia="it-IT"/>
                  </w:rPr>
                  <w:t>09%</w:t>
                </w:r>
              </w:p>
            </w:tc>
            <w:tc>
              <w:tcPr>
                <w:tcW w:w="833" w:type="pct"/>
                <w:shd w:val="clear" w:color="auto" w:fill="FFFFFF" w:themeFill="background2"/>
                <w:vAlign w:val="center"/>
              </w:tcPr>
              <w:p w14:paraId="293B0D05" w14:textId="687FCF9E" w:rsidR="003B5366" w:rsidRPr="00FF727D" w:rsidRDefault="004E4084" w:rsidP="004E4A85">
                <w:pPr>
                  <w:spacing w:before="0" w:line="240" w:lineRule="auto"/>
                  <w:jc w:val="center"/>
                  <w:rPr>
                    <w:rFonts w:eastAsia="Times New Roman" w:cs="Segoe UI"/>
                    <w:sz w:val="14"/>
                    <w:szCs w:val="22"/>
                    <w:lang w:val="en-GB" w:eastAsia="it-IT"/>
                  </w:rPr>
                </w:pPr>
                <w:r>
                  <w:rPr>
                    <w:rFonts w:eastAsia="Times New Roman" w:cs="Segoe UI"/>
                    <w:sz w:val="14"/>
                    <w:szCs w:val="22"/>
                    <w:lang w:val="en-GB" w:eastAsia="it-IT"/>
                  </w:rPr>
                  <w:t>-</w:t>
                </w:r>
              </w:p>
            </w:tc>
            <w:tc>
              <w:tcPr>
                <w:tcW w:w="833" w:type="pct"/>
                <w:shd w:val="clear" w:color="auto" w:fill="FFFFFF" w:themeFill="background2"/>
                <w:vAlign w:val="center"/>
              </w:tcPr>
              <w:p w14:paraId="596F447E" w14:textId="0A4CC628" w:rsidR="003B5366" w:rsidRPr="00FF727D" w:rsidRDefault="004E4084" w:rsidP="004E4A85">
                <w:pPr>
                  <w:spacing w:before="0" w:line="240" w:lineRule="auto"/>
                  <w:jc w:val="center"/>
                  <w:rPr>
                    <w:rFonts w:eastAsia="Times New Roman" w:cs="Segoe UI"/>
                    <w:sz w:val="14"/>
                    <w:szCs w:val="22"/>
                    <w:lang w:val="en-GB" w:eastAsia="it-IT"/>
                  </w:rPr>
                </w:pPr>
                <w:r>
                  <w:rPr>
                    <w:rFonts w:eastAsia="Times New Roman" w:cs="Segoe UI"/>
                    <w:sz w:val="14"/>
                    <w:szCs w:val="22"/>
                    <w:lang w:val="en-GB" w:eastAsia="it-IT"/>
                  </w:rPr>
                  <w:t>-</w:t>
                </w:r>
              </w:p>
            </w:tc>
            <w:tc>
              <w:tcPr>
                <w:tcW w:w="834" w:type="pct"/>
                <w:shd w:val="clear" w:color="auto" w:fill="FFFFFF" w:themeFill="background2"/>
                <w:vAlign w:val="center"/>
              </w:tcPr>
              <w:p w14:paraId="1CA38126" w14:textId="3E5A9345" w:rsidR="003B5366" w:rsidRPr="00FF727D" w:rsidRDefault="004E4084" w:rsidP="004E4A85">
                <w:pPr>
                  <w:spacing w:before="0" w:line="240" w:lineRule="auto"/>
                  <w:jc w:val="center"/>
                  <w:rPr>
                    <w:rFonts w:eastAsia="Times New Roman" w:cs="Segoe UI"/>
                    <w:sz w:val="14"/>
                    <w:szCs w:val="22"/>
                    <w:lang w:val="en-GB" w:eastAsia="it-IT"/>
                  </w:rPr>
                </w:pPr>
                <w:r>
                  <w:rPr>
                    <w:rFonts w:eastAsia="Times New Roman" w:cs="Segoe UI"/>
                    <w:sz w:val="14"/>
                    <w:szCs w:val="22"/>
                    <w:lang w:val="en-GB" w:eastAsia="it-IT"/>
                  </w:rPr>
                  <w:t>-</w:t>
                </w:r>
              </w:p>
            </w:tc>
          </w:tr>
          <w:tr w:rsidR="003B5366" w:rsidRPr="003A089A" w14:paraId="407FCAB7" w14:textId="77777777" w:rsidTr="00A875C2">
            <w:trPr>
              <w:trHeight w:val="283"/>
            </w:trPr>
            <w:tc>
              <w:tcPr>
                <w:tcW w:w="833" w:type="pct"/>
                <w:shd w:val="clear" w:color="auto" w:fill="FFFFFF" w:themeFill="background2"/>
                <w:tcMar>
                  <w:top w:w="60" w:type="dxa"/>
                  <w:left w:w="114" w:type="dxa"/>
                  <w:bottom w:w="60" w:type="dxa"/>
                  <w:right w:w="114" w:type="dxa"/>
                </w:tcMar>
                <w:vAlign w:val="center"/>
              </w:tcPr>
              <w:p w14:paraId="4CCF7538" w14:textId="77777777" w:rsidR="003B5366" w:rsidRPr="00FF727D" w:rsidRDefault="003B5366" w:rsidP="004E4A85">
                <w:pPr>
                  <w:spacing w:before="0" w:line="240" w:lineRule="auto"/>
                  <w:jc w:val="left"/>
                  <w:rPr>
                    <w:rFonts w:eastAsia="Times New Roman" w:cs="Segoe UI"/>
                    <w:b/>
                    <w:bCs/>
                    <w:sz w:val="14"/>
                    <w:szCs w:val="22"/>
                    <w:lang w:val="en-GB" w:eastAsia="it-IT"/>
                  </w:rPr>
                </w:pPr>
                <w:r w:rsidRPr="00FF727D">
                  <w:rPr>
                    <w:rFonts w:eastAsia="Times New Roman" w:cs="Segoe UI"/>
                    <w:b/>
                    <w:bCs/>
                    <w:sz w:val="14"/>
                    <w:szCs w:val="22"/>
                    <w:lang w:val="en-GB" w:eastAsia="it-IT"/>
                  </w:rPr>
                  <w:t>31 December 2022</w:t>
                </w:r>
              </w:p>
            </w:tc>
            <w:tc>
              <w:tcPr>
                <w:tcW w:w="833" w:type="pct"/>
                <w:shd w:val="clear" w:color="auto" w:fill="FFFFFF" w:themeFill="background2"/>
                <w:tcMar>
                  <w:top w:w="60" w:type="dxa"/>
                  <w:left w:w="114" w:type="dxa"/>
                  <w:bottom w:w="60" w:type="dxa"/>
                  <w:right w:w="114" w:type="dxa"/>
                </w:tcMar>
                <w:vAlign w:val="center"/>
              </w:tcPr>
              <w:p w14:paraId="4DD0BD89" w14:textId="5FE342B1" w:rsidR="003B5366" w:rsidRPr="00FF727D" w:rsidRDefault="003B5366" w:rsidP="004E4A85">
                <w:pPr>
                  <w:spacing w:before="0" w:line="240" w:lineRule="auto"/>
                  <w:jc w:val="center"/>
                  <w:rPr>
                    <w:rFonts w:eastAsia="Times New Roman" w:cs="Segoe UI"/>
                    <w:sz w:val="14"/>
                    <w:szCs w:val="22"/>
                    <w:lang w:val="en-GB" w:eastAsia="it-IT"/>
                  </w:rPr>
                </w:pPr>
                <w:r w:rsidRPr="00E6657C">
                  <w:rPr>
                    <w:rFonts w:eastAsia="Times New Roman" w:cs="Segoe UI"/>
                    <w:sz w:val="14"/>
                    <w:szCs w:val="22"/>
                    <w:lang w:val="en-GB" w:eastAsia="it-IT"/>
                  </w:rPr>
                  <w:t>0</w:t>
                </w:r>
                <w:r w:rsidR="00E36720">
                  <w:rPr>
                    <w:rFonts w:eastAsia="Times New Roman" w:cs="Segoe UI"/>
                    <w:sz w:val="14"/>
                    <w:szCs w:val="22"/>
                    <w:lang w:val="en-GB" w:eastAsia="it-IT"/>
                  </w:rPr>
                  <w:t>.</w:t>
                </w:r>
                <w:r w:rsidRPr="00E6657C">
                  <w:rPr>
                    <w:rFonts w:eastAsia="Times New Roman" w:cs="Segoe UI"/>
                    <w:sz w:val="14"/>
                    <w:szCs w:val="22"/>
                    <w:lang w:val="en-GB" w:eastAsia="it-IT"/>
                  </w:rPr>
                  <w:t>62%</w:t>
                </w:r>
              </w:p>
            </w:tc>
            <w:tc>
              <w:tcPr>
                <w:tcW w:w="834" w:type="pct"/>
                <w:shd w:val="clear" w:color="auto" w:fill="FFFFFF" w:themeFill="background2"/>
                <w:tcMar>
                  <w:top w:w="60" w:type="dxa"/>
                  <w:left w:w="114" w:type="dxa"/>
                  <w:bottom w:w="60" w:type="dxa"/>
                  <w:right w:w="114" w:type="dxa"/>
                </w:tcMar>
                <w:vAlign w:val="center"/>
              </w:tcPr>
              <w:p w14:paraId="5C040297" w14:textId="509F21A5" w:rsidR="003B5366" w:rsidRPr="00FF727D" w:rsidRDefault="004E4084" w:rsidP="004E4A85">
                <w:pPr>
                  <w:spacing w:before="0" w:line="240" w:lineRule="auto"/>
                  <w:jc w:val="center"/>
                  <w:rPr>
                    <w:rFonts w:eastAsia="Times New Roman" w:cs="Segoe UI"/>
                    <w:sz w:val="14"/>
                    <w:szCs w:val="22"/>
                    <w:lang w:val="en-GB" w:eastAsia="it-IT"/>
                  </w:rPr>
                </w:pPr>
                <w:r>
                  <w:rPr>
                    <w:rFonts w:eastAsia="Times New Roman" w:cs="Segoe UI"/>
                    <w:sz w:val="14"/>
                    <w:szCs w:val="22"/>
                    <w:lang w:val="en-GB" w:eastAsia="it-IT"/>
                  </w:rPr>
                  <w:t>-</w:t>
                </w:r>
              </w:p>
            </w:tc>
            <w:tc>
              <w:tcPr>
                <w:tcW w:w="833" w:type="pct"/>
                <w:shd w:val="clear" w:color="auto" w:fill="FFFFFF" w:themeFill="background2"/>
                <w:vAlign w:val="center"/>
              </w:tcPr>
              <w:p w14:paraId="20E4422F" w14:textId="03DA9CA0" w:rsidR="003B5366" w:rsidRPr="00FF727D" w:rsidRDefault="004E4084" w:rsidP="004E4A85">
                <w:pPr>
                  <w:spacing w:before="0" w:line="240" w:lineRule="auto"/>
                  <w:jc w:val="center"/>
                  <w:rPr>
                    <w:rFonts w:eastAsia="Times New Roman" w:cs="Segoe UI"/>
                    <w:sz w:val="14"/>
                    <w:szCs w:val="22"/>
                    <w:lang w:val="en-GB" w:eastAsia="it-IT"/>
                  </w:rPr>
                </w:pPr>
                <w:r>
                  <w:rPr>
                    <w:rFonts w:eastAsia="Times New Roman" w:cs="Segoe UI"/>
                    <w:sz w:val="14"/>
                    <w:szCs w:val="22"/>
                    <w:lang w:val="en-GB" w:eastAsia="it-IT"/>
                  </w:rPr>
                  <w:t>-</w:t>
                </w:r>
              </w:p>
            </w:tc>
            <w:tc>
              <w:tcPr>
                <w:tcW w:w="833" w:type="pct"/>
                <w:shd w:val="clear" w:color="auto" w:fill="FFFFFF" w:themeFill="background2"/>
                <w:vAlign w:val="center"/>
              </w:tcPr>
              <w:p w14:paraId="6FCBCB0E" w14:textId="74B745E4" w:rsidR="003B5366" w:rsidRPr="00FF727D" w:rsidRDefault="004E4084" w:rsidP="004E4A85">
                <w:pPr>
                  <w:spacing w:before="0" w:line="240" w:lineRule="auto"/>
                  <w:jc w:val="center"/>
                  <w:rPr>
                    <w:rFonts w:eastAsia="Times New Roman" w:cs="Segoe UI"/>
                    <w:sz w:val="14"/>
                    <w:szCs w:val="22"/>
                    <w:lang w:val="en-GB" w:eastAsia="it-IT"/>
                  </w:rPr>
                </w:pPr>
                <w:r>
                  <w:rPr>
                    <w:rFonts w:eastAsia="Times New Roman" w:cs="Segoe UI"/>
                    <w:sz w:val="14"/>
                    <w:szCs w:val="22"/>
                    <w:lang w:val="en-GB" w:eastAsia="it-IT"/>
                  </w:rPr>
                  <w:t>-</w:t>
                </w:r>
              </w:p>
            </w:tc>
            <w:tc>
              <w:tcPr>
                <w:tcW w:w="834" w:type="pct"/>
                <w:shd w:val="clear" w:color="auto" w:fill="FFFFFF" w:themeFill="background2"/>
                <w:vAlign w:val="center"/>
              </w:tcPr>
              <w:p w14:paraId="7839CAF3" w14:textId="36013CA1" w:rsidR="003B5366" w:rsidRPr="00FF727D" w:rsidRDefault="004E4084" w:rsidP="004E4A85">
                <w:pPr>
                  <w:spacing w:before="0" w:line="240" w:lineRule="auto"/>
                  <w:jc w:val="center"/>
                  <w:rPr>
                    <w:rFonts w:eastAsia="Times New Roman" w:cs="Segoe UI"/>
                    <w:sz w:val="14"/>
                    <w:szCs w:val="22"/>
                    <w:lang w:val="en-GB" w:eastAsia="it-IT"/>
                  </w:rPr>
                </w:pPr>
                <w:r>
                  <w:rPr>
                    <w:rFonts w:eastAsia="Times New Roman" w:cs="Segoe UI"/>
                    <w:sz w:val="14"/>
                    <w:szCs w:val="22"/>
                    <w:lang w:val="en-GB" w:eastAsia="it-IT"/>
                  </w:rPr>
                  <w:t>-</w:t>
                </w:r>
              </w:p>
            </w:tc>
          </w:tr>
          <w:tr w:rsidR="003B5366" w:rsidRPr="003A089A" w14:paraId="3FF3E6C2" w14:textId="77777777" w:rsidTr="00A875C2">
            <w:trPr>
              <w:trHeight w:val="283"/>
            </w:trPr>
            <w:tc>
              <w:tcPr>
                <w:tcW w:w="833" w:type="pct"/>
                <w:shd w:val="clear" w:color="auto" w:fill="FFFFFF" w:themeFill="background2"/>
                <w:tcMar>
                  <w:top w:w="60" w:type="dxa"/>
                  <w:left w:w="114" w:type="dxa"/>
                  <w:bottom w:w="60" w:type="dxa"/>
                  <w:right w:w="114" w:type="dxa"/>
                </w:tcMar>
                <w:vAlign w:val="center"/>
              </w:tcPr>
              <w:p w14:paraId="0190A387" w14:textId="77777777" w:rsidR="003B5366" w:rsidRPr="004A2C11" w:rsidRDefault="003B5366" w:rsidP="004E4A85">
                <w:pPr>
                  <w:spacing w:before="0" w:line="240" w:lineRule="auto"/>
                  <w:jc w:val="center"/>
                  <w:rPr>
                    <w:rFonts w:eastAsia="Times New Roman" w:cs="Segoe UI"/>
                    <w:b/>
                    <w:bCs/>
                    <w:sz w:val="14"/>
                    <w:szCs w:val="22"/>
                    <w:lang w:val="en-GB" w:eastAsia="it-IT"/>
                  </w:rPr>
                </w:pPr>
                <w:r w:rsidRPr="004A2C11">
                  <w:rPr>
                    <w:rFonts w:eastAsia="Times New Roman" w:cs="Segoe UI"/>
                    <w:b/>
                    <w:bCs/>
                    <w:sz w:val="14"/>
                    <w:szCs w:val="22"/>
                    <w:lang w:val="en-GB" w:eastAsia="it-IT"/>
                  </w:rPr>
                  <w:t>Average</w:t>
                </w:r>
              </w:p>
            </w:tc>
            <w:tc>
              <w:tcPr>
                <w:tcW w:w="833" w:type="pct"/>
                <w:shd w:val="clear" w:color="auto" w:fill="FFFFFF" w:themeFill="background2"/>
                <w:tcMar>
                  <w:top w:w="60" w:type="dxa"/>
                  <w:left w:w="114" w:type="dxa"/>
                  <w:bottom w:w="60" w:type="dxa"/>
                  <w:right w:w="114" w:type="dxa"/>
                </w:tcMar>
                <w:vAlign w:val="center"/>
              </w:tcPr>
              <w:p w14:paraId="24DE2BBD" w14:textId="22C2787A" w:rsidR="003B5366" w:rsidRPr="004E4084" w:rsidRDefault="003B5366" w:rsidP="004E4A85">
                <w:pPr>
                  <w:spacing w:before="0" w:line="240" w:lineRule="auto"/>
                  <w:jc w:val="center"/>
                  <w:rPr>
                    <w:rFonts w:eastAsia="Times New Roman" w:cs="Segoe UI"/>
                    <w:b/>
                    <w:bCs/>
                    <w:sz w:val="14"/>
                    <w:szCs w:val="22"/>
                    <w:lang w:val="en-GB" w:eastAsia="it-IT"/>
                  </w:rPr>
                </w:pPr>
                <w:r w:rsidRPr="004E4084">
                  <w:rPr>
                    <w:rFonts w:eastAsia="Times New Roman" w:cs="Segoe UI"/>
                    <w:b/>
                    <w:bCs/>
                    <w:sz w:val="14"/>
                    <w:szCs w:val="22"/>
                    <w:lang w:val="en-GB" w:eastAsia="it-IT"/>
                  </w:rPr>
                  <w:t>3</w:t>
                </w:r>
                <w:r w:rsidR="00E36720">
                  <w:rPr>
                    <w:rFonts w:eastAsia="Times New Roman" w:cs="Segoe UI"/>
                    <w:b/>
                    <w:bCs/>
                    <w:sz w:val="14"/>
                    <w:szCs w:val="22"/>
                    <w:lang w:val="en-GB" w:eastAsia="it-IT"/>
                  </w:rPr>
                  <w:t>.</w:t>
                </w:r>
                <w:r w:rsidRPr="004E4084">
                  <w:rPr>
                    <w:rFonts w:eastAsia="Times New Roman" w:cs="Segoe UI"/>
                    <w:b/>
                    <w:bCs/>
                    <w:sz w:val="14"/>
                    <w:szCs w:val="22"/>
                    <w:lang w:val="en-GB" w:eastAsia="it-IT"/>
                  </w:rPr>
                  <w:t>14%</w:t>
                </w:r>
              </w:p>
            </w:tc>
            <w:tc>
              <w:tcPr>
                <w:tcW w:w="834" w:type="pct"/>
                <w:shd w:val="clear" w:color="auto" w:fill="FFFFFF" w:themeFill="background2"/>
                <w:tcMar>
                  <w:top w:w="60" w:type="dxa"/>
                  <w:left w:w="114" w:type="dxa"/>
                  <w:bottom w:w="60" w:type="dxa"/>
                  <w:right w:w="114" w:type="dxa"/>
                </w:tcMar>
                <w:vAlign w:val="center"/>
              </w:tcPr>
              <w:p w14:paraId="7A40C641" w14:textId="73EE2B2B" w:rsidR="003B5366" w:rsidRPr="004E4084" w:rsidRDefault="003B5366" w:rsidP="004E4A85">
                <w:pPr>
                  <w:spacing w:before="0" w:line="240" w:lineRule="auto"/>
                  <w:jc w:val="center"/>
                  <w:rPr>
                    <w:rFonts w:eastAsia="Times New Roman" w:cs="Segoe UI"/>
                    <w:b/>
                    <w:bCs/>
                    <w:sz w:val="14"/>
                    <w:szCs w:val="22"/>
                    <w:lang w:val="en-GB" w:eastAsia="it-IT"/>
                  </w:rPr>
                </w:pPr>
                <w:r w:rsidRPr="004E4084">
                  <w:rPr>
                    <w:rFonts w:eastAsia="Times New Roman" w:cs="Segoe UI"/>
                    <w:b/>
                    <w:bCs/>
                    <w:sz w:val="14"/>
                    <w:szCs w:val="22"/>
                    <w:lang w:val="en-GB" w:eastAsia="it-IT"/>
                  </w:rPr>
                  <w:t>5</w:t>
                </w:r>
                <w:r w:rsidR="00E36720">
                  <w:rPr>
                    <w:rFonts w:eastAsia="Times New Roman" w:cs="Segoe UI"/>
                    <w:b/>
                    <w:bCs/>
                    <w:sz w:val="14"/>
                    <w:szCs w:val="22"/>
                    <w:lang w:val="en-GB" w:eastAsia="it-IT"/>
                  </w:rPr>
                  <w:t>.</w:t>
                </w:r>
                <w:r w:rsidRPr="004E4084">
                  <w:rPr>
                    <w:rFonts w:eastAsia="Times New Roman" w:cs="Segoe UI"/>
                    <w:b/>
                    <w:bCs/>
                    <w:sz w:val="14"/>
                    <w:szCs w:val="22"/>
                    <w:lang w:val="en-GB" w:eastAsia="it-IT"/>
                  </w:rPr>
                  <w:t>31%</w:t>
                </w:r>
              </w:p>
            </w:tc>
            <w:tc>
              <w:tcPr>
                <w:tcW w:w="833" w:type="pct"/>
                <w:shd w:val="clear" w:color="auto" w:fill="FFFFFF" w:themeFill="background2"/>
                <w:vAlign w:val="center"/>
              </w:tcPr>
              <w:p w14:paraId="220293BA" w14:textId="40CA8E20" w:rsidR="003B5366" w:rsidRPr="004E4084" w:rsidRDefault="003B5366" w:rsidP="004E4A85">
                <w:pPr>
                  <w:spacing w:before="0" w:line="240" w:lineRule="auto"/>
                  <w:jc w:val="center"/>
                  <w:rPr>
                    <w:rFonts w:eastAsia="Times New Roman" w:cs="Segoe UI"/>
                    <w:b/>
                    <w:bCs/>
                    <w:sz w:val="14"/>
                    <w:szCs w:val="22"/>
                    <w:lang w:val="en-GB" w:eastAsia="it-IT"/>
                  </w:rPr>
                </w:pPr>
                <w:r w:rsidRPr="004E4084">
                  <w:rPr>
                    <w:rFonts w:eastAsia="Times New Roman" w:cs="Segoe UI"/>
                    <w:b/>
                    <w:bCs/>
                    <w:sz w:val="14"/>
                    <w:szCs w:val="22"/>
                    <w:lang w:val="en-GB" w:eastAsia="it-IT"/>
                  </w:rPr>
                  <w:t>7</w:t>
                </w:r>
                <w:r w:rsidR="00E36720">
                  <w:rPr>
                    <w:rFonts w:eastAsia="Times New Roman" w:cs="Segoe UI"/>
                    <w:b/>
                    <w:bCs/>
                    <w:sz w:val="14"/>
                    <w:szCs w:val="22"/>
                    <w:lang w:val="en-GB" w:eastAsia="it-IT"/>
                  </w:rPr>
                  <w:t>.</w:t>
                </w:r>
                <w:r w:rsidRPr="004E4084">
                  <w:rPr>
                    <w:rFonts w:eastAsia="Times New Roman" w:cs="Segoe UI"/>
                    <w:b/>
                    <w:bCs/>
                    <w:sz w:val="14"/>
                    <w:szCs w:val="22"/>
                    <w:lang w:val="en-GB" w:eastAsia="it-IT"/>
                  </w:rPr>
                  <w:t>44%</w:t>
                </w:r>
              </w:p>
            </w:tc>
            <w:tc>
              <w:tcPr>
                <w:tcW w:w="833" w:type="pct"/>
                <w:shd w:val="clear" w:color="auto" w:fill="FFFFFF" w:themeFill="background2"/>
                <w:vAlign w:val="center"/>
              </w:tcPr>
              <w:p w14:paraId="57EA1C36" w14:textId="6C74A3EC" w:rsidR="003B5366" w:rsidRPr="004E4084" w:rsidRDefault="003B5366" w:rsidP="004E4A85">
                <w:pPr>
                  <w:spacing w:before="0" w:line="240" w:lineRule="auto"/>
                  <w:jc w:val="center"/>
                  <w:rPr>
                    <w:rFonts w:eastAsia="Times New Roman" w:cs="Segoe UI"/>
                    <w:b/>
                    <w:bCs/>
                    <w:sz w:val="14"/>
                    <w:szCs w:val="22"/>
                    <w:lang w:val="en-GB" w:eastAsia="it-IT"/>
                  </w:rPr>
                </w:pPr>
                <w:r w:rsidRPr="004E4084">
                  <w:rPr>
                    <w:rFonts w:eastAsia="Times New Roman" w:cs="Segoe UI"/>
                    <w:b/>
                    <w:bCs/>
                    <w:sz w:val="14"/>
                    <w:szCs w:val="22"/>
                    <w:lang w:val="en-GB" w:eastAsia="it-IT"/>
                  </w:rPr>
                  <w:t>9</w:t>
                </w:r>
                <w:r w:rsidR="00E36720">
                  <w:rPr>
                    <w:rFonts w:eastAsia="Times New Roman" w:cs="Segoe UI"/>
                    <w:b/>
                    <w:bCs/>
                    <w:sz w:val="14"/>
                    <w:szCs w:val="22"/>
                    <w:lang w:val="en-GB" w:eastAsia="it-IT"/>
                  </w:rPr>
                  <w:t>.</w:t>
                </w:r>
                <w:r w:rsidRPr="004E4084">
                  <w:rPr>
                    <w:rFonts w:eastAsia="Times New Roman" w:cs="Segoe UI"/>
                    <w:b/>
                    <w:bCs/>
                    <w:sz w:val="14"/>
                    <w:szCs w:val="22"/>
                    <w:lang w:val="en-GB" w:eastAsia="it-IT"/>
                  </w:rPr>
                  <w:t>71%</w:t>
                </w:r>
              </w:p>
            </w:tc>
            <w:tc>
              <w:tcPr>
                <w:tcW w:w="834" w:type="pct"/>
                <w:shd w:val="clear" w:color="auto" w:fill="FFFFFF" w:themeFill="background2"/>
                <w:vAlign w:val="center"/>
              </w:tcPr>
              <w:p w14:paraId="4B49350F" w14:textId="0ACEE91D" w:rsidR="003B5366" w:rsidRPr="004E4084" w:rsidRDefault="004E4084" w:rsidP="004E4A85">
                <w:pPr>
                  <w:spacing w:before="0" w:line="240" w:lineRule="auto"/>
                  <w:jc w:val="center"/>
                  <w:rPr>
                    <w:rFonts w:eastAsia="Times New Roman" w:cs="Segoe UI"/>
                    <w:b/>
                    <w:bCs/>
                    <w:sz w:val="14"/>
                    <w:szCs w:val="22"/>
                    <w:lang w:val="en-GB" w:eastAsia="it-IT"/>
                  </w:rPr>
                </w:pPr>
                <w:r w:rsidRPr="004E4084">
                  <w:rPr>
                    <w:rFonts w:eastAsia="Times New Roman" w:cs="Segoe UI"/>
                    <w:b/>
                    <w:bCs/>
                    <w:sz w:val="14"/>
                    <w:szCs w:val="22"/>
                    <w:lang w:val="en-GB" w:eastAsia="it-IT"/>
                  </w:rPr>
                  <w:t>11</w:t>
                </w:r>
                <w:r w:rsidR="00E36720">
                  <w:rPr>
                    <w:rFonts w:eastAsia="Times New Roman" w:cs="Segoe UI"/>
                    <w:b/>
                    <w:bCs/>
                    <w:sz w:val="14"/>
                    <w:szCs w:val="22"/>
                    <w:lang w:val="en-GB" w:eastAsia="it-IT"/>
                  </w:rPr>
                  <w:t>.</w:t>
                </w:r>
                <w:r w:rsidRPr="004E4084">
                  <w:rPr>
                    <w:rFonts w:eastAsia="Times New Roman" w:cs="Segoe UI"/>
                    <w:b/>
                    <w:bCs/>
                    <w:sz w:val="14"/>
                    <w:szCs w:val="22"/>
                    <w:lang w:val="en-GB" w:eastAsia="it-IT"/>
                  </w:rPr>
                  <w:t>96%</w:t>
                </w:r>
              </w:p>
            </w:tc>
          </w:tr>
        </w:tbl>
        <w:p w14:paraId="2DC2D358" w14:textId="7316FC89" w:rsidR="004101BF" w:rsidRPr="0032337D" w:rsidRDefault="004101BF" w:rsidP="004101BF">
          <w:pPr>
            <w:pStyle w:val="Didascalia"/>
            <w:rPr>
              <w:rFonts w:ascii="Segoe UI" w:hAnsi="Segoe UI" w:cs="Segoe UI"/>
              <w:i/>
              <w:sz w:val="14"/>
              <w:lang w:val="en-GB"/>
            </w:rPr>
          </w:pPr>
          <w:bookmarkStart w:id="99" w:name="_Toc130806327"/>
          <w:bookmarkStart w:id="100" w:name="_Toc166675667"/>
          <w:bookmarkStart w:id="101" w:name="_Toc167131794"/>
          <w:r w:rsidRPr="0032337D">
            <w:rPr>
              <w:rFonts w:ascii="Segoe UI" w:hAnsi="Segoe UI" w:cs="Segoe UI"/>
              <w:i/>
              <w:sz w:val="14"/>
              <w:lang w:val="en-GB"/>
            </w:rPr>
            <w:lastRenderedPageBreak/>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26</w:t>
          </w:r>
          <w:r>
            <w:rPr>
              <w:rFonts w:ascii="Segoe UI" w:hAnsi="Segoe UI" w:cs="Segoe UI"/>
              <w:i/>
              <w:sz w:val="14"/>
              <w:lang w:val="en-GB"/>
            </w:rPr>
            <w:fldChar w:fldCharType="end"/>
          </w:r>
          <w:r w:rsidRPr="0032337D">
            <w:rPr>
              <w:rFonts w:ascii="Segoe UI" w:hAnsi="Segoe UI" w:cs="Segoe UI"/>
              <w:i/>
              <w:sz w:val="14"/>
              <w:lang w:val="en-GB"/>
            </w:rPr>
            <w:t>: Cumulative default rates</w:t>
          </w:r>
          <w:r>
            <w:rPr>
              <w:rFonts w:ascii="Segoe UI" w:hAnsi="Segoe UI" w:cs="Segoe UI"/>
              <w:i/>
              <w:sz w:val="14"/>
              <w:lang w:val="en-GB"/>
            </w:rPr>
            <w:t xml:space="preserve"> (graph)</w:t>
          </w:r>
          <w:bookmarkEnd w:id="99"/>
          <w:bookmarkEnd w:id="100"/>
          <w:bookmarkEnd w:id="101"/>
        </w:p>
        <w:p w14:paraId="341748A5" w14:textId="53CE328A" w:rsidR="001602FF" w:rsidRDefault="00A67128" w:rsidP="004101BF">
          <w:pPr>
            <w:rPr>
              <w:rFonts w:cs="Segoe UI"/>
              <w:lang w:val="en-GB"/>
            </w:rPr>
          </w:pPr>
          <w:r>
            <w:rPr>
              <w:noProof/>
            </w:rPr>
            <w:drawing>
              <wp:inline distT="0" distB="0" distL="0" distR="0" wp14:anchorId="2875ACBB" wp14:editId="57F295DA">
                <wp:extent cx="6570980" cy="3810000"/>
                <wp:effectExtent l="0" t="0" r="1270" b="0"/>
                <wp:docPr id="914183566" name="Grafico 1">
                  <a:extLst xmlns:a="http://schemas.openxmlformats.org/drawingml/2006/main">
                    <a:ext uri="{FF2B5EF4-FFF2-40B4-BE49-F238E27FC236}">
                      <a16:creationId xmlns:a16="http://schemas.microsoft.com/office/drawing/2014/main" id="{00000000-0008-0000-0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FDE1FD6" w14:textId="2078E4A4" w:rsidR="001F368B" w:rsidRDefault="004101BF" w:rsidP="004101BF">
          <w:pPr>
            <w:rPr>
              <w:rFonts w:cs="Segoe UI"/>
              <w:lang w:val="en-GB"/>
            </w:rPr>
          </w:pPr>
          <w:r w:rsidRPr="0032337D">
            <w:rPr>
              <w:rFonts w:cs="Segoe UI"/>
              <w:lang w:val="en-GB"/>
            </w:rPr>
            <w:t>The level of CDR increases, on average, from 3</w:t>
          </w:r>
          <w:r w:rsidR="00A1533A">
            <w:rPr>
              <w:rFonts w:cs="Segoe UI"/>
              <w:lang w:val="en-GB"/>
            </w:rPr>
            <w:t>.</w:t>
          </w:r>
          <w:r w:rsidR="00F774F8">
            <w:rPr>
              <w:rFonts w:cs="Segoe UI"/>
              <w:lang w:val="en-GB"/>
            </w:rPr>
            <w:t>14</w:t>
          </w:r>
          <w:r w:rsidRPr="0032337D">
            <w:rPr>
              <w:rFonts w:cs="Segoe UI"/>
              <w:lang w:val="en-GB"/>
            </w:rPr>
            <w:t>% in</w:t>
          </w:r>
          <w:r w:rsidR="00F61AA3">
            <w:rPr>
              <w:rFonts w:cs="Segoe UI"/>
              <w:lang w:val="en-GB"/>
            </w:rPr>
            <w:t xml:space="preserve"> the</w:t>
          </w:r>
          <w:r w:rsidRPr="0032337D">
            <w:rPr>
              <w:rFonts w:cs="Segoe UI"/>
              <w:lang w:val="en-GB"/>
            </w:rPr>
            <w:t xml:space="preserve"> 1-year</w:t>
          </w:r>
          <w:r w:rsidR="00F61AA3">
            <w:rPr>
              <w:rFonts w:cs="Segoe UI"/>
              <w:lang w:val="en-GB"/>
            </w:rPr>
            <w:t xml:space="preserve"> pool up</w:t>
          </w:r>
          <w:r w:rsidRPr="0032337D">
            <w:rPr>
              <w:rFonts w:cs="Segoe UI"/>
              <w:lang w:val="en-GB"/>
            </w:rPr>
            <w:t xml:space="preserve"> to 1</w:t>
          </w:r>
          <w:r w:rsidR="00F774F8">
            <w:rPr>
              <w:rFonts w:cs="Segoe UI"/>
              <w:lang w:val="en-GB"/>
            </w:rPr>
            <w:t>1</w:t>
          </w:r>
          <w:r w:rsidR="00A1533A">
            <w:rPr>
              <w:rFonts w:cs="Segoe UI"/>
              <w:lang w:val="en-GB"/>
            </w:rPr>
            <w:t>.</w:t>
          </w:r>
          <w:r w:rsidR="00F774F8">
            <w:rPr>
              <w:rFonts w:cs="Segoe UI"/>
              <w:lang w:val="en-GB"/>
            </w:rPr>
            <w:t>96</w:t>
          </w:r>
          <w:r w:rsidRPr="0032337D">
            <w:rPr>
              <w:rFonts w:cs="Segoe UI"/>
              <w:lang w:val="en-GB"/>
            </w:rPr>
            <w:t xml:space="preserve">% in </w:t>
          </w:r>
          <w:r w:rsidR="00F61AA3">
            <w:rPr>
              <w:rFonts w:cs="Segoe UI"/>
              <w:lang w:val="en-GB"/>
            </w:rPr>
            <w:t xml:space="preserve">the </w:t>
          </w:r>
          <w:r w:rsidRPr="0032337D">
            <w:rPr>
              <w:rFonts w:cs="Segoe UI"/>
              <w:lang w:val="en-GB"/>
            </w:rPr>
            <w:t>5-year</w:t>
          </w:r>
          <w:r w:rsidR="00F61AA3">
            <w:rPr>
              <w:rFonts w:cs="Segoe UI"/>
              <w:lang w:val="en-GB"/>
            </w:rPr>
            <w:t xml:space="preserve"> pool</w:t>
          </w:r>
          <w:r w:rsidRPr="0032337D">
            <w:rPr>
              <w:rFonts w:cs="Segoe UI"/>
              <w:lang w:val="en-GB"/>
            </w:rPr>
            <w:t xml:space="preserve"> with a </w:t>
          </w:r>
          <w:proofErr w:type="gramStart"/>
          <w:r w:rsidRPr="0032337D">
            <w:rPr>
              <w:rFonts w:cs="Segoe UI"/>
              <w:lang w:val="en-GB"/>
            </w:rPr>
            <w:t>fairly linear</w:t>
          </w:r>
          <w:proofErr w:type="gramEnd"/>
          <w:r w:rsidRPr="0032337D">
            <w:rPr>
              <w:rFonts w:cs="Segoe UI"/>
              <w:lang w:val="en-GB"/>
            </w:rPr>
            <w:t xml:space="preserve"> progression.</w:t>
          </w:r>
        </w:p>
        <w:p w14:paraId="66F8DFBA" w14:textId="6441853E" w:rsidR="00491E14" w:rsidRDefault="001F368B" w:rsidP="004101BF">
          <w:pPr>
            <w:rPr>
              <w:rFonts w:cs="Segoe UI"/>
              <w:lang w:val="en-GB"/>
            </w:rPr>
          </w:pPr>
          <w:r>
            <w:rPr>
              <w:rFonts w:cs="Segoe UI"/>
              <w:lang w:val="en-GB"/>
            </w:rPr>
            <w:t xml:space="preserve">Indeed, the 2-year </w:t>
          </w:r>
          <w:r w:rsidR="00122D5E">
            <w:rPr>
              <w:rFonts w:cs="Segoe UI"/>
              <w:lang w:val="en-GB"/>
            </w:rPr>
            <w:t>default rate</w:t>
          </w:r>
          <w:r w:rsidR="00345F54">
            <w:rPr>
              <w:rFonts w:cs="Segoe UI"/>
              <w:lang w:val="en-GB"/>
            </w:rPr>
            <w:t xml:space="preserve"> average</w:t>
          </w:r>
          <w:r w:rsidR="00122D5E">
            <w:rPr>
              <w:rFonts w:cs="Segoe UI"/>
              <w:lang w:val="en-GB"/>
            </w:rPr>
            <w:t xml:space="preserve"> reaches 5</w:t>
          </w:r>
          <w:r w:rsidR="00A1533A">
            <w:rPr>
              <w:rFonts w:cs="Segoe UI"/>
              <w:lang w:val="en-GB"/>
            </w:rPr>
            <w:t>.</w:t>
          </w:r>
          <w:r w:rsidR="00122D5E">
            <w:rPr>
              <w:rFonts w:cs="Segoe UI"/>
              <w:lang w:val="en-GB"/>
            </w:rPr>
            <w:t>31%, with the</w:t>
          </w:r>
          <w:r w:rsidR="00345F54">
            <w:rPr>
              <w:rFonts w:cs="Segoe UI"/>
              <w:lang w:val="en-GB"/>
            </w:rPr>
            <w:t xml:space="preserve"> average of the</w:t>
          </w:r>
          <w:r w:rsidR="00122D5E">
            <w:rPr>
              <w:rFonts w:cs="Segoe UI"/>
              <w:lang w:val="en-GB"/>
            </w:rPr>
            <w:t xml:space="preserve"> 3-year and 4-year default rates standing at </w:t>
          </w:r>
          <w:r w:rsidR="00345F54">
            <w:rPr>
              <w:rFonts w:cs="Segoe UI"/>
              <w:lang w:val="en-GB"/>
            </w:rPr>
            <w:t>7</w:t>
          </w:r>
          <w:r w:rsidR="00A1533A">
            <w:rPr>
              <w:rFonts w:cs="Segoe UI"/>
              <w:lang w:val="en-GB"/>
            </w:rPr>
            <w:t>.</w:t>
          </w:r>
          <w:r w:rsidR="00345F54">
            <w:rPr>
              <w:rFonts w:cs="Segoe UI"/>
              <w:lang w:val="en-GB"/>
            </w:rPr>
            <w:t>44% and 9</w:t>
          </w:r>
          <w:r w:rsidR="00A1533A">
            <w:rPr>
              <w:rFonts w:cs="Segoe UI"/>
              <w:lang w:val="en-GB"/>
            </w:rPr>
            <w:t>.</w:t>
          </w:r>
          <w:r w:rsidR="00345F54">
            <w:rPr>
              <w:rFonts w:cs="Segoe UI"/>
              <w:lang w:val="en-GB"/>
            </w:rPr>
            <w:t>71% respectively.</w:t>
          </w:r>
        </w:p>
        <w:p w14:paraId="4E2EF45B" w14:textId="1FBD582B" w:rsidR="00AB1E1D" w:rsidRDefault="004101BF" w:rsidP="004101BF">
          <w:pPr>
            <w:rPr>
              <w:rFonts w:cs="Segoe UI"/>
              <w:lang w:val="en-GB"/>
            </w:rPr>
          </w:pPr>
          <w:r w:rsidRPr="0032337D">
            <w:rPr>
              <w:rFonts w:cs="Segoe UI"/>
              <w:lang w:val="en-GB"/>
            </w:rPr>
            <w:t>The cumulative default curve preserves its monotonicity in all observed periods and for each risk category as shown in Exhibit 27</w:t>
          </w:r>
          <w:r w:rsidR="008D04F1">
            <w:rPr>
              <w:rFonts w:cs="Segoe UI"/>
              <w:lang w:val="en-GB"/>
            </w:rPr>
            <w:t>.</w:t>
          </w:r>
        </w:p>
        <w:p w14:paraId="3DEC30CE" w14:textId="77777777" w:rsidR="00AB1E1D" w:rsidRDefault="00AB1E1D">
          <w:pPr>
            <w:spacing w:before="0" w:after="200" w:line="276" w:lineRule="auto"/>
            <w:jc w:val="left"/>
            <w:rPr>
              <w:rFonts w:cs="Segoe UI"/>
              <w:lang w:val="en-GB"/>
            </w:rPr>
          </w:pPr>
          <w:r>
            <w:rPr>
              <w:rFonts w:cs="Segoe UI"/>
              <w:lang w:val="en-GB"/>
            </w:rPr>
            <w:br w:type="page"/>
          </w:r>
        </w:p>
        <w:p w14:paraId="2A74ECFF" w14:textId="04090B57" w:rsidR="00E75918" w:rsidRDefault="004101BF" w:rsidP="005E38F9">
          <w:pPr>
            <w:pStyle w:val="Didascalia"/>
            <w:rPr>
              <w:rFonts w:cs="Segoe UI"/>
              <w:lang w:val="en-GB"/>
            </w:rPr>
          </w:pPr>
          <w:bookmarkStart w:id="102" w:name="_Toc130806328"/>
          <w:bookmarkStart w:id="103" w:name="_Toc166675668"/>
          <w:bookmarkStart w:id="104" w:name="_Toc167131795"/>
          <w:r w:rsidRPr="0032337D">
            <w:rPr>
              <w:rFonts w:ascii="Segoe UI" w:hAnsi="Segoe UI" w:cs="Segoe UI"/>
              <w:i/>
              <w:sz w:val="14"/>
              <w:lang w:val="en-GB"/>
            </w:rPr>
            <w:lastRenderedPageBreak/>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27</w:t>
          </w:r>
          <w:r>
            <w:rPr>
              <w:rFonts w:ascii="Segoe UI" w:hAnsi="Segoe UI" w:cs="Segoe UI"/>
              <w:i/>
              <w:sz w:val="14"/>
              <w:lang w:val="en-GB"/>
            </w:rPr>
            <w:fldChar w:fldCharType="end"/>
          </w:r>
          <w:r w:rsidRPr="0032337D">
            <w:rPr>
              <w:rFonts w:ascii="Segoe UI" w:hAnsi="Segoe UI" w:cs="Segoe UI"/>
              <w:i/>
              <w:sz w:val="14"/>
              <w:lang w:val="en-GB"/>
            </w:rPr>
            <w:t>: Average cumulative default rates by risk category</w:t>
          </w:r>
          <w:bookmarkEnd w:id="102"/>
          <w:bookmarkEnd w:id="103"/>
          <w:bookmarkEnd w:id="104"/>
        </w:p>
        <w:tbl>
          <w:tblPr>
            <w:tblW w:w="5000" w:type="pct"/>
            <w:jc w:val="center"/>
            <w:tblBorders>
              <w:top w:val="single" w:sz="4" w:space="0" w:color="AFAFB4" w:themeColor="accent4"/>
              <w:bottom w:val="single" w:sz="4" w:space="0" w:color="AFAFB4" w:themeColor="accent4"/>
              <w:insideH w:val="single" w:sz="4" w:space="0" w:color="AFAFB4" w:themeColor="accent4"/>
            </w:tblBorders>
            <w:shd w:val="clear" w:color="auto" w:fill="FFFFFF" w:themeFill="background2"/>
            <w:tblCellMar>
              <w:left w:w="0" w:type="dxa"/>
              <w:right w:w="0" w:type="dxa"/>
            </w:tblCellMar>
            <w:tblLook w:val="0620" w:firstRow="1" w:lastRow="0" w:firstColumn="0" w:lastColumn="0" w:noHBand="1" w:noVBand="1"/>
            <w:tblDescription w:val="{&quot;Ott&quot;:{&quot;FirstRow&quot;:{&quot;BackgroundColor&quot;:{&quot;Key&quot;:&quot;Light2&quot;},&quot;Font&quot;:{&quot;Name&quot;:&quot;Source Sans Pro&quot;,&quot;Size&quot;:14.0,&quot;Bold&quot;:false,&quot;Italic&quot;:false,&quot;Color&quot;:{&quot;Key&quot;:&quot;Dark2&quot;}},&quot;ExcelCellFormatting&quot;:&quot;General&quot;,&quot;Alignment&quot;:{&quot;Horizontal&quot;:&quot;Left&quot;,&quot;Vertical&quot;:&quot;Bottom&quot;},&quot;Borders&quot;:{&quot;Vertical&quot;:{&quot;Visible&quot;:false},&quot;Left&quot;:{&quot;Visible&quot;:false},&quot;Top&quot;:{&quot;Visible&quot;:false},&quot;Right&quot;:{&quot;Visible&quot;:false},&quot;Bottom&quot;:{&quot;Color&quot;:{&quot;Key&quot;:&quot;Accent4&quot;},&quot;BorderWeight&quot;:&quot;Pt1_5&quot;,&quot;Type&quot;:&quot;Solid&quot;,&quot;Visible&quot;:true}}},&quot;FitRowHeightPp&quot;:true,&quot;ZeroMarginsWord&quot;:true,&quot;BackgroundColor&quot;:{&quot;Key&quot;:&quot;Light2&quot;},&quot;Font&quot;:{&quot;Name&quot;:&quot;Source Sans Pro&quot;,&quot;Size&quot;:11.0,&quot;Bold&quot;:false,&quot;Italic&quot;:false,&quot;Color&quot;:{&quot;Key&quot;:&quot;Dark2&quot;}},&quot;LineSpacing&quot;:{&quot;Rule&quot;:&quot;Single&quot;},&quot;Alignment&quot;:{&quot;Horizontal&quot;:&quot;Left&quot;,&quot;Vertical&quot;:&quot;Top&quot;},&quot;Margin&quot;:{&quot;Left&quot;:5.7,&quot;Top&quot;:3.0,&quot;Right&quot;:5.7,&quot;Bottom&quot;:3.0},&quot;Borders&quot;:{&quot;Vertical&quot;:{&quot;Visible&quot;:false},&quot;Horizontal&quot;:{&quot;Color&quot;:{&quot;Key&quot;:&quot;Accent4&quot;},&quot;BorderWeight&quot;:&quot;Pt0_5&quot;,&quot;Type&quot;:&quot;Solid&quot;,&quot;Visible&quot;:true}},&quot;ParagraphSpacing&quot;:{&quot;SpaceBefore&quot;:2.0,&quot;SpaceAfter&quot;:2.0},&quot;ExcelWrapText&quot;:true},&quot;Ccs&quot;:{&quot;DarkBlue&quot;:&quot;0, 20, 55&quot;,&quot;Turquoise&quot;:&quot;0, 164, 230&quot;,&quot;Red&quot;:&quot;214, 70, 65&quot;,&quot;LightGrey&quot;:&quot;174, 174, 180&quot;,&quot;BlueGrey&quot;:&quot;77, 91, 115&quot;,&quot;IceBlue&quot;:&quot;178, 184, 195&quot;,&quot;Grey&quot;:&quot;145, 147, 153&quot;,&quot;Background&quot;:&quot;0, 0, 0, 0&quot;,&quot;White&quot;:&quot;White&quot;,&quot;Accent1&quot;:&quot;1, 1, 1, 1&quot;,&quot;Accent2&quot;:&quot;1, 1, 1, 2&quot;,&quot;Accent3&quot;:&quot;1, 1, 1, 3&quot;,&quot;Accent4&quot;:&quot;1, 1, 1, 4&quot;,&quot;Accent5&quot;:&quot;1, 1, 1, 5&quot;,&quot;Accent6&quot;:&quot;1, 1, 1, 6&quot;,&quot;Dark1&quot;:&quot;1, 1, 1, 7&quot;,&quot;Dark2&quot;:&quot;1, 1, 1, 9&quot;,&quot;Light1&quot;:&quot;1, 1, 1, 8&quot;,&quot;Light2&quot;:&quot;1, 1, 1, 10&quot;},&quot;Cop&quot;:{&quot;FirstRow&quot;:true,&quot;LastRow&quot;:false,&quot;FirstColumn&quot;:false,&quot;LastColumn&quot;:false,&quot;BandedRows&quot;:false,&quot;BandedColumns&quot;:false},&quot;Aaf&quot;:false}"/>
          </w:tblPr>
          <w:tblGrid>
            <w:gridCol w:w="658"/>
            <w:gridCol w:w="1488"/>
            <w:gridCol w:w="764"/>
            <w:gridCol w:w="1488"/>
            <w:gridCol w:w="1492"/>
            <w:gridCol w:w="1488"/>
            <w:gridCol w:w="1488"/>
            <w:gridCol w:w="836"/>
            <w:gridCol w:w="646"/>
          </w:tblGrid>
          <w:tr w:rsidR="00227245" w:rsidRPr="000B18D4" w14:paraId="0535E1ED" w14:textId="77777777" w:rsidTr="0065521D">
            <w:trPr>
              <w:cantSplit/>
              <w:trHeight w:val="397"/>
              <w:jc w:val="center"/>
            </w:trPr>
            <w:tc>
              <w:tcPr>
                <w:tcW w:w="318" w:type="pct"/>
                <w:tcBorders>
                  <w:top w:val="single" w:sz="12" w:space="0" w:color="AFAFB4" w:themeColor="accent4"/>
                </w:tcBorders>
                <w:shd w:val="clear" w:color="auto" w:fill="FFFFFF" w:themeFill="background2"/>
                <w:vAlign w:val="center"/>
              </w:tcPr>
              <w:p w14:paraId="46582D84" w14:textId="50B90734" w:rsidR="00227245" w:rsidRPr="000B18D4" w:rsidRDefault="00227245" w:rsidP="000B18D4">
                <w:pPr>
                  <w:spacing w:before="0" w:line="240" w:lineRule="auto"/>
                  <w:jc w:val="center"/>
                  <w:rPr>
                    <w:b/>
                    <w:color w:val="33A1AB" w:themeColor="accent2"/>
                    <w:sz w:val="14"/>
                    <w:szCs w:val="14"/>
                  </w:rPr>
                </w:pPr>
              </w:p>
            </w:tc>
            <w:tc>
              <w:tcPr>
                <w:tcW w:w="4370" w:type="pct"/>
                <w:gridSpan w:val="7"/>
                <w:tcBorders>
                  <w:top w:val="single" w:sz="12" w:space="0" w:color="AFAFB4" w:themeColor="accent4"/>
                </w:tcBorders>
                <w:shd w:val="clear" w:color="auto" w:fill="FFFFFF" w:themeFill="background2"/>
                <w:vAlign w:val="center"/>
              </w:tcPr>
              <w:p w14:paraId="737651BC" w14:textId="7C5A0487" w:rsidR="00227245" w:rsidRPr="000B18D4" w:rsidRDefault="00B166CB" w:rsidP="000B18D4">
                <w:pPr>
                  <w:spacing w:before="0" w:line="240" w:lineRule="auto"/>
                  <w:jc w:val="center"/>
                  <w:rPr>
                    <w:b/>
                    <w:color w:val="33A1AB" w:themeColor="accent2"/>
                    <w:sz w:val="14"/>
                    <w:szCs w:val="14"/>
                  </w:rPr>
                </w:pPr>
                <w:r w:rsidRPr="000B18D4">
                  <w:rPr>
                    <w:b/>
                    <w:color w:val="33A1AB" w:themeColor="accent2"/>
                    <w:sz w:val="14"/>
                    <w:szCs w:val="14"/>
                  </w:rPr>
                  <w:t xml:space="preserve">ANALYSIS OF </w:t>
                </w:r>
                <w:r w:rsidR="00DD0E3B" w:rsidRPr="000B18D4">
                  <w:rPr>
                    <w:b/>
                    <w:color w:val="33A1AB" w:themeColor="accent2"/>
                    <w:sz w:val="14"/>
                    <w:szCs w:val="14"/>
                  </w:rPr>
                  <w:t>DEFAULT</w:t>
                </w:r>
                <w:r w:rsidRPr="000B18D4">
                  <w:rPr>
                    <w:b/>
                    <w:color w:val="33A1AB" w:themeColor="accent2"/>
                    <w:sz w:val="14"/>
                    <w:szCs w:val="14"/>
                  </w:rPr>
                  <w:t xml:space="preserve"> EVENTS OCCURED</w:t>
                </w:r>
                <w:r w:rsidR="00DD0E3B" w:rsidRPr="000B18D4">
                  <w:rPr>
                    <w:b/>
                    <w:color w:val="33A1AB" w:themeColor="accent2"/>
                    <w:sz w:val="14"/>
                    <w:szCs w:val="14"/>
                  </w:rPr>
                  <w:t xml:space="preserve"> BETWEEN 2009 AND 2023</w:t>
                </w:r>
              </w:p>
            </w:tc>
            <w:tc>
              <w:tcPr>
                <w:tcW w:w="312" w:type="pct"/>
                <w:tcBorders>
                  <w:top w:val="single" w:sz="12" w:space="0" w:color="AFAFB4" w:themeColor="accent4"/>
                </w:tcBorders>
                <w:shd w:val="clear" w:color="auto" w:fill="FFFFFF" w:themeFill="background2"/>
                <w:vAlign w:val="center"/>
              </w:tcPr>
              <w:p w14:paraId="1D2A9229" w14:textId="77777777" w:rsidR="00227245" w:rsidRPr="000B18D4" w:rsidRDefault="00227245" w:rsidP="000B18D4">
                <w:pPr>
                  <w:spacing w:before="0" w:line="240" w:lineRule="auto"/>
                  <w:jc w:val="center"/>
                  <w:rPr>
                    <w:b/>
                    <w:color w:val="33A1AB" w:themeColor="accent2"/>
                    <w:sz w:val="14"/>
                    <w:szCs w:val="14"/>
                  </w:rPr>
                </w:pPr>
              </w:p>
            </w:tc>
          </w:tr>
          <w:tr w:rsidR="00BA1F96" w:rsidRPr="000B18D4" w14:paraId="6B0912C6" w14:textId="77777777" w:rsidTr="0065521D">
            <w:trPr>
              <w:cantSplit/>
              <w:trHeight w:val="397"/>
              <w:jc w:val="center"/>
            </w:trPr>
            <w:tc>
              <w:tcPr>
                <w:tcW w:w="318" w:type="pct"/>
                <w:tcBorders>
                  <w:top w:val="single" w:sz="12" w:space="0" w:color="AFAFB4" w:themeColor="accent4"/>
                </w:tcBorders>
                <w:shd w:val="clear" w:color="auto" w:fill="FFFFFF" w:themeFill="background2"/>
                <w:vAlign w:val="center"/>
              </w:tcPr>
              <w:p w14:paraId="218E4B92" w14:textId="77777777" w:rsidR="00BA1F96" w:rsidRPr="000B18D4" w:rsidRDefault="00BA1F96" w:rsidP="00F1637C">
                <w:pPr>
                  <w:spacing w:before="0" w:line="240" w:lineRule="auto"/>
                  <w:jc w:val="center"/>
                  <w:rPr>
                    <w:b/>
                    <w:color w:val="33A1AB" w:themeColor="accent2"/>
                    <w:sz w:val="14"/>
                    <w:szCs w:val="14"/>
                  </w:rPr>
                </w:pPr>
              </w:p>
            </w:tc>
            <w:tc>
              <w:tcPr>
                <w:tcW w:w="719" w:type="pct"/>
                <w:tcBorders>
                  <w:top w:val="single" w:sz="12" w:space="0" w:color="AFAFB4" w:themeColor="accent4"/>
                </w:tcBorders>
                <w:shd w:val="clear" w:color="auto" w:fill="FFFFFF" w:themeFill="background2"/>
                <w:vAlign w:val="center"/>
              </w:tcPr>
              <w:p w14:paraId="334D98AE" w14:textId="6F2E33CF" w:rsidR="00BA1F96" w:rsidRPr="000B18D4" w:rsidRDefault="00C73565" w:rsidP="00F1637C">
                <w:pPr>
                  <w:spacing w:before="0" w:line="240" w:lineRule="auto"/>
                  <w:jc w:val="center"/>
                  <w:rPr>
                    <w:b/>
                    <w:color w:val="33A1AB" w:themeColor="accent2"/>
                    <w:sz w:val="14"/>
                    <w:szCs w:val="14"/>
                  </w:rPr>
                </w:pPr>
                <w:r w:rsidRPr="000B18D4">
                  <w:rPr>
                    <w:b/>
                    <w:color w:val="33A1AB" w:themeColor="accent2"/>
                    <w:sz w:val="14"/>
                    <w:szCs w:val="14"/>
                  </w:rPr>
                  <w:t>RATING</w:t>
                </w:r>
              </w:p>
            </w:tc>
            <w:tc>
              <w:tcPr>
                <w:tcW w:w="369"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3C042C3D" w14:textId="4A6EF3BB" w:rsidR="00BA1F96" w:rsidRPr="000B18D4" w:rsidRDefault="00C73565" w:rsidP="00F1637C">
                <w:pPr>
                  <w:spacing w:before="0" w:line="240" w:lineRule="auto"/>
                  <w:jc w:val="center"/>
                  <w:rPr>
                    <w:b/>
                    <w:color w:val="33A1AB" w:themeColor="accent2"/>
                    <w:sz w:val="14"/>
                    <w:szCs w:val="14"/>
                  </w:rPr>
                </w:pPr>
                <w:r w:rsidRPr="000B18D4">
                  <w:rPr>
                    <w:b/>
                    <w:color w:val="33A1AB" w:themeColor="accent2"/>
                    <w:sz w:val="14"/>
                    <w:szCs w:val="14"/>
                  </w:rPr>
                  <w:t>1-Y DR</w:t>
                </w:r>
              </w:p>
            </w:tc>
            <w:tc>
              <w:tcPr>
                <w:tcW w:w="719"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0721F62E" w14:textId="269553DF" w:rsidR="00BA1F96" w:rsidRPr="000B18D4" w:rsidRDefault="00C73565" w:rsidP="00F1637C">
                <w:pPr>
                  <w:spacing w:before="0" w:line="240" w:lineRule="auto"/>
                  <w:jc w:val="center"/>
                  <w:rPr>
                    <w:b/>
                    <w:color w:val="33A1AB" w:themeColor="accent2"/>
                    <w:sz w:val="14"/>
                    <w:szCs w:val="14"/>
                  </w:rPr>
                </w:pPr>
                <w:r w:rsidRPr="000B18D4">
                  <w:rPr>
                    <w:b/>
                    <w:color w:val="33A1AB" w:themeColor="accent2"/>
                    <w:sz w:val="14"/>
                    <w:szCs w:val="14"/>
                  </w:rPr>
                  <w:t>2-Y DR</w:t>
                </w:r>
              </w:p>
            </w:tc>
            <w:tc>
              <w:tcPr>
                <w:tcW w:w="721"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3CEE0A45" w14:textId="694D57CC" w:rsidR="00BA1F96" w:rsidRPr="000B18D4" w:rsidRDefault="00C73565" w:rsidP="00F1637C">
                <w:pPr>
                  <w:spacing w:before="0" w:line="240" w:lineRule="auto"/>
                  <w:jc w:val="center"/>
                  <w:rPr>
                    <w:b/>
                    <w:color w:val="33A1AB" w:themeColor="accent2"/>
                    <w:sz w:val="14"/>
                    <w:szCs w:val="14"/>
                  </w:rPr>
                </w:pPr>
                <w:r w:rsidRPr="000B18D4">
                  <w:rPr>
                    <w:b/>
                    <w:color w:val="33A1AB" w:themeColor="accent2"/>
                    <w:sz w:val="14"/>
                    <w:szCs w:val="14"/>
                  </w:rPr>
                  <w:t>3-Y DR</w:t>
                </w:r>
              </w:p>
            </w:tc>
            <w:tc>
              <w:tcPr>
                <w:tcW w:w="719" w:type="pct"/>
                <w:tcBorders>
                  <w:top w:val="single" w:sz="12" w:space="0" w:color="AFAFB4" w:themeColor="accent4"/>
                </w:tcBorders>
                <w:shd w:val="clear" w:color="auto" w:fill="FFFFFF" w:themeFill="background2"/>
                <w:vAlign w:val="center"/>
              </w:tcPr>
              <w:p w14:paraId="130CBE74" w14:textId="342D1B44" w:rsidR="00BA1F96" w:rsidRPr="000B18D4" w:rsidRDefault="00C73565" w:rsidP="00F1637C">
                <w:pPr>
                  <w:spacing w:before="0" w:line="240" w:lineRule="auto"/>
                  <w:jc w:val="center"/>
                  <w:rPr>
                    <w:b/>
                    <w:color w:val="33A1AB" w:themeColor="accent2"/>
                    <w:sz w:val="14"/>
                    <w:szCs w:val="14"/>
                  </w:rPr>
                </w:pPr>
                <w:r w:rsidRPr="000B18D4">
                  <w:rPr>
                    <w:b/>
                    <w:color w:val="33A1AB" w:themeColor="accent2"/>
                    <w:sz w:val="14"/>
                    <w:szCs w:val="14"/>
                  </w:rPr>
                  <w:t>4-Y DR</w:t>
                </w:r>
              </w:p>
            </w:tc>
            <w:tc>
              <w:tcPr>
                <w:tcW w:w="719" w:type="pct"/>
                <w:tcBorders>
                  <w:top w:val="single" w:sz="12" w:space="0" w:color="AFAFB4" w:themeColor="accent4"/>
                </w:tcBorders>
                <w:shd w:val="clear" w:color="auto" w:fill="FFFFFF" w:themeFill="background2"/>
                <w:vAlign w:val="center"/>
              </w:tcPr>
              <w:p w14:paraId="6AF32342" w14:textId="48A27027" w:rsidR="00BA1F96" w:rsidRPr="000B18D4" w:rsidRDefault="00C73565" w:rsidP="00F1637C">
                <w:pPr>
                  <w:spacing w:before="0" w:line="240" w:lineRule="auto"/>
                  <w:jc w:val="center"/>
                  <w:rPr>
                    <w:b/>
                    <w:color w:val="33A1AB" w:themeColor="accent2"/>
                    <w:sz w:val="14"/>
                    <w:szCs w:val="14"/>
                  </w:rPr>
                </w:pPr>
                <w:r w:rsidRPr="000B18D4">
                  <w:rPr>
                    <w:b/>
                    <w:color w:val="33A1AB" w:themeColor="accent2"/>
                    <w:sz w:val="14"/>
                    <w:szCs w:val="14"/>
                  </w:rPr>
                  <w:t>5-Y DR</w:t>
                </w:r>
              </w:p>
            </w:tc>
            <w:tc>
              <w:tcPr>
                <w:tcW w:w="716" w:type="pct"/>
                <w:gridSpan w:val="2"/>
                <w:tcBorders>
                  <w:top w:val="single" w:sz="12" w:space="0" w:color="AFAFB4" w:themeColor="accent4"/>
                </w:tcBorders>
                <w:shd w:val="clear" w:color="auto" w:fill="FFFFFF" w:themeFill="background2"/>
                <w:vAlign w:val="center"/>
              </w:tcPr>
              <w:p w14:paraId="0C9C80E2" w14:textId="52E48E2A" w:rsidR="00BA1F96" w:rsidRPr="000B18D4" w:rsidRDefault="00BA1F96" w:rsidP="00F1637C">
                <w:pPr>
                  <w:spacing w:before="0" w:line="240" w:lineRule="auto"/>
                  <w:jc w:val="center"/>
                  <w:rPr>
                    <w:b/>
                    <w:color w:val="33A1AB" w:themeColor="accent2"/>
                    <w:sz w:val="14"/>
                    <w:szCs w:val="14"/>
                  </w:rPr>
                </w:pPr>
              </w:p>
            </w:tc>
          </w:tr>
          <w:tr w:rsidR="00B81C2F" w:rsidRPr="000B18D4" w14:paraId="347B3F89" w14:textId="77777777" w:rsidTr="0065521D">
            <w:trPr>
              <w:cantSplit/>
              <w:trHeight w:val="397"/>
              <w:jc w:val="center"/>
            </w:trPr>
            <w:tc>
              <w:tcPr>
                <w:tcW w:w="318" w:type="pct"/>
                <w:vMerge w:val="restart"/>
                <w:shd w:val="clear" w:color="auto" w:fill="FFFFFF" w:themeFill="background2"/>
                <w:textDirection w:val="btLr"/>
                <w:vAlign w:val="center"/>
              </w:tcPr>
              <w:p w14:paraId="79E4BBF6" w14:textId="3F187A5B" w:rsidR="00B81C2F" w:rsidRPr="000B18D4" w:rsidRDefault="00B81C2F" w:rsidP="00F1637C">
                <w:pPr>
                  <w:spacing w:before="0" w:line="240" w:lineRule="auto"/>
                  <w:ind w:left="113" w:right="113"/>
                  <w:jc w:val="center"/>
                  <w:rPr>
                    <w:rFonts w:eastAsia="Times New Roman" w:cs="Segoe UI"/>
                    <w:b/>
                    <w:bCs/>
                    <w:sz w:val="14"/>
                    <w:szCs w:val="14"/>
                    <w:lang w:val="en-GB" w:eastAsia="it-IT"/>
                  </w:rPr>
                </w:pPr>
                <w:r w:rsidRPr="000B18D4">
                  <w:rPr>
                    <w:rFonts w:eastAsia="Times New Roman" w:cs="Segoe UI"/>
                    <w:b/>
                    <w:bCs/>
                    <w:sz w:val="14"/>
                    <w:szCs w:val="14"/>
                    <w:lang w:val="en-GB" w:eastAsia="it-IT"/>
                  </w:rPr>
                  <w:t>SAFETY</w:t>
                </w:r>
              </w:p>
            </w:tc>
            <w:tc>
              <w:tcPr>
                <w:tcW w:w="719" w:type="pct"/>
                <w:shd w:val="clear" w:color="auto" w:fill="FFFFFF" w:themeFill="background2"/>
                <w:vAlign w:val="center"/>
              </w:tcPr>
              <w:p w14:paraId="4D271CC8" w14:textId="0C92873E" w:rsidR="00B81C2F" w:rsidRPr="000B18D4" w:rsidRDefault="00B81C2F" w:rsidP="00F1637C">
                <w:pPr>
                  <w:spacing w:before="0" w:line="240" w:lineRule="auto"/>
                  <w:jc w:val="center"/>
                  <w:rPr>
                    <w:rFonts w:eastAsia="Times New Roman" w:cs="Segoe UI"/>
                    <w:b/>
                    <w:bCs/>
                    <w:sz w:val="14"/>
                    <w:szCs w:val="14"/>
                    <w:lang w:val="en-GB" w:eastAsia="it-IT"/>
                  </w:rPr>
                </w:pPr>
                <w:r w:rsidRPr="000B18D4">
                  <w:rPr>
                    <w:rFonts w:cs="Segoe UI"/>
                    <w:b/>
                    <w:bCs/>
                    <w:sz w:val="14"/>
                    <w:szCs w:val="14"/>
                    <w:lang w:eastAsia="it-IT"/>
                  </w:rPr>
                  <w:t>A1.1</w:t>
                </w:r>
              </w:p>
            </w:tc>
            <w:tc>
              <w:tcPr>
                <w:tcW w:w="369" w:type="pct"/>
                <w:shd w:val="clear" w:color="auto" w:fill="FFFFFF" w:themeFill="background2"/>
                <w:tcMar>
                  <w:top w:w="60" w:type="dxa"/>
                  <w:left w:w="114" w:type="dxa"/>
                  <w:bottom w:w="60" w:type="dxa"/>
                  <w:right w:w="114" w:type="dxa"/>
                </w:tcMar>
                <w:vAlign w:val="center"/>
              </w:tcPr>
              <w:p w14:paraId="56222A5E" w14:textId="7694CC30"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0</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00%</w:t>
                </w:r>
              </w:p>
            </w:tc>
            <w:tc>
              <w:tcPr>
                <w:tcW w:w="719" w:type="pct"/>
                <w:shd w:val="clear" w:color="auto" w:fill="FFFFFF" w:themeFill="background2"/>
                <w:tcMar>
                  <w:top w:w="60" w:type="dxa"/>
                  <w:left w:w="114" w:type="dxa"/>
                  <w:bottom w:w="60" w:type="dxa"/>
                  <w:right w:w="114" w:type="dxa"/>
                </w:tcMar>
                <w:vAlign w:val="center"/>
              </w:tcPr>
              <w:p w14:paraId="77C03C79" w14:textId="18F80C80"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0</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00%</w:t>
                </w:r>
              </w:p>
            </w:tc>
            <w:tc>
              <w:tcPr>
                <w:tcW w:w="721" w:type="pct"/>
                <w:shd w:val="clear" w:color="auto" w:fill="FFFFFF" w:themeFill="background2"/>
                <w:tcMar>
                  <w:top w:w="60" w:type="dxa"/>
                  <w:left w:w="114" w:type="dxa"/>
                  <w:bottom w:w="60" w:type="dxa"/>
                  <w:right w:w="114" w:type="dxa"/>
                </w:tcMar>
                <w:vAlign w:val="center"/>
              </w:tcPr>
              <w:p w14:paraId="24DCF67A" w14:textId="61238D7B"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0</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00%</w:t>
                </w:r>
              </w:p>
            </w:tc>
            <w:tc>
              <w:tcPr>
                <w:tcW w:w="719" w:type="pct"/>
                <w:shd w:val="clear" w:color="auto" w:fill="FFFFFF" w:themeFill="background2"/>
                <w:vAlign w:val="center"/>
              </w:tcPr>
              <w:p w14:paraId="4BE87E5C" w14:textId="54FC57A3"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0</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00%</w:t>
                </w:r>
              </w:p>
            </w:tc>
            <w:tc>
              <w:tcPr>
                <w:tcW w:w="719" w:type="pct"/>
                <w:shd w:val="clear" w:color="auto" w:fill="FFFFFF" w:themeFill="background2"/>
                <w:vAlign w:val="center"/>
              </w:tcPr>
              <w:p w14:paraId="314479AC" w14:textId="736757C0"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0</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00%</w:t>
                </w:r>
              </w:p>
            </w:tc>
            <w:tc>
              <w:tcPr>
                <w:tcW w:w="716" w:type="pct"/>
                <w:gridSpan w:val="2"/>
                <w:vMerge w:val="restart"/>
                <w:shd w:val="clear" w:color="auto" w:fill="FFFFFF" w:themeFill="background2"/>
                <w:textDirection w:val="tbRl"/>
                <w:vAlign w:val="center"/>
              </w:tcPr>
              <w:p w14:paraId="2AFC84B1" w14:textId="69ABC771" w:rsidR="00B81C2F" w:rsidRPr="000B18D4" w:rsidRDefault="00B81C2F" w:rsidP="00F1637C">
                <w:pPr>
                  <w:spacing w:before="0" w:line="240" w:lineRule="auto"/>
                  <w:ind w:left="113" w:right="113"/>
                  <w:jc w:val="center"/>
                  <w:rPr>
                    <w:rFonts w:eastAsia="Times New Roman" w:cs="Segoe UI"/>
                    <w:b/>
                    <w:bCs/>
                    <w:sz w:val="14"/>
                    <w:szCs w:val="14"/>
                    <w:lang w:val="en-GB" w:eastAsia="it-IT"/>
                  </w:rPr>
                </w:pPr>
                <w:r w:rsidRPr="000B18D4">
                  <w:rPr>
                    <w:rFonts w:eastAsia="Times New Roman" w:cs="Segoe UI"/>
                    <w:b/>
                    <w:bCs/>
                    <w:sz w:val="14"/>
                    <w:szCs w:val="14"/>
                    <w:lang w:val="en-GB" w:eastAsia="it-IT"/>
                  </w:rPr>
                  <w:t>INVESTMENT GRADE</w:t>
                </w:r>
              </w:p>
            </w:tc>
          </w:tr>
          <w:tr w:rsidR="00B81C2F" w:rsidRPr="000B18D4" w14:paraId="7872FD30" w14:textId="77777777" w:rsidTr="0065521D">
            <w:trPr>
              <w:cantSplit/>
              <w:trHeight w:val="397"/>
              <w:jc w:val="center"/>
            </w:trPr>
            <w:tc>
              <w:tcPr>
                <w:tcW w:w="318" w:type="pct"/>
                <w:vMerge/>
                <w:shd w:val="clear" w:color="auto" w:fill="FFFFFF" w:themeFill="background2"/>
                <w:vAlign w:val="center"/>
              </w:tcPr>
              <w:p w14:paraId="6C8C66E5" w14:textId="77777777" w:rsidR="00B81C2F" w:rsidRPr="000B18D4" w:rsidRDefault="00B81C2F" w:rsidP="00F1637C">
                <w:pPr>
                  <w:spacing w:before="0" w:line="240" w:lineRule="auto"/>
                  <w:jc w:val="center"/>
                  <w:rPr>
                    <w:rFonts w:eastAsia="Times New Roman" w:cs="Segoe UI"/>
                    <w:b/>
                    <w:bCs/>
                    <w:sz w:val="14"/>
                    <w:szCs w:val="14"/>
                    <w:lang w:val="en-GB" w:eastAsia="it-IT"/>
                  </w:rPr>
                </w:pPr>
              </w:p>
            </w:tc>
            <w:tc>
              <w:tcPr>
                <w:tcW w:w="719" w:type="pct"/>
                <w:shd w:val="clear" w:color="auto" w:fill="FFFFFF" w:themeFill="background2"/>
                <w:vAlign w:val="center"/>
              </w:tcPr>
              <w:p w14:paraId="1F818684" w14:textId="6C5B1044" w:rsidR="00B81C2F" w:rsidRPr="000B18D4" w:rsidRDefault="00B81C2F" w:rsidP="00F1637C">
                <w:pPr>
                  <w:spacing w:before="0" w:line="240" w:lineRule="auto"/>
                  <w:jc w:val="center"/>
                  <w:rPr>
                    <w:rFonts w:eastAsia="Times New Roman" w:cs="Segoe UI"/>
                    <w:b/>
                    <w:bCs/>
                    <w:sz w:val="14"/>
                    <w:szCs w:val="14"/>
                    <w:lang w:val="en-GB" w:eastAsia="it-IT"/>
                  </w:rPr>
                </w:pPr>
                <w:r w:rsidRPr="000B18D4">
                  <w:rPr>
                    <w:rFonts w:cs="Segoe UI"/>
                    <w:b/>
                    <w:bCs/>
                    <w:sz w:val="14"/>
                    <w:szCs w:val="14"/>
                    <w:lang w:eastAsia="it-IT"/>
                  </w:rPr>
                  <w:t>A1.2</w:t>
                </w:r>
              </w:p>
            </w:tc>
            <w:tc>
              <w:tcPr>
                <w:tcW w:w="369" w:type="pct"/>
                <w:shd w:val="clear" w:color="auto" w:fill="FFFFFF" w:themeFill="background2"/>
                <w:tcMar>
                  <w:top w:w="60" w:type="dxa"/>
                  <w:left w:w="114" w:type="dxa"/>
                  <w:bottom w:w="60" w:type="dxa"/>
                  <w:right w:w="114" w:type="dxa"/>
                </w:tcMar>
                <w:vAlign w:val="center"/>
              </w:tcPr>
              <w:p w14:paraId="77413E50" w14:textId="7ABB5C40"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0</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00%</w:t>
                </w:r>
              </w:p>
            </w:tc>
            <w:tc>
              <w:tcPr>
                <w:tcW w:w="719" w:type="pct"/>
                <w:shd w:val="clear" w:color="auto" w:fill="FFFFFF" w:themeFill="background2"/>
                <w:tcMar>
                  <w:top w:w="60" w:type="dxa"/>
                  <w:left w:w="114" w:type="dxa"/>
                  <w:bottom w:w="60" w:type="dxa"/>
                  <w:right w:w="114" w:type="dxa"/>
                </w:tcMar>
                <w:vAlign w:val="center"/>
              </w:tcPr>
              <w:p w14:paraId="1D007136" w14:textId="0F56C0AF"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0</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00%</w:t>
                </w:r>
              </w:p>
            </w:tc>
            <w:tc>
              <w:tcPr>
                <w:tcW w:w="721" w:type="pct"/>
                <w:shd w:val="clear" w:color="auto" w:fill="FFFFFF" w:themeFill="background2"/>
                <w:tcMar>
                  <w:top w:w="60" w:type="dxa"/>
                  <w:left w:w="114" w:type="dxa"/>
                  <w:bottom w:w="60" w:type="dxa"/>
                  <w:right w:w="114" w:type="dxa"/>
                </w:tcMar>
                <w:vAlign w:val="center"/>
              </w:tcPr>
              <w:p w14:paraId="3503D8B1" w14:textId="6521A8ED"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0</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00%</w:t>
                </w:r>
              </w:p>
            </w:tc>
            <w:tc>
              <w:tcPr>
                <w:tcW w:w="719" w:type="pct"/>
                <w:shd w:val="clear" w:color="auto" w:fill="FFFFFF" w:themeFill="background2"/>
                <w:vAlign w:val="center"/>
              </w:tcPr>
              <w:p w14:paraId="6F9CE15A" w14:textId="04F6AA74"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0</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00%</w:t>
                </w:r>
              </w:p>
            </w:tc>
            <w:tc>
              <w:tcPr>
                <w:tcW w:w="719" w:type="pct"/>
                <w:shd w:val="clear" w:color="auto" w:fill="FFFFFF" w:themeFill="background2"/>
                <w:vAlign w:val="center"/>
              </w:tcPr>
              <w:p w14:paraId="707E3ED7" w14:textId="30016F0C"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0</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00%</w:t>
                </w:r>
              </w:p>
            </w:tc>
            <w:tc>
              <w:tcPr>
                <w:tcW w:w="716" w:type="pct"/>
                <w:gridSpan w:val="2"/>
                <w:vMerge/>
                <w:shd w:val="clear" w:color="auto" w:fill="FFFFFF" w:themeFill="background2"/>
                <w:vAlign w:val="center"/>
              </w:tcPr>
              <w:p w14:paraId="363DB5C4" w14:textId="0B7F0EC2" w:rsidR="00B81C2F" w:rsidRPr="000B18D4" w:rsidRDefault="00B81C2F" w:rsidP="00F1637C">
                <w:pPr>
                  <w:spacing w:before="0" w:line="240" w:lineRule="auto"/>
                  <w:jc w:val="center"/>
                  <w:rPr>
                    <w:rFonts w:eastAsia="Times New Roman" w:cs="Segoe UI"/>
                    <w:sz w:val="14"/>
                    <w:szCs w:val="14"/>
                    <w:lang w:val="en-GB" w:eastAsia="it-IT"/>
                  </w:rPr>
                </w:pPr>
              </w:p>
            </w:tc>
          </w:tr>
          <w:tr w:rsidR="00B81C2F" w:rsidRPr="000B18D4" w14:paraId="563B4B72" w14:textId="77777777" w:rsidTr="0065521D">
            <w:trPr>
              <w:cantSplit/>
              <w:trHeight w:val="397"/>
              <w:jc w:val="center"/>
            </w:trPr>
            <w:tc>
              <w:tcPr>
                <w:tcW w:w="318" w:type="pct"/>
                <w:vMerge/>
                <w:shd w:val="clear" w:color="auto" w:fill="FFFFFF" w:themeFill="background2"/>
                <w:vAlign w:val="center"/>
              </w:tcPr>
              <w:p w14:paraId="723A46A8" w14:textId="77777777" w:rsidR="00B81C2F" w:rsidRPr="000B18D4" w:rsidRDefault="00B81C2F" w:rsidP="00F1637C">
                <w:pPr>
                  <w:spacing w:before="0" w:line="240" w:lineRule="auto"/>
                  <w:jc w:val="center"/>
                  <w:rPr>
                    <w:rFonts w:eastAsia="Times New Roman" w:cs="Segoe UI"/>
                    <w:b/>
                    <w:bCs/>
                    <w:sz w:val="14"/>
                    <w:szCs w:val="14"/>
                    <w:lang w:val="en-GB" w:eastAsia="it-IT"/>
                  </w:rPr>
                </w:pPr>
              </w:p>
            </w:tc>
            <w:tc>
              <w:tcPr>
                <w:tcW w:w="719" w:type="pct"/>
                <w:shd w:val="clear" w:color="auto" w:fill="FFFFFF" w:themeFill="background2"/>
                <w:vAlign w:val="center"/>
              </w:tcPr>
              <w:p w14:paraId="40A97AC9" w14:textId="7C8BEA20" w:rsidR="00B81C2F" w:rsidRPr="000B18D4" w:rsidRDefault="00B81C2F" w:rsidP="00F1637C">
                <w:pPr>
                  <w:spacing w:before="0" w:line="240" w:lineRule="auto"/>
                  <w:jc w:val="center"/>
                  <w:rPr>
                    <w:rFonts w:eastAsia="Times New Roman" w:cs="Segoe UI"/>
                    <w:b/>
                    <w:bCs/>
                    <w:sz w:val="14"/>
                    <w:szCs w:val="14"/>
                    <w:lang w:val="en-GB" w:eastAsia="it-IT"/>
                  </w:rPr>
                </w:pPr>
                <w:r w:rsidRPr="000B18D4">
                  <w:rPr>
                    <w:rFonts w:cs="Segoe UI"/>
                    <w:b/>
                    <w:bCs/>
                    <w:sz w:val="14"/>
                    <w:szCs w:val="14"/>
                    <w:lang w:eastAsia="it-IT"/>
                  </w:rPr>
                  <w:t>A1.3</w:t>
                </w:r>
              </w:p>
            </w:tc>
            <w:tc>
              <w:tcPr>
                <w:tcW w:w="369" w:type="pct"/>
                <w:shd w:val="clear" w:color="auto" w:fill="FFFFFF" w:themeFill="background2"/>
                <w:tcMar>
                  <w:top w:w="60" w:type="dxa"/>
                  <w:left w:w="114" w:type="dxa"/>
                  <w:bottom w:w="60" w:type="dxa"/>
                  <w:right w:w="114" w:type="dxa"/>
                </w:tcMar>
                <w:vAlign w:val="center"/>
              </w:tcPr>
              <w:p w14:paraId="6E68043C" w14:textId="2877E0BE"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0</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00%</w:t>
                </w:r>
              </w:p>
            </w:tc>
            <w:tc>
              <w:tcPr>
                <w:tcW w:w="719" w:type="pct"/>
                <w:shd w:val="clear" w:color="auto" w:fill="FFFFFF" w:themeFill="background2"/>
                <w:tcMar>
                  <w:top w:w="60" w:type="dxa"/>
                  <w:left w:w="114" w:type="dxa"/>
                  <w:bottom w:w="60" w:type="dxa"/>
                  <w:right w:w="114" w:type="dxa"/>
                </w:tcMar>
                <w:vAlign w:val="center"/>
              </w:tcPr>
              <w:p w14:paraId="27775DEC" w14:textId="7EC23DA6"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0</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00%</w:t>
                </w:r>
              </w:p>
            </w:tc>
            <w:tc>
              <w:tcPr>
                <w:tcW w:w="721" w:type="pct"/>
                <w:shd w:val="clear" w:color="auto" w:fill="FFFFFF" w:themeFill="background2"/>
                <w:tcMar>
                  <w:top w:w="60" w:type="dxa"/>
                  <w:left w:w="114" w:type="dxa"/>
                  <w:bottom w:w="60" w:type="dxa"/>
                  <w:right w:w="114" w:type="dxa"/>
                </w:tcMar>
                <w:vAlign w:val="center"/>
              </w:tcPr>
              <w:p w14:paraId="295ADE68" w14:textId="0596EA08"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0</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00%</w:t>
                </w:r>
              </w:p>
            </w:tc>
            <w:tc>
              <w:tcPr>
                <w:tcW w:w="719" w:type="pct"/>
                <w:shd w:val="clear" w:color="auto" w:fill="FFFFFF" w:themeFill="background2"/>
                <w:vAlign w:val="center"/>
              </w:tcPr>
              <w:p w14:paraId="1E13140D" w14:textId="646BFF2F"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0</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00%</w:t>
                </w:r>
              </w:p>
            </w:tc>
            <w:tc>
              <w:tcPr>
                <w:tcW w:w="719" w:type="pct"/>
                <w:shd w:val="clear" w:color="auto" w:fill="FFFFFF" w:themeFill="background2"/>
                <w:vAlign w:val="center"/>
              </w:tcPr>
              <w:p w14:paraId="5CF4E926" w14:textId="3DD0C555"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0</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10%</w:t>
                </w:r>
              </w:p>
            </w:tc>
            <w:tc>
              <w:tcPr>
                <w:tcW w:w="716" w:type="pct"/>
                <w:gridSpan w:val="2"/>
                <w:vMerge/>
                <w:shd w:val="clear" w:color="auto" w:fill="FFFFFF" w:themeFill="background2"/>
                <w:vAlign w:val="center"/>
              </w:tcPr>
              <w:p w14:paraId="3AA13A03" w14:textId="2465ED30" w:rsidR="00B81C2F" w:rsidRPr="000B18D4" w:rsidRDefault="00B81C2F" w:rsidP="00F1637C">
                <w:pPr>
                  <w:spacing w:before="0" w:line="240" w:lineRule="auto"/>
                  <w:jc w:val="center"/>
                  <w:rPr>
                    <w:rFonts w:eastAsia="Times New Roman" w:cs="Segoe UI"/>
                    <w:sz w:val="14"/>
                    <w:szCs w:val="14"/>
                    <w:lang w:val="en-GB" w:eastAsia="it-IT"/>
                  </w:rPr>
                </w:pPr>
              </w:p>
            </w:tc>
          </w:tr>
          <w:tr w:rsidR="00B81C2F" w:rsidRPr="000B18D4" w14:paraId="067532D1" w14:textId="77777777" w:rsidTr="0065521D">
            <w:trPr>
              <w:cantSplit/>
              <w:trHeight w:val="397"/>
              <w:jc w:val="center"/>
            </w:trPr>
            <w:tc>
              <w:tcPr>
                <w:tcW w:w="318" w:type="pct"/>
                <w:vMerge/>
                <w:shd w:val="clear" w:color="auto" w:fill="FFFFFF" w:themeFill="background2"/>
                <w:vAlign w:val="center"/>
              </w:tcPr>
              <w:p w14:paraId="311728F9" w14:textId="77777777" w:rsidR="00B81C2F" w:rsidRPr="000B18D4" w:rsidRDefault="00B81C2F" w:rsidP="00F1637C">
                <w:pPr>
                  <w:spacing w:before="0" w:line="240" w:lineRule="auto"/>
                  <w:jc w:val="center"/>
                  <w:rPr>
                    <w:rFonts w:eastAsia="Times New Roman" w:cs="Segoe UI"/>
                    <w:b/>
                    <w:bCs/>
                    <w:sz w:val="14"/>
                    <w:szCs w:val="14"/>
                    <w:lang w:val="en-GB" w:eastAsia="it-IT"/>
                  </w:rPr>
                </w:pPr>
              </w:p>
            </w:tc>
            <w:tc>
              <w:tcPr>
                <w:tcW w:w="719" w:type="pct"/>
                <w:shd w:val="clear" w:color="auto" w:fill="FFFFFF" w:themeFill="background2"/>
                <w:vAlign w:val="center"/>
              </w:tcPr>
              <w:p w14:paraId="71E33F47" w14:textId="1EA1BD58" w:rsidR="00B81C2F" w:rsidRPr="000B18D4" w:rsidRDefault="00B81C2F" w:rsidP="00F1637C">
                <w:pPr>
                  <w:spacing w:before="0" w:line="240" w:lineRule="auto"/>
                  <w:jc w:val="center"/>
                  <w:rPr>
                    <w:rFonts w:eastAsia="Times New Roman" w:cs="Segoe UI"/>
                    <w:b/>
                    <w:bCs/>
                    <w:sz w:val="14"/>
                    <w:szCs w:val="14"/>
                    <w:lang w:val="en-GB" w:eastAsia="it-IT"/>
                  </w:rPr>
                </w:pPr>
                <w:r w:rsidRPr="000B18D4">
                  <w:rPr>
                    <w:rFonts w:cs="Segoe UI"/>
                    <w:b/>
                    <w:bCs/>
                    <w:sz w:val="14"/>
                    <w:szCs w:val="14"/>
                    <w:lang w:eastAsia="it-IT"/>
                  </w:rPr>
                  <w:t>A2.1</w:t>
                </w:r>
              </w:p>
            </w:tc>
            <w:tc>
              <w:tcPr>
                <w:tcW w:w="369" w:type="pct"/>
                <w:shd w:val="clear" w:color="auto" w:fill="FFFFFF" w:themeFill="background2"/>
                <w:tcMar>
                  <w:top w:w="60" w:type="dxa"/>
                  <w:left w:w="114" w:type="dxa"/>
                  <w:bottom w:w="60" w:type="dxa"/>
                  <w:right w:w="114" w:type="dxa"/>
                </w:tcMar>
                <w:vAlign w:val="center"/>
              </w:tcPr>
              <w:p w14:paraId="3BCA43C2" w14:textId="620B726F"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0</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00%</w:t>
                </w:r>
              </w:p>
            </w:tc>
            <w:tc>
              <w:tcPr>
                <w:tcW w:w="719" w:type="pct"/>
                <w:shd w:val="clear" w:color="auto" w:fill="FFFFFF" w:themeFill="background2"/>
                <w:tcMar>
                  <w:top w:w="60" w:type="dxa"/>
                  <w:left w:w="114" w:type="dxa"/>
                  <w:bottom w:w="60" w:type="dxa"/>
                  <w:right w:w="114" w:type="dxa"/>
                </w:tcMar>
                <w:vAlign w:val="center"/>
              </w:tcPr>
              <w:p w14:paraId="5996402B" w14:textId="514C2B72"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0</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03%</w:t>
                </w:r>
              </w:p>
            </w:tc>
            <w:tc>
              <w:tcPr>
                <w:tcW w:w="721" w:type="pct"/>
                <w:shd w:val="clear" w:color="auto" w:fill="FFFFFF" w:themeFill="background2"/>
                <w:tcMar>
                  <w:top w:w="60" w:type="dxa"/>
                  <w:left w:w="114" w:type="dxa"/>
                  <w:bottom w:w="60" w:type="dxa"/>
                  <w:right w:w="114" w:type="dxa"/>
                </w:tcMar>
                <w:vAlign w:val="center"/>
              </w:tcPr>
              <w:p w14:paraId="74289187" w14:textId="0E6A095B"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0</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14%</w:t>
                </w:r>
              </w:p>
            </w:tc>
            <w:tc>
              <w:tcPr>
                <w:tcW w:w="719" w:type="pct"/>
                <w:shd w:val="clear" w:color="auto" w:fill="FFFFFF" w:themeFill="background2"/>
                <w:vAlign w:val="center"/>
              </w:tcPr>
              <w:p w14:paraId="5363D510" w14:textId="2C263669"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0</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30%</w:t>
                </w:r>
              </w:p>
            </w:tc>
            <w:tc>
              <w:tcPr>
                <w:tcW w:w="719" w:type="pct"/>
                <w:shd w:val="clear" w:color="auto" w:fill="FFFFFF" w:themeFill="background2"/>
                <w:vAlign w:val="center"/>
              </w:tcPr>
              <w:p w14:paraId="37F1ABBE" w14:textId="5A357760"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0</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48%</w:t>
                </w:r>
              </w:p>
            </w:tc>
            <w:tc>
              <w:tcPr>
                <w:tcW w:w="716" w:type="pct"/>
                <w:gridSpan w:val="2"/>
                <w:vMerge/>
                <w:shd w:val="clear" w:color="auto" w:fill="FFFFFF" w:themeFill="background2"/>
                <w:vAlign w:val="center"/>
              </w:tcPr>
              <w:p w14:paraId="4D566533" w14:textId="20006BA5" w:rsidR="00B81C2F" w:rsidRPr="000B18D4" w:rsidRDefault="00B81C2F" w:rsidP="00F1637C">
                <w:pPr>
                  <w:spacing w:before="0" w:line="240" w:lineRule="auto"/>
                  <w:jc w:val="center"/>
                  <w:rPr>
                    <w:rFonts w:eastAsia="Times New Roman" w:cs="Segoe UI"/>
                    <w:sz w:val="14"/>
                    <w:szCs w:val="14"/>
                    <w:lang w:val="en-GB" w:eastAsia="it-IT"/>
                  </w:rPr>
                </w:pPr>
              </w:p>
            </w:tc>
          </w:tr>
          <w:tr w:rsidR="00B81C2F" w:rsidRPr="000B18D4" w14:paraId="44FC24A8" w14:textId="77777777" w:rsidTr="0065521D">
            <w:trPr>
              <w:cantSplit/>
              <w:trHeight w:val="397"/>
              <w:jc w:val="center"/>
            </w:trPr>
            <w:tc>
              <w:tcPr>
                <w:tcW w:w="318" w:type="pct"/>
                <w:vMerge/>
                <w:shd w:val="clear" w:color="auto" w:fill="FFFFFF" w:themeFill="background2"/>
                <w:vAlign w:val="center"/>
              </w:tcPr>
              <w:p w14:paraId="7154A818" w14:textId="77777777" w:rsidR="00B81C2F" w:rsidRPr="000B18D4" w:rsidRDefault="00B81C2F" w:rsidP="00F1637C">
                <w:pPr>
                  <w:spacing w:before="0" w:line="240" w:lineRule="auto"/>
                  <w:jc w:val="center"/>
                  <w:rPr>
                    <w:rFonts w:eastAsia="Times New Roman" w:cs="Segoe UI"/>
                    <w:b/>
                    <w:bCs/>
                    <w:sz w:val="14"/>
                    <w:szCs w:val="14"/>
                    <w:lang w:val="en-GB" w:eastAsia="it-IT"/>
                  </w:rPr>
                </w:pPr>
              </w:p>
            </w:tc>
            <w:tc>
              <w:tcPr>
                <w:tcW w:w="719" w:type="pct"/>
                <w:shd w:val="clear" w:color="auto" w:fill="FFFFFF" w:themeFill="background2"/>
                <w:vAlign w:val="center"/>
              </w:tcPr>
              <w:p w14:paraId="2D43C6D0" w14:textId="3DE9AC37" w:rsidR="00B81C2F" w:rsidRPr="000B18D4" w:rsidRDefault="00B81C2F" w:rsidP="00F1637C">
                <w:pPr>
                  <w:spacing w:before="0" w:line="240" w:lineRule="auto"/>
                  <w:jc w:val="center"/>
                  <w:rPr>
                    <w:rFonts w:eastAsia="Times New Roman" w:cs="Segoe UI"/>
                    <w:b/>
                    <w:bCs/>
                    <w:sz w:val="14"/>
                    <w:szCs w:val="14"/>
                    <w:lang w:val="en-GB" w:eastAsia="it-IT"/>
                  </w:rPr>
                </w:pPr>
                <w:r w:rsidRPr="000B18D4">
                  <w:rPr>
                    <w:rFonts w:cs="Segoe UI"/>
                    <w:b/>
                    <w:bCs/>
                    <w:sz w:val="14"/>
                    <w:szCs w:val="14"/>
                    <w:lang w:eastAsia="it-IT"/>
                  </w:rPr>
                  <w:t>A2.2</w:t>
                </w:r>
              </w:p>
            </w:tc>
            <w:tc>
              <w:tcPr>
                <w:tcW w:w="369" w:type="pct"/>
                <w:shd w:val="clear" w:color="auto" w:fill="FFFFFF" w:themeFill="background2"/>
                <w:tcMar>
                  <w:top w:w="60" w:type="dxa"/>
                  <w:left w:w="114" w:type="dxa"/>
                  <w:bottom w:w="60" w:type="dxa"/>
                  <w:right w:w="114" w:type="dxa"/>
                </w:tcMar>
                <w:vAlign w:val="center"/>
              </w:tcPr>
              <w:p w14:paraId="592B34DF" w14:textId="17EF54F2"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0</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01%</w:t>
                </w:r>
              </w:p>
            </w:tc>
            <w:tc>
              <w:tcPr>
                <w:tcW w:w="719" w:type="pct"/>
                <w:shd w:val="clear" w:color="auto" w:fill="FFFFFF" w:themeFill="background2"/>
                <w:tcMar>
                  <w:top w:w="60" w:type="dxa"/>
                  <w:left w:w="114" w:type="dxa"/>
                  <w:bottom w:w="60" w:type="dxa"/>
                  <w:right w:w="114" w:type="dxa"/>
                </w:tcMar>
                <w:vAlign w:val="center"/>
              </w:tcPr>
              <w:p w14:paraId="69982AA6" w14:textId="67F842F2"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0</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08%</w:t>
                </w:r>
              </w:p>
            </w:tc>
            <w:tc>
              <w:tcPr>
                <w:tcW w:w="721" w:type="pct"/>
                <w:shd w:val="clear" w:color="auto" w:fill="FFFFFF" w:themeFill="background2"/>
                <w:tcMar>
                  <w:top w:w="60" w:type="dxa"/>
                  <w:left w:w="114" w:type="dxa"/>
                  <w:bottom w:w="60" w:type="dxa"/>
                  <w:right w:w="114" w:type="dxa"/>
                </w:tcMar>
                <w:vAlign w:val="center"/>
              </w:tcPr>
              <w:p w14:paraId="0DA901C4" w14:textId="744D5B39"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0</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23%</w:t>
                </w:r>
              </w:p>
            </w:tc>
            <w:tc>
              <w:tcPr>
                <w:tcW w:w="719" w:type="pct"/>
                <w:shd w:val="clear" w:color="auto" w:fill="FFFFFF" w:themeFill="background2"/>
                <w:vAlign w:val="center"/>
              </w:tcPr>
              <w:p w14:paraId="27B57F6A" w14:textId="75959AF5"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0</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38%</w:t>
                </w:r>
              </w:p>
            </w:tc>
            <w:tc>
              <w:tcPr>
                <w:tcW w:w="719" w:type="pct"/>
                <w:shd w:val="clear" w:color="auto" w:fill="FFFFFF" w:themeFill="background2"/>
                <w:vAlign w:val="center"/>
              </w:tcPr>
              <w:p w14:paraId="78E5DCB9" w14:textId="0925800A"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0</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59%</w:t>
                </w:r>
              </w:p>
            </w:tc>
            <w:tc>
              <w:tcPr>
                <w:tcW w:w="716" w:type="pct"/>
                <w:gridSpan w:val="2"/>
                <w:vMerge/>
                <w:shd w:val="clear" w:color="auto" w:fill="FFFFFF" w:themeFill="background2"/>
                <w:vAlign w:val="center"/>
              </w:tcPr>
              <w:p w14:paraId="25518F88" w14:textId="4B2E4C44" w:rsidR="00B81C2F" w:rsidRPr="000B18D4" w:rsidRDefault="00B81C2F" w:rsidP="00F1637C">
                <w:pPr>
                  <w:spacing w:before="0" w:line="240" w:lineRule="auto"/>
                  <w:jc w:val="center"/>
                  <w:rPr>
                    <w:rFonts w:eastAsia="Times New Roman" w:cs="Segoe UI"/>
                    <w:sz w:val="14"/>
                    <w:szCs w:val="14"/>
                    <w:lang w:val="en-GB" w:eastAsia="it-IT"/>
                  </w:rPr>
                </w:pPr>
              </w:p>
            </w:tc>
          </w:tr>
          <w:tr w:rsidR="00B81C2F" w:rsidRPr="000B18D4" w14:paraId="038EF36C" w14:textId="77777777" w:rsidTr="0065521D">
            <w:trPr>
              <w:cantSplit/>
              <w:trHeight w:val="397"/>
              <w:jc w:val="center"/>
            </w:trPr>
            <w:tc>
              <w:tcPr>
                <w:tcW w:w="318" w:type="pct"/>
                <w:vMerge/>
                <w:shd w:val="clear" w:color="auto" w:fill="FFFFFF" w:themeFill="background2"/>
                <w:vAlign w:val="center"/>
              </w:tcPr>
              <w:p w14:paraId="1C4C5C5A" w14:textId="77777777" w:rsidR="00B81C2F" w:rsidRPr="000B18D4" w:rsidRDefault="00B81C2F" w:rsidP="00F1637C">
                <w:pPr>
                  <w:spacing w:before="0" w:line="240" w:lineRule="auto"/>
                  <w:jc w:val="center"/>
                  <w:rPr>
                    <w:rFonts w:eastAsia="Times New Roman" w:cs="Segoe UI"/>
                    <w:b/>
                    <w:bCs/>
                    <w:sz w:val="14"/>
                    <w:szCs w:val="14"/>
                    <w:lang w:val="en-GB" w:eastAsia="it-IT"/>
                  </w:rPr>
                </w:pPr>
              </w:p>
            </w:tc>
            <w:tc>
              <w:tcPr>
                <w:tcW w:w="719" w:type="pct"/>
                <w:shd w:val="clear" w:color="auto" w:fill="FFFFFF" w:themeFill="background2"/>
                <w:vAlign w:val="center"/>
              </w:tcPr>
              <w:p w14:paraId="27981F82" w14:textId="48808C40" w:rsidR="00B81C2F" w:rsidRPr="000B18D4" w:rsidRDefault="00B81C2F" w:rsidP="00F1637C">
                <w:pPr>
                  <w:spacing w:before="0" w:line="240" w:lineRule="auto"/>
                  <w:jc w:val="center"/>
                  <w:rPr>
                    <w:rFonts w:eastAsia="Times New Roman" w:cs="Segoe UI"/>
                    <w:b/>
                    <w:bCs/>
                    <w:sz w:val="14"/>
                    <w:szCs w:val="14"/>
                    <w:lang w:val="en-GB" w:eastAsia="it-IT"/>
                  </w:rPr>
                </w:pPr>
                <w:r w:rsidRPr="000B18D4">
                  <w:rPr>
                    <w:rFonts w:cs="Segoe UI"/>
                    <w:b/>
                    <w:bCs/>
                    <w:sz w:val="14"/>
                    <w:szCs w:val="14"/>
                    <w:lang w:eastAsia="it-IT"/>
                  </w:rPr>
                  <w:t>A3.1</w:t>
                </w:r>
              </w:p>
            </w:tc>
            <w:tc>
              <w:tcPr>
                <w:tcW w:w="369" w:type="pct"/>
                <w:shd w:val="clear" w:color="auto" w:fill="FFFFFF" w:themeFill="background2"/>
                <w:tcMar>
                  <w:top w:w="60" w:type="dxa"/>
                  <w:left w:w="114" w:type="dxa"/>
                  <w:bottom w:w="60" w:type="dxa"/>
                  <w:right w:w="114" w:type="dxa"/>
                </w:tcMar>
                <w:vAlign w:val="center"/>
              </w:tcPr>
              <w:p w14:paraId="1817091D" w14:textId="6B3E0E00"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0</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09%</w:t>
                </w:r>
              </w:p>
            </w:tc>
            <w:tc>
              <w:tcPr>
                <w:tcW w:w="719" w:type="pct"/>
                <w:shd w:val="clear" w:color="auto" w:fill="FFFFFF" w:themeFill="background2"/>
                <w:tcMar>
                  <w:top w:w="60" w:type="dxa"/>
                  <w:left w:w="114" w:type="dxa"/>
                  <w:bottom w:w="60" w:type="dxa"/>
                  <w:right w:w="114" w:type="dxa"/>
                </w:tcMar>
                <w:vAlign w:val="center"/>
              </w:tcPr>
              <w:p w14:paraId="46C56D55" w14:textId="5310584F"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0</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24%</w:t>
                </w:r>
              </w:p>
            </w:tc>
            <w:tc>
              <w:tcPr>
                <w:tcW w:w="721" w:type="pct"/>
                <w:shd w:val="clear" w:color="auto" w:fill="FFFFFF" w:themeFill="background2"/>
                <w:tcMar>
                  <w:top w:w="60" w:type="dxa"/>
                  <w:left w:w="114" w:type="dxa"/>
                  <w:bottom w:w="60" w:type="dxa"/>
                  <w:right w:w="114" w:type="dxa"/>
                </w:tcMar>
                <w:vAlign w:val="center"/>
              </w:tcPr>
              <w:p w14:paraId="1F0040E1" w14:textId="0F625829"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0</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50%</w:t>
                </w:r>
              </w:p>
            </w:tc>
            <w:tc>
              <w:tcPr>
                <w:tcW w:w="719" w:type="pct"/>
                <w:shd w:val="clear" w:color="auto" w:fill="FFFFFF" w:themeFill="background2"/>
                <w:vAlign w:val="center"/>
              </w:tcPr>
              <w:p w14:paraId="67C5B9E6" w14:textId="14243ED5"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0</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88%</w:t>
                </w:r>
              </w:p>
            </w:tc>
            <w:tc>
              <w:tcPr>
                <w:tcW w:w="719" w:type="pct"/>
                <w:shd w:val="clear" w:color="auto" w:fill="FFFFFF" w:themeFill="background2"/>
                <w:vAlign w:val="center"/>
              </w:tcPr>
              <w:p w14:paraId="2779954E" w14:textId="7116F470"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1</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40%</w:t>
                </w:r>
              </w:p>
            </w:tc>
            <w:tc>
              <w:tcPr>
                <w:tcW w:w="716" w:type="pct"/>
                <w:gridSpan w:val="2"/>
                <w:vMerge/>
                <w:shd w:val="clear" w:color="auto" w:fill="FFFFFF" w:themeFill="background2"/>
                <w:vAlign w:val="center"/>
              </w:tcPr>
              <w:p w14:paraId="7E61A8A0" w14:textId="4A30B6CD" w:rsidR="00B81C2F" w:rsidRPr="000B18D4" w:rsidRDefault="00B81C2F" w:rsidP="00F1637C">
                <w:pPr>
                  <w:spacing w:before="0" w:line="240" w:lineRule="auto"/>
                  <w:jc w:val="center"/>
                  <w:rPr>
                    <w:rFonts w:eastAsia="Times New Roman" w:cs="Segoe UI"/>
                    <w:sz w:val="14"/>
                    <w:szCs w:val="14"/>
                    <w:lang w:val="en-GB" w:eastAsia="it-IT"/>
                  </w:rPr>
                </w:pPr>
              </w:p>
            </w:tc>
          </w:tr>
          <w:tr w:rsidR="00B81C2F" w:rsidRPr="000B18D4" w14:paraId="0B33DE9A" w14:textId="77777777" w:rsidTr="0065521D">
            <w:trPr>
              <w:cantSplit/>
              <w:trHeight w:val="397"/>
              <w:jc w:val="center"/>
            </w:trPr>
            <w:tc>
              <w:tcPr>
                <w:tcW w:w="318" w:type="pct"/>
                <w:vMerge w:val="restart"/>
                <w:shd w:val="clear" w:color="auto" w:fill="FFFFFF" w:themeFill="background2"/>
                <w:textDirection w:val="btLr"/>
                <w:vAlign w:val="center"/>
              </w:tcPr>
              <w:p w14:paraId="6E12BFFF" w14:textId="0E4709AA" w:rsidR="00B81C2F" w:rsidRPr="000B18D4" w:rsidRDefault="00B81C2F" w:rsidP="00F1637C">
                <w:pPr>
                  <w:spacing w:before="0" w:line="240" w:lineRule="auto"/>
                  <w:ind w:left="113" w:right="113"/>
                  <w:jc w:val="center"/>
                  <w:rPr>
                    <w:rFonts w:eastAsia="Times New Roman" w:cs="Segoe UI"/>
                    <w:b/>
                    <w:bCs/>
                    <w:sz w:val="14"/>
                    <w:szCs w:val="14"/>
                    <w:lang w:val="en-GB" w:eastAsia="it-IT"/>
                  </w:rPr>
                </w:pPr>
                <w:r w:rsidRPr="000B18D4">
                  <w:rPr>
                    <w:rFonts w:eastAsia="Times New Roman" w:cs="Segoe UI"/>
                    <w:b/>
                    <w:bCs/>
                    <w:sz w:val="14"/>
                    <w:szCs w:val="14"/>
                    <w:lang w:val="en-GB" w:eastAsia="it-IT"/>
                  </w:rPr>
                  <w:t>SOLVENCY</w:t>
                </w:r>
              </w:p>
            </w:tc>
            <w:tc>
              <w:tcPr>
                <w:tcW w:w="719" w:type="pct"/>
                <w:shd w:val="clear" w:color="auto" w:fill="FFFFFF" w:themeFill="background2"/>
                <w:vAlign w:val="center"/>
              </w:tcPr>
              <w:p w14:paraId="313250EE" w14:textId="06915E07" w:rsidR="00B81C2F" w:rsidRPr="000B18D4" w:rsidRDefault="00B81C2F" w:rsidP="00F1637C">
                <w:pPr>
                  <w:spacing w:before="0" w:line="240" w:lineRule="auto"/>
                  <w:jc w:val="center"/>
                  <w:rPr>
                    <w:rFonts w:eastAsia="Times New Roman" w:cs="Segoe UI"/>
                    <w:b/>
                    <w:bCs/>
                    <w:sz w:val="14"/>
                    <w:szCs w:val="14"/>
                    <w:lang w:val="en-GB" w:eastAsia="it-IT"/>
                  </w:rPr>
                </w:pPr>
                <w:r w:rsidRPr="000B18D4">
                  <w:rPr>
                    <w:rFonts w:cs="Segoe UI"/>
                    <w:b/>
                    <w:bCs/>
                    <w:sz w:val="14"/>
                    <w:szCs w:val="14"/>
                    <w:lang w:eastAsia="it-IT"/>
                  </w:rPr>
                  <w:t>B1.1</w:t>
                </w:r>
              </w:p>
            </w:tc>
            <w:tc>
              <w:tcPr>
                <w:tcW w:w="369" w:type="pct"/>
                <w:shd w:val="clear" w:color="auto" w:fill="FFFFFF" w:themeFill="background2"/>
                <w:tcMar>
                  <w:top w:w="60" w:type="dxa"/>
                  <w:left w:w="114" w:type="dxa"/>
                  <w:bottom w:w="60" w:type="dxa"/>
                  <w:right w:w="114" w:type="dxa"/>
                </w:tcMar>
                <w:vAlign w:val="center"/>
              </w:tcPr>
              <w:p w14:paraId="1E1D1BED" w14:textId="2A615293"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0</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23%</w:t>
                </w:r>
              </w:p>
            </w:tc>
            <w:tc>
              <w:tcPr>
                <w:tcW w:w="719" w:type="pct"/>
                <w:shd w:val="clear" w:color="auto" w:fill="FFFFFF" w:themeFill="background2"/>
                <w:tcMar>
                  <w:top w:w="60" w:type="dxa"/>
                  <w:left w:w="114" w:type="dxa"/>
                  <w:bottom w:w="60" w:type="dxa"/>
                  <w:right w:w="114" w:type="dxa"/>
                </w:tcMar>
                <w:vAlign w:val="center"/>
              </w:tcPr>
              <w:p w14:paraId="5DC51495" w14:textId="6E19095D"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0</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65%</w:t>
                </w:r>
              </w:p>
            </w:tc>
            <w:tc>
              <w:tcPr>
                <w:tcW w:w="721" w:type="pct"/>
                <w:shd w:val="clear" w:color="auto" w:fill="FFFFFF" w:themeFill="background2"/>
                <w:tcMar>
                  <w:top w:w="60" w:type="dxa"/>
                  <w:left w:w="114" w:type="dxa"/>
                  <w:bottom w:w="60" w:type="dxa"/>
                  <w:right w:w="114" w:type="dxa"/>
                </w:tcMar>
                <w:vAlign w:val="center"/>
              </w:tcPr>
              <w:p w14:paraId="6CB38EE3" w14:textId="13F70B5F"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1</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27%</w:t>
                </w:r>
              </w:p>
            </w:tc>
            <w:tc>
              <w:tcPr>
                <w:tcW w:w="719" w:type="pct"/>
                <w:shd w:val="clear" w:color="auto" w:fill="FFFFFF" w:themeFill="background2"/>
                <w:vAlign w:val="center"/>
              </w:tcPr>
              <w:p w14:paraId="3F7D96D9" w14:textId="3B4C71E6"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2</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04%</w:t>
                </w:r>
              </w:p>
            </w:tc>
            <w:tc>
              <w:tcPr>
                <w:tcW w:w="719" w:type="pct"/>
                <w:shd w:val="clear" w:color="auto" w:fill="FFFFFF" w:themeFill="background2"/>
                <w:vAlign w:val="center"/>
              </w:tcPr>
              <w:p w14:paraId="5010CA63" w14:textId="4CDE5038"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2</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92%</w:t>
                </w:r>
              </w:p>
            </w:tc>
            <w:tc>
              <w:tcPr>
                <w:tcW w:w="716" w:type="pct"/>
                <w:gridSpan w:val="2"/>
                <w:vMerge/>
                <w:shd w:val="clear" w:color="auto" w:fill="FFFFFF" w:themeFill="background2"/>
                <w:vAlign w:val="center"/>
              </w:tcPr>
              <w:p w14:paraId="2F3123B7" w14:textId="49E1B81B" w:rsidR="00B81C2F" w:rsidRPr="000B18D4" w:rsidRDefault="00B81C2F" w:rsidP="00F1637C">
                <w:pPr>
                  <w:spacing w:before="0" w:line="240" w:lineRule="auto"/>
                  <w:jc w:val="center"/>
                  <w:rPr>
                    <w:rFonts w:eastAsia="Times New Roman" w:cs="Segoe UI"/>
                    <w:sz w:val="14"/>
                    <w:szCs w:val="14"/>
                    <w:lang w:val="en-GB" w:eastAsia="it-IT"/>
                  </w:rPr>
                </w:pPr>
              </w:p>
            </w:tc>
          </w:tr>
          <w:tr w:rsidR="00B81C2F" w:rsidRPr="000B18D4" w14:paraId="7C999644" w14:textId="77777777" w:rsidTr="0065521D">
            <w:trPr>
              <w:cantSplit/>
              <w:trHeight w:val="397"/>
              <w:jc w:val="center"/>
            </w:trPr>
            <w:tc>
              <w:tcPr>
                <w:tcW w:w="318" w:type="pct"/>
                <w:vMerge/>
                <w:shd w:val="clear" w:color="auto" w:fill="FFFFFF" w:themeFill="background2"/>
                <w:vAlign w:val="center"/>
              </w:tcPr>
              <w:p w14:paraId="09171CCE" w14:textId="77777777" w:rsidR="00B81C2F" w:rsidRPr="000B18D4" w:rsidRDefault="00B81C2F" w:rsidP="00F1637C">
                <w:pPr>
                  <w:spacing w:before="0" w:line="240" w:lineRule="auto"/>
                  <w:jc w:val="center"/>
                  <w:rPr>
                    <w:rFonts w:eastAsia="Times New Roman" w:cs="Segoe UI"/>
                    <w:b/>
                    <w:bCs/>
                    <w:sz w:val="14"/>
                    <w:szCs w:val="14"/>
                    <w:lang w:val="en-GB" w:eastAsia="it-IT"/>
                  </w:rPr>
                </w:pPr>
              </w:p>
            </w:tc>
            <w:tc>
              <w:tcPr>
                <w:tcW w:w="719" w:type="pct"/>
                <w:shd w:val="clear" w:color="auto" w:fill="FFFFFF" w:themeFill="background2"/>
                <w:vAlign w:val="center"/>
              </w:tcPr>
              <w:p w14:paraId="045C350D" w14:textId="11D0DFCE" w:rsidR="00B81C2F" w:rsidRPr="000B18D4" w:rsidRDefault="00B81C2F" w:rsidP="00F1637C">
                <w:pPr>
                  <w:spacing w:before="0" w:line="240" w:lineRule="auto"/>
                  <w:jc w:val="center"/>
                  <w:rPr>
                    <w:rFonts w:eastAsia="Times New Roman" w:cs="Segoe UI"/>
                    <w:b/>
                    <w:bCs/>
                    <w:sz w:val="14"/>
                    <w:szCs w:val="14"/>
                    <w:lang w:val="en-GB" w:eastAsia="it-IT"/>
                  </w:rPr>
                </w:pPr>
                <w:r w:rsidRPr="000B18D4">
                  <w:rPr>
                    <w:rFonts w:cs="Segoe UI"/>
                    <w:b/>
                    <w:bCs/>
                    <w:sz w:val="14"/>
                    <w:szCs w:val="14"/>
                    <w:lang w:eastAsia="it-IT"/>
                  </w:rPr>
                  <w:t>B1.2</w:t>
                </w:r>
              </w:p>
            </w:tc>
            <w:tc>
              <w:tcPr>
                <w:tcW w:w="369" w:type="pct"/>
                <w:shd w:val="clear" w:color="auto" w:fill="FFFFFF" w:themeFill="background2"/>
                <w:tcMar>
                  <w:top w:w="60" w:type="dxa"/>
                  <w:left w:w="114" w:type="dxa"/>
                  <w:bottom w:w="60" w:type="dxa"/>
                  <w:right w:w="114" w:type="dxa"/>
                </w:tcMar>
                <w:vAlign w:val="center"/>
              </w:tcPr>
              <w:p w14:paraId="5FEF797C" w14:textId="4570E92D"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0</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56%</w:t>
                </w:r>
              </w:p>
            </w:tc>
            <w:tc>
              <w:tcPr>
                <w:tcW w:w="719" w:type="pct"/>
                <w:shd w:val="clear" w:color="auto" w:fill="FFFFFF" w:themeFill="background2"/>
                <w:tcMar>
                  <w:top w:w="60" w:type="dxa"/>
                  <w:left w:w="114" w:type="dxa"/>
                  <w:bottom w:w="60" w:type="dxa"/>
                  <w:right w:w="114" w:type="dxa"/>
                </w:tcMar>
                <w:vAlign w:val="center"/>
              </w:tcPr>
              <w:p w14:paraId="01146517" w14:textId="12A7A987"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1</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46%</w:t>
                </w:r>
              </w:p>
            </w:tc>
            <w:tc>
              <w:tcPr>
                <w:tcW w:w="721" w:type="pct"/>
                <w:shd w:val="clear" w:color="auto" w:fill="FFFFFF" w:themeFill="background2"/>
                <w:tcMar>
                  <w:top w:w="60" w:type="dxa"/>
                  <w:left w:w="114" w:type="dxa"/>
                  <w:bottom w:w="60" w:type="dxa"/>
                  <w:right w:w="114" w:type="dxa"/>
                </w:tcMar>
                <w:vAlign w:val="center"/>
              </w:tcPr>
              <w:p w14:paraId="0676CB12" w14:textId="5CE83197"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2</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59%</w:t>
                </w:r>
              </w:p>
            </w:tc>
            <w:tc>
              <w:tcPr>
                <w:tcW w:w="719" w:type="pct"/>
                <w:shd w:val="clear" w:color="auto" w:fill="FFFFFF" w:themeFill="background2"/>
                <w:vAlign w:val="center"/>
              </w:tcPr>
              <w:p w14:paraId="16592F5C" w14:textId="2D371493"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3</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95%</w:t>
                </w:r>
              </w:p>
            </w:tc>
            <w:tc>
              <w:tcPr>
                <w:tcW w:w="719" w:type="pct"/>
                <w:shd w:val="clear" w:color="auto" w:fill="FFFFFF" w:themeFill="background2"/>
                <w:vAlign w:val="center"/>
              </w:tcPr>
              <w:p w14:paraId="767A95C6" w14:textId="355684CE"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5</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46%</w:t>
                </w:r>
              </w:p>
            </w:tc>
            <w:tc>
              <w:tcPr>
                <w:tcW w:w="716" w:type="pct"/>
                <w:gridSpan w:val="2"/>
                <w:vMerge/>
                <w:shd w:val="clear" w:color="auto" w:fill="FFFFFF" w:themeFill="background2"/>
                <w:vAlign w:val="center"/>
              </w:tcPr>
              <w:p w14:paraId="57D0B416" w14:textId="7360B148" w:rsidR="00B81C2F" w:rsidRPr="000B18D4" w:rsidRDefault="00B81C2F" w:rsidP="00F1637C">
                <w:pPr>
                  <w:spacing w:before="0" w:line="240" w:lineRule="auto"/>
                  <w:jc w:val="center"/>
                  <w:rPr>
                    <w:rFonts w:eastAsia="Times New Roman" w:cs="Segoe UI"/>
                    <w:sz w:val="14"/>
                    <w:szCs w:val="14"/>
                    <w:lang w:val="en-GB" w:eastAsia="it-IT"/>
                  </w:rPr>
                </w:pPr>
              </w:p>
            </w:tc>
          </w:tr>
          <w:tr w:rsidR="00B81C2F" w:rsidRPr="000B18D4" w14:paraId="1601C202" w14:textId="77777777" w:rsidTr="0065521D">
            <w:trPr>
              <w:cantSplit/>
              <w:trHeight w:val="397"/>
              <w:jc w:val="center"/>
            </w:trPr>
            <w:tc>
              <w:tcPr>
                <w:tcW w:w="318" w:type="pct"/>
                <w:vMerge w:val="restart"/>
                <w:shd w:val="clear" w:color="auto" w:fill="FFFFFF" w:themeFill="background2"/>
                <w:textDirection w:val="btLr"/>
                <w:vAlign w:val="center"/>
              </w:tcPr>
              <w:p w14:paraId="7A481AE2" w14:textId="29DFBCE1" w:rsidR="00B81C2F" w:rsidRPr="000B18D4" w:rsidRDefault="00B81C2F" w:rsidP="00F1637C">
                <w:pPr>
                  <w:spacing w:before="0" w:line="240" w:lineRule="auto"/>
                  <w:ind w:left="113" w:right="113"/>
                  <w:jc w:val="center"/>
                  <w:rPr>
                    <w:rFonts w:eastAsia="Times New Roman" w:cs="Segoe UI"/>
                    <w:b/>
                    <w:bCs/>
                    <w:sz w:val="14"/>
                    <w:szCs w:val="14"/>
                    <w:lang w:val="en-GB" w:eastAsia="it-IT"/>
                  </w:rPr>
                </w:pPr>
                <w:r w:rsidRPr="000B18D4">
                  <w:rPr>
                    <w:rFonts w:eastAsia="Times New Roman" w:cs="Segoe UI"/>
                    <w:b/>
                    <w:bCs/>
                    <w:sz w:val="14"/>
                    <w:szCs w:val="14"/>
                    <w:lang w:val="en-GB" w:eastAsia="it-IT"/>
                  </w:rPr>
                  <w:t>VULNERABILITY</w:t>
                </w:r>
              </w:p>
            </w:tc>
            <w:tc>
              <w:tcPr>
                <w:tcW w:w="719" w:type="pct"/>
                <w:shd w:val="clear" w:color="auto" w:fill="FFFFFF" w:themeFill="background2"/>
                <w:vAlign w:val="center"/>
              </w:tcPr>
              <w:p w14:paraId="4C461463" w14:textId="15268A3A" w:rsidR="00B81C2F" w:rsidRPr="000B18D4" w:rsidRDefault="00B81C2F" w:rsidP="00F1637C">
                <w:pPr>
                  <w:spacing w:before="0" w:line="240" w:lineRule="auto"/>
                  <w:jc w:val="center"/>
                  <w:rPr>
                    <w:rFonts w:eastAsia="Times New Roman" w:cs="Segoe UI"/>
                    <w:b/>
                    <w:bCs/>
                    <w:sz w:val="14"/>
                    <w:szCs w:val="14"/>
                    <w:lang w:val="en-GB" w:eastAsia="it-IT"/>
                  </w:rPr>
                </w:pPr>
                <w:r w:rsidRPr="000B18D4">
                  <w:rPr>
                    <w:rFonts w:cs="Segoe UI"/>
                    <w:b/>
                    <w:bCs/>
                    <w:sz w:val="14"/>
                    <w:szCs w:val="14"/>
                    <w:lang w:eastAsia="it-IT"/>
                  </w:rPr>
                  <w:t>B2.1</w:t>
                </w:r>
              </w:p>
            </w:tc>
            <w:tc>
              <w:tcPr>
                <w:tcW w:w="369" w:type="pct"/>
                <w:shd w:val="clear" w:color="auto" w:fill="FFFFFF" w:themeFill="background2"/>
                <w:tcMar>
                  <w:top w:w="60" w:type="dxa"/>
                  <w:left w:w="114" w:type="dxa"/>
                  <w:bottom w:w="60" w:type="dxa"/>
                  <w:right w:w="114" w:type="dxa"/>
                </w:tcMar>
                <w:vAlign w:val="center"/>
              </w:tcPr>
              <w:p w14:paraId="2B26AC96" w14:textId="34C2AE9F"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1</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25%</w:t>
                </w:r>
              </w:p>
            </w:tc>
            <w:tc>
              <w:tcPr>
                <w:tcW w:w="719" w:type="pct"/>
                <w:shd w:val="clear" w:color="auto" w:fill="FFFFFF" w:themeFill="background2"/>
                <w:tcMar>
                  <w:top w:w="60" w:type="dxa"/>
                  <w:left w:w="114" w:type="dxa"/>
                  <w:bottom w:w="60" w:type="dxa"/>
                  <w:right w:w="114" w:type="dxa"/>
                </w:tcMar>
                <w:vAlign w:val="center"/>
              </w:tcPr>
              <w:p w14:paraId="05B7AFF7" w14:textId="631095A2"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3</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14%</w:t>
                </w:r>
              </w:p>
            </w:tc>
            <w:tc>
              <w:tcPr>
                <w:tcW w:w="721" w:type="pct"/>
                <w:shd w:val="clear" w:color="auto" w:fill="FFFFFF" w:themeFill="background2"/>
                <w:tcMar>
                  <w:top w:w="60" w:type="dxa"/>
                  <w:left w:w="114" w:type="dxa"/>
                  <w:bottom w:w="60" w:type="dxa"/>
                  <w:right w:w="114" w:type="dxa"/>
                </w:tcMar>
                <w:vAlign w:val="center"/>
              </w:tcPr>
              <w:p w14:paraId="72E6566B" w14:textId="2C7DE88F"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5</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19%</w:t>
                </w:r>
              </w:p>
            </w:tc>
            <w:tc>
              <w:tcPr>
                <w:tcW w:w="719" w:type="pct"/>
                <w:shd w:val="clear" w:color="auto" w:fill="FFFFFF" w:themeFill="background2"/>
                <w:vAlign w:val="center"/>
              </w:tcPr>
              <w:p w14:paraId="098E2FD9" w14:textId="066EDF87"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7</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68%</w:t>
                </w:r>
              </w:p>
            </w:tc>
            <w:tc>
              <w:tcPr>
                <w:tcW w:w="719" w:type="pct"/>
                <w:shd w:val="clear" w:color="auto" w:fill="FFFFFF" w:themeFill="background2"/>
                <w:vAlign w:val="center"/>
              </w:tcPr>
              <w:p w14:paraId="2ECE5DBE" w14:textId="2112D8E3"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10</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19%</w:t>
                </w:r>
              </w:p>
            </w:tc>
            <w:tc>
              <w:tcPr>
                <w:tcW w:w="716" w:type="pct"/>
                <w:gridSpan w:val="2"/>
                <w:vMerge w:val="restart"/>
                <w:shd w:val="clear" w:color="auto" w:fill="FFFFFF" w:themeFill="background2"/>
                <w:textDirection w:val="tbRl"/>
                <w:vAlign w:val="center"/>
              </w:tcPr>
              <w:p w14:paraId="3DEF078F" w14:textId="16F3B1D7" w:rsidR="00B81C2F" w:rsidRPr="000B18D4" w:rsidRDefault="00B81C2F" w:rsidP="00F1637C">
                <w:pPr>
                  <w:spacing w:before="0" w:line="240" w:lineRule="auto"/>
                  <w:ind w:left="113" w:right="113"/>
                  <w:jc w:val="center"/>
                  <w:rPr>
                    <w:rFonts w:eastAsia="Times New Roman" w:cs="Segoe UI"/>
                    <w:b/>
                    <w:bCs/>
                    <w:sz w:val="14"/>
                    <w:szCs w:val="14"/>
                    <w:lang w:val="en-GB" w:eastAsia="it-IT"/>
                  </w:rPr>
                </w:pPr>
                <w:r w:rsidRPr="000B18D4">
                  <w:rPr>
                    <w:rFonts w:eastAsia="Times New Roman" w:cs="Segoe UI"/>
                    <w:b/>
                    <w:bCs/>
                    <w:sz w:val="14"/>
                    <w:szCs w:val="14"/>
                    <w:lang w:val="en-GB" w:eastAsia="it-IT"/>
                  </w:rPr>
                  <w:t>SPECULATIVE GRADE</w:t>
                </w:r>
              </w:p>
            </w:tc>
          </w:tr>
          <w:tr w:rsidR="00B81C2F" w:rsidRPr="000B18D4" w14:paraId="4CDDF77F" w14:textId="77777777" w:rsidTr="0065521D">
            <w:trPr>
              <w:cantSplit/>
              <w:trHeight w:val="397"/>
              <w:jc w:val="center"/>
            </w:trPr>
            <w:tc>
              <w:tcPr>
                <w:tcW w:w="318" w:type="pct"/>
                <w:vMerge/>
                <w:shd w:val="clear" w:color="auto" w:fill="FFFFFF" w:themeFill="background2"/>
                <w:vAlign w:val="center"/>
              </w:tcPr>
              <w:p w14:paraId="3FFC81F9" w14:textId="77777777" w:rsidR="00B81C2F" w:rsidRPr="000B18D4" w:rsidRDefault="00B81C2F" w:rsidP="00F1637C">
                <w:pPr>
                  <w:spacing w:before="0" w:line="240" w:lineRule="auto"/>
                  <w:jc w:val="center"/>
                  <w:rPr>
                    <w:rFonts w:eastAsia="Times New Roman" w:cs="Segoe UI"/>
                    <w:b/>
                    <w:bCs/>
                    <w:sz w:val="14"/>
                    <w:szCs w:val="14"/>
                    <w:lang w:val="en-GB" w:eastAsia="it-IT"/>
                  </w:rPr>
                </w:pPr>
              </w:p>
            </w:tc>
            <w:tc>
              <w:tcPr>
                <w:tcW w:w="719" w:type="pct"/>
                <w:shd w:val="clear" w:color="auto" w:fill="FFFFFF" w:themeFill="background2"/>
                <w:vAlign w:val="center"/>
              </w:tcPr>
              <w:p w14:paraId="7654CCAB" w14:textId="029182E1" w:rsidR="00B81C2F" w:rsidRPr="000B18D4" w:rsidRDefault="00B81C2F" w:rsidP="00F1637C">
                <w:pPr>
                  <w:spacing w:before="0" w:line="240" w:lineRule="auto"/>
                  <w:jc w:val="center"/>
                  <w:rPr>
                    <w:rFonts w:eastAsia="Times New Roman" w:cs="Segoe UI"/>
                    <w:b/>
                    <w:bCs/>
                    <w:sz w:val="14"/>
                    <w:szCs w:val="14"/>
                    <w:lang w:val="en-GB" w:eastAsia="it-IT"/>
                  </w:rPr>
                </w:pPr>
                <w:r w:rsidRPr="000B18D4">
                  <w:rPr>
                    <w:rFonts w:cs="Segoe UI"/>
                    <w:b/>
                    <w:bCs/>
                    <w:sz w:val="14"/>
                    <w:szCs w:val="14"/>
                    <w:lang w:eastAsia="it-IT"/>
                  </w:rPr>
                  <w:t>B2.2</w:t>
                </w:r>
              </w:p>
            </w:tc>
            <w:tc>
              <w:tcPr>
                <w:tcW w:w="369" w:type="pct"/>
                <w:shd w:val="clear" w:color="auto" w:fill="FFFFFF" w:themeFill="background2"/>
                <w:tcMar>
                  <w:top w:w="60" w:type="dxa"/>
                  <w:left w:w="114" w:type="dxa"/>
                  <w:bottom w:w="60" w:type="dxa"/>
                  <w:right w:w="114" w:type="dxa"/>
                </w:tcMar>
                <w:vAlign w:val="center"/>
              </w:tcPr>
              <w:p w14:paraId="5C7C7E06" w14:textId="7899088A"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2</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73%</w:t>
                </w:r>
              </w:p>
            </w:tc>
            <w:tc>
              <w:tcPr>
                <w:tcW w:w="719" w:type="pct"/>
                <w:shd w:val="clear" w:color="auto" w:fill="FFFFFF" w:themeFill="background2"/>
                <w:tcMar>
                  <w:top w:w="60" w:type="dxa"/>
                  <w:left w:w="114" w:type="dxa"/>
                  <w:bottom w:w="60" w:type="dxa"/>
                  <w:right w:w="114" w:type="dxa"/>
                </w:tcMar>
                <w:vAlign w:val="center"/>
              </w:tcPr>
              <w:p w14:paraId="2EFB87F8" w14:textId="19AC2DD2"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6</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04%</w:t>
                </w:r>
              </w:p>
            </w:tc>
            <w:tc>
              <w:tcPr>
                <w:tcW w:w="721" w:type="pct"/>
                <w:shd w:val="clear" w:color="auto" w:fill="FFFFFF" w:themeFill="background2"/>
                <w:tcMar>
                  <w:top w:w="60" w:type="dxa"/>
                  <w:left w:w="114" w:type="dxa"/>
                  <w:bottom w:w="60" w:type="dxa"/>
                  <w:right w:w="114" w:type="dxa"/>
                </w:tcMar>
                <w:vAlign w:val="center"/>
              </w:tcPr>
              <w:p w14:paraId="029BFC21" w14:textId="60454D48"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9</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61%</w:t>
                </w:r>
              </w:p>
            </w:tc>
            <w:tc>
              <w:tcPr>
                <w:tcW w:w="719" w:type="pct"/>
                <w:shd w:val="clear" w:color="auto" w:fill="FFFFFF" w:themeFill="background2"/>
                <w:vAlign w:val="center"/>
              </w:tcPr>
              <w:p w14:paraId="352438F5" w14:textId="2815761F"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13</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46%</w:t>
                </w:r>
              </w:p>
            </w:tc>
            <w:tc>
              <w:tcPr>
                <w:tcW w:w="719" w:type="pct"/>
                <w:shd w:val="clear" w:color="auto" w:fill="FFFFFF" w:themeFill="background2"/>
                <w:vAlign w:val="center"/>
              </w:tcPr>
              <w:p w14:paraId="49A9E6F9" w14:textId="615221BD"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16</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80%</w:t>
                </w:r>
              </w:p>
            </w:tc>
            <w:tc>
              <w:tcPr>
                <w:tcW w:w="716" w:type="pct"/>
                <w:gridSpan w:val="2"/>
                <w:vMerge/>
                <w:shd w:val="clear" w:color="auto" w:fill="FFFFFF" w:themeFill="background2"/>
                <w:vAlign w:val="center"/>
              </w:tcPr>
              <w:p w14:paraId="160EB261" w14:textId="0244C254" w:rsidR="00B81C2F" w:rsidRPr="000B18D4" w:rsidRDefault="00B81C2F" w:rsidP="00F1637C">
                <w:pPr>
                  <w:spacing w:before="0" w:line="240" w:lineRule="auto"/>
                  <w:jc w:val="center"/>
                  <w:rPr>
                    <w:rFonts w:eastAsia="Times New Roman" w:cs="Segoe UI"/>
                    <w:sz w:val="14"/>
                    <w:szCs w:val="14"/>
                    <w:lang w:val="en-GB" w:eastAsia="it-IT"/>
                  </w:rPr>
                </w:pPr>
              </w:p>
            </w:tc>
          </w:tr>
          <w:tr w:rsidR="00B81C2F" w:rsidRPr="000B18D4" w14:paraId="012EB991" w14:textId="77777777" w:rsidTr="0065521D">
            <w:trPr>
              <w:cantSplit/>
              <w:trHeight w:val="397"/>
              <w:jc w:val="center"/>
            </w:trPr>
            <w:tc>
              <w:tcPr>
                <w:tcW w:w="318" w:type="pct"/>
                <w:vMerge w:val="restart"/>
                <w:shd w:val="clear" w:color="auto" w:fill="FFFFFF" w:themeFill="background2"/>
                <w:textDirection w:val="btLr"/>
                <w:vAlign w:val="center"/>
              </w:tcPr>
              <w:p w14:paraId="574CAF08" w14:textId="36CEE621" w:rsidR="00B81C2F" w:rsidRPr="000B18D4" w:rsidRDefault="00B81C2F" w:rsidP="00F1637C">
                <w:pPr>
                  <w:spacing w:before="0" w:line="240" w:lineRule="auto"/>
                  <w:ind w:left="113" w:right="113"/>
                  <w:jc w:val="center"/>
                  <w:rPr>
                    <w:rFonts w:eastAsia="Times New Roman" w:cs="Segoe UI"/>
                    <w:b/>
                    <w:bCs/>
                    <w:sz w:val="14"/>
                    <w:szCs w:val="14"/>
                    <w:lang w:val="en-GB" w:eastAsia="it-IT"/>
                  </w:rPr>
                </w:pPr>
                <w:r w:rsidRPr="000B18D4">
                  <w:rPr>
                    <w:rFonts w:eastAsia="Times New Roman" w:cs="Segoe UI"/>
                    <w:b/>
                    <w:bCs/>
                    <w:sz w:val="14"/>
                    <w:szCs w:val="14"/>
                    <w:lang w:val="en-GB" w:eastAsia="it-IT"/>
                  </w:rPr>
                  <w:t>RISK</w:t>
                </w:r>
              </w:p>
            </w:tc>
            <w:tc>
              <w:tcPr>
                <w:tcW w:w="719" w:type="pct"/>
                <w:shd w:val="clear" w:color="auto" w:fill="FFFFFF" w:themeFill="background2"/>
                <w:vAlign w:val="center"/>
              </w:tcPr>
              <w:p w14:paraId="376BDBAA" w14:textId="2356A0DF" w:rsidR="00B81C2F" w:rsidRPr="000B18D4" w:rsidRDefault="00B81C2F" w:rsidP="00F1637C">
                <w:pPr>
                  <w:spacing w:before="0" w:line="240" w:lineRule="auto"/>
                  <w:jc w:val="center"/>
                  <w:rPr>
                    <w:rFonts w:eastAsia="Times New Roman" w:cs="Segoe UI"/>
                    <w:b/>
                    <w:bCs/>
                    <w:sz w:val="14"/>
                    <w:szCs w:val="14"/>
                    <w:lang w:val="en-GB" w:eastAsia="it-IT"/>
                  </w:rPr>
                </w:pPr>
                <w:r w:rsidRPr="000B18D4">
                  <w:rPr>
                    <w:rFonts w:cs="Segoe UI"/>
                    <w:b/>
                    <w:bCs/>
                    <w:sz w:val="14"/>
                    <w:szCs w:val="14"/>
                    <w:lang w:eastAsia="it-IT"/>
                  </w:rPr>
                  <w:t>C1.1</w:t>
                </w:r>
              </w:p>
            </w:tc>
            <w:tc>
              <w:tcPr>
                <w:tcW w:w="369" w:type="pct"/>
                <w:shd w:val="clear" w:color="auto" w:fill="FFFFFF" w:themeFill="background2"/>
                <w:tcMar>
                  <w:top w:w="60" w:type="dxa"/>
                  <w:left w:w="114" w:type="dxa"/>
                  <w:bottom w:w="60" w:type="dxa"/>
                  <w:right w:w="114" w:type="dxa"/>
                </w:tcMar>
                <w:vAlign w:val="center"/>
              </w:tcPr>
              <w:p w14:paraId="7A6CAF2E" w14:textId="45BCE863"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6</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02%</w:t>
                </w:r>
              </w:p>
            </w:tc>
            <w:tc>
              <w:tcPr>
                <w:tcW w:w="719" w:type="pct"/>
                <w:shd w:val="clear" w:color="auto" w:fill="FFFFFF" w:themeFill="background2"/>
                <w:tcMar>
                  <w:top w:w="60" w:type="dxa"/>
                  <w:left w:w="114" w:type="dxa"/>
                  <w:bottom w:w="60" w:type="dxa"/>
                  <w:right w:w="114" w:type="dxa"/>
                </w:tcMar>
                <w:vAlign w:val="center"/>
              </w:tcPr>
              <w:p w14:paraId="36897511" w14:textId="63AE4A66"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11</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76%</w:t>
                </w:r>
              </w:p>
            </w:tc>
            <w:tc>
              <w:tcPr>
                <w:tcW w:w="721" w:type="pct"/>
                <w:shd w:val="clear" w:color="auto" w:fill="FFFFFF" w:themeFill="background2"/>
                <w:tcMar>
                  <w:top w:w="60" w:type="dxa"/>
                  <w:left w:w="114" w:type="dxa"/>
                  <w:bottom w:w="60" w:type="dxa"/>
                  <w:right w:w="114" w:type="dxa"/>
                </w:tcMar>
                <w:vAlign w:val="center"/>
              </w:tcPr>
              <w:p w14:paraId="525CE2AB" w14:textId="4AC1F646"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17</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15%</w:t>
                </w:r>
              </w:p>
            </w:tc>
            <w:tc>
              <w:tcPr>
                <w:tcW w:w="719" w:type="pct"/>
                <w:shd w:val="clear" w:color="auto" w:fill="FFFFFF" w:themeFill="background2"/>
                <w:vAlign w:val="center"/>
              </w:tcPr>
              <w:p w14:paraId="50709DA0" w14:textId="57EB2F2B"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22</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27%</w:t>
                </w:r>
              </w:p>
            </w:tc>
            <w:tc>
              <w:tcPr>
                <w:tcW w:w="719" w:type="pct"/>
                <w:shd w:val="clear" w:color="auto" w:fill="FFFFFF" w:themeFill="background2"/>
                <w:vAlign w:val="center"/>
              </w:tcPr>
              <w:p w14:paraId="0B5BE55C" w14:textId="0B7D856F"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26</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40%</w:t>
                </w:r>
              </w:p>
            </w:tc>
            <w:tc>
              <w:tcPr>
                <w:tcW w:w="716" w:type="pct"/>
                <w:gridSpan w:val="2"/>
                <w:vMerge/>
                <w:shd w:val="clear" w:color="auto" w:fill="FFFFFF" w:themeFill="background2"/>
                <w:vAlign w:val="center"/>
              </w:tcPr>
              <w:p w14:paraId="5F7AB2EB" w14:textId="22DFCE42" w:rsidR="00B81C2F" w:rsidRPr="000B18D4" w:rsidRDefault="00B81C2F" w:rsidP="00F1637C">
                <w:pPr>
                  <w:spacing w:before="0" w:line="240" w:lineRule="auto"/>
                  <w:jc w:val="center"/>
                  <w:rPr>
                    <w:rFonts w:eastAsia="Times New Roman" w:cs="Segoe UI"/>
                    <w:sz w:val="14"/>
                    <w:szCs w:val="14"/>
                    <w:lang w:val="en-GB" w:eastAsia="it-IT"/>
                  </w:rPr>
                </w:pPr>
              </w:p>
            </w:tc>
          </w:tr>
          <w:tr w:rsidR="00B81C2F" w:rsidRPr="000B18D4" w14:paraId="2F94BCB9" w14:textId="77777777" w:rsidTr="0065521D">
            <w:trPr>
              <w:cantSplit/>
              <w:trHeight w:val="397"/>
              <w:jc w:val="center"/>
            </w:trPr>
            <w:tc>
              <w:tcPr>
                <w:tcW w:w="318" w:type="pct"/>
                <w:vMerge/>
                <w:shd w:val="clear" w:color="auto" w:fill="FFFFFF" w:themeFill="background2"/>
                <w:vAlign w:val="center"/>
              </w:tcPr>
              <w:p w14:paraId="3AC5202D" w14:textId="77777777" w:rsidR="00B81C2F" w:rsidRPr="000B18D4" w:rsidRDefault="00B81C2F" w:rsidP="00F1637C">
                <w:pPr>
                  <w:spacing w:before="0" w:line="240" w:lineRule="auto"/>
                  <w:jc w:val="center"/>
                  <w:rPr>
                    <w:rFonts w:eastAsia="Times New Roman" w:cs="Segoe UI"/>
                    <w:b/>
                    <w:bCs/>
                    <w:sz w:val="14"/>
                    <w:szCs w:val="14"/>
                    <w:lang w:val="en-GB" w:eastAsia="it-IT"/>
                  </w:rPr>
                </w:pPr>
              </w:p>
            </w:tc>
            <w:tc>
              <w:tcPr>
                <w:tcW w:w="719" w:type="pct"/>
                <w:shd w:val="clear" w:color="auto" w:fill="FFFFFF" w:themeFill="background2"/>
                <w:vAlign w:val="center"/>
              </w:tcPr>
              <w:p w14:paraId="3649ED5D" w14:textId="4D664828" w:rsidR="00B81C2F" w:rsidRPr="000B18D4" w:rsidRDefault="00B81C2F" w:rsidP="00F1637C">
                <w:pPr>
                  <w:spacing w:before="0" w:line="240" w:lineRule="auto"/>
                  <w:jc w:val="center"/>
                  <w:rPr>
                    <w:rFonts w:eastAsia="Times New Roman" w:cs="Segoe UI"/>
                    <w:b/>
                    <w:bCs/>
                    <w:sz w:val="14"/>
                    <w:szCs w:val="14"/>
                    <w:lang w:val="en-GB" w:eastAsia="it-IT"/>
                  </w:rPr>
                </w:pPr>
                <w:r w:rsidRPr="000B18D4">
                  <w:rPr>
                    <w:rFonts w:cs="Segoe UI"/>
                    <w:b/>
                    <w:bCs/>
                    <w:sz w:val="14"/>
                    <w:szCs w:val="14"/>
                    <w:lang w:eastAsia="it-IT"/>
                  </w:rPr>
                  <w:t>C1.2</w:t>
                </w:r>
              </w:p>
            </w:tc>
            <w:tc>
              <w:tcPr>
                <w:tcW w:w="369" w:type="pct"/>
                <w:shd w:val="clear" w:color="auto" w:fill="FFFFFF" w:themeFill="background2"/>
                <w:tcMar>
                  <w:top w:w="60" w:type="dxa"/>
                  <w:left w:w="114" w:type="dxa"/>
                  <w:bottom w:w="60" w:type="dxa"/>
                  <w:right w:w="114" w:type="dxa"/>
                </w:tcMar>
                <w:vAlign w:val="center"/>
              </w:tcPr>
              <w:p w14:paraId="78919B22" w14:textId="3E04378E"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13</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74%</w:t>
                </w:r>
              </w:p>
            </w:tc>
            <w:tc>
              <w:tcPr>
                <w:tcW w:w="719" w:type="pct"/>
                <w:shd w:val="clear" w:color="auto" w:fill="FFFFFF" w:themeFill="background2"/>
                <w:tcMar>
                  <w:top w:w="60" w:type="dxa"/>
                  <w:left w:w="114" w:type="dxa"/>
                  <w:bottom w:w="60" w:type="dxa"/>
                  <w:right w:w="114" w:type="dxa"/>
                </w:tcMar>
                <w:vAlign w:val="center"/>
              </w:tcPr>
              <w:p w14:paraId="04F94EAF" w14:textId="5DDA98B3"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21</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97%</w:t>
                </w:r>
              </w:p>
            </w:tc>
            <w:tc>
              <w:tcPr>
                <w:tcW w:w="721" w:type="pct"/>
                <w:shd w:val="clear" w:color="auto" w:fill="FFFFFF" w:themeFill="background2"/>
                <w:tcMar>
                  <w:top w:w="60" w:type="dxa"/>
                  <w:left w:w="114" w:type="dxa"/>
                  <w:bottom w:w="60" w:type="dxa"/>
                  <w:right w:w="114" w:type="dxa"/>
                </w:tcMar>
                <w:vAlign w:val="center"/>
              </w:tcPr>
              <w:p w14:paraId="6B4C3ACE" w14:textId="59D8C936"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28</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72%</w:t>
                </w:r>
              </w:p>
            </w:tc>
            <w:tc>
              <w:tcPr>
                <w:tcW w:w="719" w:type="pct"/>
                <w:shd w:val="clear" w:color="auto" w:fill="FFFFFF" w:themeFill="background2"/>
                <w:vAlign w:val="center"/>
              </w:tcPr>
              <w:p w14:paraId="6678E99E" w14:textId="1EE957D9"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34</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02%</w:t>
                </w:r>
              </w:p>
            </w:tc>
            <w:tc>
              <w:tcPr>
                <w:tcW w:w="719" w:type="pct"/>
                <w:shd w:val="clear" w:color="auto" w:fill="FFFFFF" w:themeFill="background2"/>
                <w:vAlign w:val="center"/>
              </w:tcPr>
              <w:p w14:paraId="47A74B1C" w14:textId="2509C694"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38</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56%</w:t>
                </w:r>
              </w:p>
            </w:tc>
            <w:tc>
              <w:tcPr>
                <w:tcW w:w="716" w:type="pct"/>
                <w:gridSpan w:val="2"/>
                <w:vMerge/>
                <w:shd w:val="clear" w:color="auto" w:fill="FFFFFF" w:themeFill="background2"/>
                <w:vAlign w:val="center"/>
              </w:tcPr>
              <w:p w14:paraId="77F93C8C" w14:textId="7EF8873A" w:rsidR="00B81C2F" w:rsidRPr="000B18D4" w:rsidRDefault="00B81C2F" w:rsidP="00F1637C">
                <w:pPr>
                  <w:spacing w:before="0" w:line="240" w:lineRule="auto"/>
                  <w:jc w:val="center"/>
                  <w:rPr>
                    <w:rFonts w:eastAsia="Times New Roman" w:cs="Segoe UI"/>
                    <w:sz w:val="14"/>
                    <w:szCs w:val="14"/>
                    <w:lang w:val="en-GB" w:eastAsia="it-IT"/>
                  </w:rPr>
                </w:pPr>
              </w:p>
            </w:tc>
          </w:tr>
          <w:tr w:rsidR="00B81C2F" w:rsidRPr="000B18D4" w14:paraId="38C6B494" w14:textId="77777777" w:rsidTr="0065521D">
            <w:trPr>
              <w:cantSplit/>
              <w:trHeight w:val="397"/>
              <w:jc w:val="center"/>
            </w:trPr>
            <w:tc>
              <w:tcPr>
                <w:tcW w:w="318" w:type="pct"/>
                <w:vMerge/>
                <w:shd w:val="clear" w:color="auto" w:fill="FFFFFF" w:themeFill="background2"/>
                <w:vAlign w:val="center"/>
              </w:tcPr>
              <w:p w14:paraId="41618ED3" w14:textId="77777777" w:rsidR="00B81C2F" w:rsidRPr="000B18D4" w:rsidRDefault="00B81C2F" w:rsidP="00F1637C">
                <w:pPr>
                  <w:spacing w:before="0" w:line="240" w:lineRule="auto"/>
                  <w:jc w:val="center"/>
                  <w:rPr>
                    <w:rFonts w:eastAsia="Times New Roman" w:cs="Segoe UI"/>
                    <w:b/>
                    <w:bCs/>
                    <w:sz w:val="14"/>
                    <w:szCs w:val="14"/>
                    <w:lang w:val="en-GB" w:eastAsia="it-IT"/>
                  </w:rPr>
                </w:pPr>
              </w:p>
            </w:tc>
            <w:tc>
              <w:tcPr>
                <w:tcW w:w="719" w:type="pct"/>
                <w:shd w:val="clear" w:color="auto" w:fill="FFFFFF" w:themeFill="background2"/>
                <w:vAlign w:val="center"/>
              </w:tcPr>
              <w:p w14:paraId="2CD9891D" w14:textId="67EAF966" w:rsidR="00B81C2F" w:rsidRPr="000B18D4" w:rsidRDefault="00B81C2F" w:rsidP="00F1637C">
                <w:pPr>
                  <w:spacing w:before="0" w:line="240" w:lineRule="auto"/>
                  <w:jc w:val="center"/>
                  <w:rPr>
                    <w:rFonts w:eastAsia="Times New Roman" w:cs="Segoe UI"/>
                    <w:b/>
                    <w:bCs/>
                    <w:sz w:val="14"/>
                    <w:szCs w:val="14"/>
                    <w:lang w:val="en-GB" w:eastAsia="it-IT"/>
                  </w:rPr>
                </w:pPr>
                <w:r w:rsidRPr="000B18D4">
                  <w:rPr>
                    <w:rFonts w:cs="Segoe UI"/>
                    <w:b/>
                    <w:bCs/>
                    <w:sz w:val="14"/>
                    <w:szCs w:val="14"/>
                    <w:lang w:eastAsia="it-IT"/>
                  </w:rPr>
                  <w:t>C2.1</w:t>
                </w:r>
              </w:p>
            </w:tc>
            <w:tc>
              <w:tcPr>
                <w:tcW w:w="369" w:type="pct"/>
                <w:shd w:val="clear" w:color="auto" w:fill="FFFFFF" w:themeFill="background2"/>
                <w:tcMar>
                  <w:top w:w="60" w:type="dxa"/>
                  <w:left w:w="114" w:type="dxa"/>
                  <w:bottom w:w="60" w:type="dxa"/>
                  <w:right w:w="114" w:type="dxa"/>
                </w:tcMar>
                <w:vAlign w:val="center"/>
              </w:tcPr>
              <w:p w14:paraId="7818D467" w14:textId="2DF621AD"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50</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19%</w:t>
                </w:r>
              </w:p>
            </w:tc>
            <w:tc>
              <w:tcPr>
                <w:tcW w:w="719" w:type="pct"/>
                <w:shd w:val="clear" w:color="auto" w:fill="FFFFFF" w:themeFill="background2"/>
                <w:tcMar>
                  <w:top w:w="60" w:type="dxa"/>
                  <w:left w:w="114" w:type="dxa"/>
                  <w:bottom w:w="60" w:type="dxa"/>
                  <w:right w:w="114" w:type="dxa"/>
                </w:tcMar>
                <w:vAlign w:val="center"/>
              </w:tcPr>
              <w:p w14:paraId="6B997365" w14:textId="20811631"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58</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38%</w:t>
                </w:r>
              </w:p>
            </w:tc>
            <w:tc>
              <w:tcPr>
                <w:tcW w:w="721" w:type="pct"/>
                <w:shd w:val="clear" w:color="auto" w:fill="FFFFFF" w:themeFill="background2"/>
                <w:tcMar>
                  <w:top w:w="60" w:type="dxa"/>
                  <w:left w:w="114" w:type="dxa"/>
                  <w:bottom w:w="60" w:type="dxa"/>
                  <w:right w:w="114" w:type="dxa"/>
                </w:tcMar>
                <w:vAlign w:val="center"/>
              </w:tcPr>
              <w:p w14:paraId="78ECCCD2" w14:textId="281554E8"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62</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87%</w:t>
                </w:r>
              </w:p>
            </w:tc>
            <w:tc>
              <w:tcPr>
                <w:tcW w:w="719" w:type="pct"/>
                <w:shd w:val="clear" w:color="auto" w:fill="FFFFFF" w:themeFill="background2"/>
                <w:vAlign w:val="center"/>
              </w:tcPr>
              <w:p w14:paraId="2F7A7A1E" w14:textId="6CF45AB4"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65</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80%</w:t>
                </w:r>
              </w:p>
            </w:tc>
            <w:tc>
              <w:tcPr>
                <w:tcW w:w="719" w:type="pct"/>
                <w:shd w:val="clear" w:color="auto" w:fill="FFFFFF" w:themeFill="background2"/>
                <w:vAlign w:val="center"/>
              </w:tcPr>
              <w:p w14:paraId="08ABA50C" w14:textId="7E1CECDC" w:rsidR="00B81C2F" w:rsidRPr="000B18D4" w:rsidRDefault="00B81C2F" w:rsidP="00F1637C">
                <w:pPr>
                  <w:spacing w:before="0" w:line="240" w:lineRule="auto"/>
                  <w:jc w:val="center"/>
                  <w:rPr>
                    <w:rFonts w:eastAsia="Times New Roman" w:cs="Segoe UI"/>
                    <w:sz w:val="14"/>
                    <w:szCs w:val="14"/>
                    <w:lang w:val="en-GB" w:eastAsia="it-IT"/>
                  </w:rPr>
                </w:pPr>
                <w:r w:rsidRPr="000B18D4">
                  <w:rPr>
                    <w:rFonts w:eastAsia="Times New Roman" w:cs="Segoe UI"/>
                    <w:sz w:val="14"/>
                    <w:szCs w:val="14"/>
                    <w:lang w:val="en-GB" w:eastAsia="it-IT"/>
                  </w:rPr>
                  <w:t>68</w:t>
                </w:r>
                <w:r w:rsidR="00B166CB" w:rsidRPr="000B18D4">
                  <w:rPr>
                    <w:rFonts w:eastAsia="Times New Roman" w:cs="Segoe UI"/>
                    <w:sz w:val="14"/>
                    <w:szCs w:val="14"/>
                    <w:lang w:val="en-GB" w:eastAsia="it-IT"/>
                  </w:rPr>
                  <w:t>.</w:t>
                </w:r>
                <w:r w:rsidRPr="000B18D4">
                  <w:rPr>
                    <w:rFonts w:eastAsia="Times New Roman" w:cs="Segoe UI"/>
                    <w:sz w:val="14"/>
                    <w:szCs w:val="14"/>
                    <w:lang w:val="en-GB" w:eastAsia="it-IT"/>
                  </w:rPr>
                  <w:t>19%</w:t>
                </w:r>
              </w:p>
            </w:tc>
            <w:tc>
              <w:tcPr>
                <w:tcW w:w="716" w:type="pct"/>
                <w:gridSpan w:val="2"/>
                <w:vMerge/>
                <w:shd w:val="clear" w:color="auto" w:fill="FFFFFF" w:themeFill="background2"/>
                <w:vAlign w:val="center"/>
              </w:tcPr>
              <w:p w14:paraId="3BE77029" w14:textId="1F68B754" w:rsidR="00B81C2F" w:rsidRPr="000B18D4" w:rsidRDefault="00B81C2F" w:rsidP="00F1637C">
                <w:pPr>
                  <w:spacing w:before="0" w:line="240" w:lineRule="auto"/>
                  <w:jc w:val="center"/>
                  <w:rPr>
                    <w:rFonts w:eastAsia="Times New Roman" w:cs="Segoe UI"/>
                    <w:sz w:val="14"/>
                    <w:szCs w:val="14"/>
                    <w:lang w:val="en-GB" w:eastAsia="it-IT"/>
                  </w:rPr>
                </w:pPr>
              </w:p>
            </w:tc>
          </w:tr>
          <w:tr w:rsidR="00605A67" w:rsidRPr="000B18D4" w14:paraId="2CA7030B" w14:textId="77777777" w:rsidTr="0065521D">
            <w:trPr>
              <w:cantSplit/>
              <w:trHeight w:val="397"/>
              <w:jc w:val="center"/>
            </w:trPr>
            <w:tc>
              <w:tcPr>
                <w:tcW w:w="318" w:type="pct"/>
                <w:shd w:val="clear" w:color="auto" w:fill="FFFFFF" w:themeFill="background2"/>
                <w:vAlign w:val="center"/>
              </w:tcPr>
              <w:p w14:paraId="4CB0960D" w14:textId="77777777" w:rsidR="00605A67" w:rsidRPr="000B18D4" w:rsidRDefault="00605A67" w:rsidP="00F1637C">
                <w:pPr>
                  <w:spacing w:before="0" w:line="240" w:lineRule="auto"/>
                  <w:jc w:val="center"/>
                  <w:rPr>
                    <w:rFonts w:eastAsia="Times New Roman" w:cs="Segoe UI"/>
                    <w:b/>
                    <w:bCs/>
                    <w:sz w:val="14"/>
                    <w:szCs w:val="14"/>
                    <w:lang w:val="en-GB" w:eastAsia="it-IT"/>
                  </w:rPr>
                </w:pPr>
              </w:p>
            </w:tc>
            <w:tc>
              <w:tcPr>
                <w:tcW w:w="719" w:type="pct"/>
                <w:shd w:val="clear" w:color="auto" w:fill="FFFFFF" w:themeFill="background2"/>
                <w:vAlign w:val="center"/>
              </w:tcPr>
              <w:p w14:paraId="206671A8" w14:textId="599AA935" w:rsidR="00605A67" w:rsidRPr="000B18D4" w:rsidRDefault="00605A67" w:rsidP="0065521D">
                <w:pPr>
                  <w:spacing w:before="0" w:line="240" w:lineRule="auto"/>
                  <w:rPr>
                    <w:rFonts w:eastAsia="Times New Roman" w:cs="Segoe UI"/>
                    <w:b/>
                    <w:bCs/>
                    <w:sz w:val="14"/>
                    <w:szCs w:val="14"/>
                    <w:lang w:val="en-GB" w:eastAsia="it-IT"/>
                  </w:rPr>
                </w:pPr>
                <w:r w:rsidRPr="000B18D4">
                  <w:rPr>
                    <w:rFonts w:eastAsia="Times New Roman" w:cs="Segoe UI"/>
                    <w:b/>
                    <w:bCs/>
                    <w:sz w:val="14"/>
                    <w:szCs w:val="14"/>
                    <w:lang w:eastAsia="it-IT"/>
                  </w:rPr>
                  <w:t>Average</w:t>
                </w:r>
              </w:p>
            </w:tc>
            <w:tc>
              <w:tcPr>
                <w:tcW w:w="369" w:type="pct"/>
                <w:shd w:val="clear" w:color="auto" w:fill="FFFFFF" w:themeFill="background2"/>
                <w:tcMar>
                  <w:top w:w="60" w:type="dxa"/>
                  <w:left w:w="114" w:type="dxa"/>
                  <w:bottom w:w="60" w:type="dxa"/>
                  <w:right w:w="114" w:type="dxa"/>
                </w:tcMar>
                <w:vAlign w:val="center"/>
              </w:tcPr>
              <w:p w14:paraId="3A0A69E2" w14:textId="3E8098A7" w:rsidR="00605A67" w:rsidRPr="000B18D4" w:rsidRDefault="00605A67" w:rsidP="00F1637C">
                <w:pPr>
                  <w:spacing w:before="0" w:line="240" w:lineRule="auto"/>
                  <w:jc w:val="center"/>
                  <w:rPr>
                    <w:rFonts w:eastAsia="Times New Roman" w:cs="Segoe UI"/>
                    <w:b/>
                    <w:bCs/>
                    <w:sz w:val="14"/>
                    <w:szCs w:val="14"/>
                    <w:lang w:val="en-GB" w:eastAsia="it-IT"/>
                  </w:rPr>
                </w:pPr>
                <w:r w:rsidRPr="000B18D4">
                  <w:rPr>
                    <w:rFonts w:eastAsia="Times New Roman" w:cs="Segoe UI"/>
                    <w:b/>
                    <w:bCs/>
                    <w:sz w:val="14"/>
                    <w:szCs w:val="14"/>
                    <w:lang w:val="en-GB" w:eastAsia="it-IT"/>
                  </w:rPr>
                  <w:t>3</w:t>
                </w:r>
                <w:r w:rsidR="00B166CB" w:rsidRPr="000B18D4">
                  <w:rPr>
                    <w:rFonts w:eastAsia="Times New Roman" w:cs="Segoe UI"/>
                    <w:b/>
                    <w:bCs/>
                    <w:sz w:val="14"/>
                    <w:szCs w:val="14"/>
                    <w:lang w:val="en-GB" w:eastAsia="it-IT"/>
                  </w:rPr>
                  <w:t>.</w:t>
                </w:r>
                <w:r w:rsidRPr="000B18D4">
                  <w:rPr>
                    <w:rFonts w:eastAsia="Times New Roman" w:cs="Segoe UI"/>
                    <w:b/>
                    <w:bCs/>
                    <w:sz w:val="14"/>
                    <w:szCs w:val="14"/>
                    <w:lang w:val="en-GB" w:eastAsia="it-IT"/>
                  </w:rPr>
                  <w:t>14%</w:t>
                </w:r>
              </w:p>
            </w:tc>
            <w:tc>
              <w:tcPr>
                <w:tcW w:w="719" w:type="pct"/>
                <w:shd w:val="clear" w:color="auto" w:fill="FFFFFF" w:themeFill="background2"/>
                <w:tcMar>
                  <w:top w:w="60" w:type="dxa"/>
                  <w:left w:w="114" w:type="dxa"/>
                  <w:bottom w:w="60" w:type="dxa"/>
                  <w:right w:w="114" w:type="dxa"/>
                </w:tcMar>
                <w:vAlign w:val="center"/>
              </w:tcPr>
              <w:p w14:paraId="3C8CCDF5" w14:textId="7F7AC59D" w:rsidR="00605A67" w:rsidRPr="000B18D4" w:rsidRDefault="00605A67" w:rsidP="00F1637C">
                <w:pPr>
                  <w:spacing w:before="0" w:line="240" w:lineRule="auto"/>
                  <w:jc w:val="center"/>
                  <w:rPr>
                    <w:rFonts w:eastAsia="Times New Roman" w:cs="Segoe UI"/>
                    <w:b/>
                    <w:bCs/>
                    <w:sz w:val="14"/>
                    <w:szCs w:val="14"/>
                    <w:lang w:val="en-GB" w:eastAsia="it-IT"/>
                  </w:rPr>
                </w:pPr>
                <w:r w:rsidRPr="000B18D4">
                  <w:rPr>
                    <w:rFonts w:eastAsia="Times New Roman" w:cs="Segoe UI"/>
                    <w:b/>
                    <w:bCs/>
                    <w:sz w:val="14"/>
                    <w:szCs w:val="14"/>
                    <w:lang w:val="en-GB" w:eastAsia="it-IT"/>
                  </w:rPr>
                  <w:t>5</w:t>
                </w:r>
                <w:r w:rsidR="00B166CB" w:rsidRPr="000B18D4">
                  <w:rPr>
                    <w:rFonts w:eastAsia="Times New Roman" w:cs="Segoe UI"/>
                    <w:b/>
                    <w:bCs/>
                    <w:sz w:val="14"/>
                    <w:szCs w:val="14"/>
                    <w:lang w:val="en-GB" w:eastAsia="it-IT"/>
                  </w:rPr>
                  <w:t>.</w:t>
                </w:r>
                <w:r w:rsidRPr="000B18D4">
                  <w:rPr>
                    <w:rFonts w:eastAsia="Times New Roman" w:cs="Segoe UI"/>
                    <w:b/>
                    <w:bCs/>
                    <w:sz w:val="14"/>
                    <w:szCs w:val="14"/>
                    <w:lang w:val="en-GB" w:eastAsia="it-IT"/>
                  </w:rPr>
                  <w:t>31%</w:t>
                </w:r>
              </w:p>
            </w:tc>
            <w:tc>
              <w:tcPr>
                <w:tcW w:w="721" w:type="pct"/>
                <w:shd w:val="clear" w:color="auto" w:fill="FFFFFF" w:themeFill="background2"/>
                <w:tcMar>
                  <w:top w:w="60" w:type="dxa"/>
                  <w:left w:w="114" w:type="dxa"/>
                  <w:bottom w:w="60" w:type="dxa"/>
                  <w:right w:w="114" w:type="dxa"/>
                </w:tcMar>
                <w:vAlign w:val="center"/>
              </w:tcPr>
              <w:p w14:paraId="00C5F518" w14:textId="1A2F02D8" w:rsidR="00605A67" w:rsidRPr="000B18D4" w:rsidRDefault="00605A67" w:rsidP="00F1637C">
                <w:pPr>
                  <w:spacing w:before="0" w:line="240" w:lineRule="auto"/>
                  <w:jc w:val="center"/>
                  <w:rPr>
                    <w:rFonts w:eastAsia="Times New Roman" w:cs="Segoe UI"/>
                    <w:b/>
                    <w:bCs/>
                    <w:sz w:val="14"/>
                    <w:szCs w:val="14"/>
                    <w:lang w:val="en-GB" w:eastAsia="it-IT"/>
                  </w:rPr>
                </w:pPr>
                <w:r w:rsidRPr="000B18D4">
                  <w:rPr>
                    <w:rFonts w:eastAsia="Times New Roman" w:cs="Segoe UI"/>
                    <w:b/>
                    <w:bCs/>
                    <w:sz w:val="14"/>
                    <w:szCs w:val="14"/>
                    <w:lang w:val="en-GB" w:eastAsia="it-IT"/>
                  </w:rPr>
                  <w:t>7</w:t>
                </w:r>
                <w:r w:rsidR="00B166CB" w:rsidRPr="000B18D4">
                  <w:rPr>
                    <w:rFonts w:eastAsia="Times New Roman" w:cs="Segoe UI"/>
                    <w:b/>
                    <w:bCs/>
                    <w:sz w:val="14"/>
                    <w:szCs w:val="14"/>
                    <w:lang w:val="en-GB" w:eastAsia="it-IT"/>
                  </w:rPr>
                  <w:t>.</w:t>
                </w:r>
                <w:r w:rsidRPr="000B18D4">
                  <w:rPr>
                    <w:rFonts w:eastAsia="Times New Roman" w:cs="Segoe UI"/>
                    <w:b/>
                    <w:bCs/>
                    <w:sz w:val="14"/>
                    <w:szCs w:val="14"/>
                    <w:lang w:val="en-GB" w:eastAsia="it-IT"/>
                  </w:rPr>
                  <w:t>44%</w:t>
                </w:r>
              </w:p>
            </w:tc>
            <w:tc>
              <w:tcPr>
                <w:tcW w:w="719" w:type="pct"/>
                <w:shd w:val="clear" w:color="auto" w:fill="FFFFFF" w:themeFill="background2"/>
                <w:vAlign w:val="center"/>
              </w:tcPr>
              <w:p w14:paraId="455838F7" w14:textId="6BA6FE06" w:rsidR="00605A67" w:rsidRPr="000B18D4" w:rsidRDefault="00605A67" w:rsidP="00F1637C">
                <w:pPr>
                  <w:spacing w:before="0" w:line="240" w:lineRule="auto"/>
                  <w:jc w:val="center"/>
                  <w:rPr>
                    <w:rFonts w:eastAsia="Times New Roman" w:cs="Segoe UI"/>
                    <w:b/>
                    <w:bCs/>
                    <w:sz w:val="14"/>
                    <w:szCs w:val="14"/>
                    <w:lang w:val="en-GB" w:eastAsia="it-IT"/>
                  </w:rPr>
                </w:pPr>
                <w:r w:rsidRPr="000B18D4">
                  <w:rPr>
                    <w:rFonts w:eastAsia="Times New Roman" w:cs="Segoe UI"/>
                    <w:b/>
                    <w:bCs/>
                    <w:sz w:val="14"/>
                    <w:szCs w:val="14"/>
                    <w:lang w:val="en-GB" w:eastAsia="it-IT"/>
                  </w:rPr>
                  <w:t>9</w:t>
                </w:r>
                <w:r w:rsidR="00B166CB" w:rsidRPr="000B18D4">
                  <w:rPr>
                    <w:rFonts w:eastAsia="Times New Roman" w:cs="Segoe UI"/>
                    <w:b/>
                    <w:bCs/>
                    <w:sz w:val="14"/>
                    <w:szCs w:val="14"/>
                    <w:lang w:val="en-GB" w:eastAsia="it-IT"/>
                  </w:rPr>
                  <w:t>.</w:t>
                </w:r>
                <w:r w:rsidRPr="000B18D4">
                  <w:rPr>
                    <w:rFonts w:eastAsia="Times New Roman" w:cs="Segoe UI"/>
                    <w:b/>
                    <w:bCs/>
                    <w:sz w:val="14"/>
                    <w:szCs w:val="14"/>
                    <w:lang w:val="en-GB" w:eastAsia="it-IT"/>
                  </w:rPr>
                  <w:t>71%</w:t>
                </w:r>
              </w:p>
            </w:tc>
            <w:tc>
              <w:tcPr>
                <w:tcW w:w="719" w:type="pct"/>
                <w:shd w:val="clear" w:color="auto" w:fill="FFFFFF" w:themeFill="background2"/>
                <w:vAlign w:val="center"/>
              </w:tcPr>
              <w:p w14:paraId="648E2BC1" w14:textId="4FF56886" w:rsidR="00605A67" w:rsidRPr="000B18D4" w:rsidRDefault="00605A67" w:rsidP="00F1637C">
                <w:pPr>
                  <w:spacing w:before="0" w:line="240" w:lineRule="auto"/>
                  <w:jc w:val="center"/>
                  <w:rPr>
                    <w:rFonts w:eastAsia="Times New Roman" w:cs="Segoe UI"/>
                    <w:b/>
                    <w:bCs/>
                    <w:sz w:val="14"/>
                    <w:szCs w:val="14"/>
                    <w:lang w:val="en-GB" w:eastAsia="it-IT"/>
                  </w:rPr>
                </w:pPr>
                <w:r w:rsidRPr="000B18D4">
                  <w:rPr>
                    <w:rFonts w:eastAsia="Times New Roman" w:cs="Segoe UI"/>
                    <w:b/>
                    <w:bCs/>
                    <w:sz w:val="14"/>
                    <w:szCs w:val="14"/>
                    <w:lang w:val="en-GB" w:eastAsia="it-IT"/>
                  </w:rPr>
                  <w:t>11</w:t>
                </w:r>
                <w:r w:rsidR="00B166CB" w:rsidRPr="000B18D4">
                  <w:rPr>
                    <w:rFonts w:eastAsia="Times New Roman" w:cs="Segoe UI"/>
                    <w:b/>
                    <w:bCs/>
                    <w:sz w:val="14"/>
                    <w:szCs w:val="14"/>
                    <w:lang w:val="en-GB" w:eastAsia="it-IT"/>
                  </w:rPr>
                  <w:t>.</w:t>
                </w:r>
                <w:r w:rsidRPr="000B18D4">
                  <w:rPr>
                    <w:rFonts w:eastAsia="Times New Roman" w:cs="Segoe UI"/>
                    <w:b/>
                    <w:bCs/>
                    <w:sz w:val="14"/>
                    <w:szCs w:val="14"/>
                    <w:lang w:val="en-GB" w:eastAsia="it-IT"/>
                  </w:rPr>
                  <w:t>96%</w:t>
                </w:r>
              </w:p>
            </w:tc>
            <w:tc>
              <w:tcPr>
                <w:tcW w:w="716" w:type="pct"/>
                <w:gridSpan w:val="2"/>
                <w:shd w:val="clear" w:color="auto" w:fill="FFFFFF" w:themeFill="background2"/>
                <w:vAlign w:val="center"/>
              </w:tcPr>
              <w:p w14:paraId="3D31701E" w14:textId="0F4DE3B7" w:rsidR="00605A67" w:rsidRPr="000B18D4" w:rsidRDefault="00605A67" w:rsidP="00F1637C">
                <w:pPr>
                  <w:spacing w:before="0" w:line="240" w:lineRule="auto"/>
                  <w:jc w:val="center"/>
                  <w:rPr>
                    <w:rFonts w:eastAsia="Times New Roman" w:cs="Segoe UI"/>
                    <w:sz w:val="14"/>
                    <w:szCs w:val="14"/>
                    <w:lang w:val="en-GB" w:eastAsia="it-IT"/>
                  </w:rPr>
                </w:pPr>
              </w:p>
            </w:tc>
          </w:tr>
        </w:tbl>
        <w:p w14:paraId="7DF546E3" w14:textId="77777777" w:rsidR="00303114" w:rsidRDefault="00303114" w:rsidP="004101BF">
          <w:pPr>
            <w:rPr>
              <w:rFonts w:cs="Segoe UI"/>
              <w:lang w:val="en-GB"/>
            </w:rPr>
          </w:pPr>
        </w:p>
        <w:p w14:paraId="4A4165C7" w14:textId="2C7D2992" w:rsidR="004101BF" w:rsidRDefault="004101BF" w:rsidP="004101BF">
          <w:pPr>
            <w:rPr>
              <w:rFonts w:cs="Segoe UI"/>
              <w:lang w:val="en-GB"/>
            </w:rPr>
          </w:pPr>
          <w:r w:rsidRPr="0032337D">
            <w:rPr>
              <w:rFonts w:cs="Segoe UI"/>
              <w:lang w:val="en-GB"/>
            </w:rPr>
            <w:t xml:space="preserve">It </w:t>
          </w:r>
          <w:r>
            <w:rPr>
              <w:rFonts w:cs="Segoe UI"/>
              <w:lang w:val="en-GB"/>
            </w:rPr>
            <w:t>can</w:t>
          </w:r>
          <w:r w:rsidRPr="0032337D">
            <w:rPr>
              <w:rFonts w:cs="Segoe UI"/>
              <w:lang w:val="en-GB"/>
            </w:rPr>
            <w:t xml:space="preserve"> be observed that 5 years </w:t>
          </w:r>
          <w:r w:rsidR="00B166CB">
            <w:rPr>
              <w:rFonts w:cs="Segoe UI"/>
              <w:lang w:val="en-GB"/>
            </w:rPr>
            <w:t>after</w:t>
          </w:r>
          <w:r w:rsidRPr="0032337D">
            <w:rPr>
              <w:rFonts w:cs="Segoe UI"/>
              <w:lang w:val="en-GB"/>
            </w:rPr>
            <w:t xml:space="preserve"> rating issuance, </w:t>
          </w:r>
          <w:r w:rsidR="00AD1104">
            <w:rPr>
              <w:rFonts w:cs="Segoe UI"/>
              <w:lang w:val="en-GB"/>
            </w:rPr>
            <w:t>the default</w:t>
          </w:r>
          <w:r w:rsidR="00E93B4B">
            <w:rPr>
              <w:rFonts w:cs="Segoe UI"/>
              <w:lang w:val="en-GB"/>
            </w:rPr>
            <w:t xml:space="preserve"> rate from classes between A1.1 to A2.2 never exceeds 0</w:t>
          </w:r>
          <w:r w:rsidR="00B166CB">
            <w:rPr>
              <w:rFonts w:cs="Segoe UI"/>
              <w:lang w:val="en-GB"/>
            </w:rPr>
            <w:t>.</w:t>
          </w:r>
          <w:r w:rsidR="00E93B4B">
            <w:rPr>
              <w:rFonts w:cs="Segoe UI"/>
              <w:lang w:val="en-GB"/>
            </w:rPr>
            <w:t xml:space="preserve">60%, with the </w:t>
          </w:r>
          <w:r w:rsidR="00902A2C">
            <w:rPr>
              <w:rFonts w:cs="Segoe UI"/>
              <w:lang w:val="en-GB"/>
            </w:rPr>
            <w:t xml:space="preserve">average cumulative 5-year default rate </w:t>
          </w:r>
          <w:r w:rsidR="00B166CB">
            <w:rPr>
              <w:rFonts w:cs="Segoe UI"/>
              <w:lang w:val="en-GB"/>
            </w:rPr>
            <w:t>standing at</w:t>
          </w:r>
          <w:r w:rsidR="00423C6B">
            <w:rPr>
              <w:rFonts w:cs="Segoe UI"/>
              <w:lang w:val="en-GB"/>
            </w:rPr>
            <w:t xml:space="preserve"> </w:t>
          </w:r>
          <w:r w:rsidR="00902A2C">
            <w:rPr>
              <w:rFonts w:cs="Segoe UI"/>
              <w:lang w:val="en-GB"/>
            </w:rPr>
            <w:t>11</w:t>
          </w:r>
          <w:r w:rsidR="00B166CB">
            <w:rPr>
              <w:rFonts w:cs="Segoe UI"/>
              <w:lang w:val="en-GB"/>
            </w:rPr>
            <w:t>.</w:t>
          </w:r>
          <w:r w:rsidR="00902A2C">
            <w:rPr>
              <w:rFonts w:cs="Segoe UI"/>
              <w:lang w:val="en-GB"/>
            </w:rPr>
            <w:t>96%.</w:t>
          </w:r>
          <w:r w:rsidR="001A718A">
            <w:rPr>
              <w:rFonts w:cs="Segoe UI"/>
              <w:lang w:val="en-GB"/>
            </w:rPr>
            <w:t xml:space="preserve"> </w:t>
          </w:r>
          <w:r w:rsidRPr="0032337D">
            <w:rPr>
              <w:rFonts w:cs="Segoe UI"/>
              <w:lang w:val="en-GB"/>
            </w:rPr>
            <w:t xml:space="preserve">The CDR curve by rating class increases almost exponentially for each time horizon and reflects the different </w:t>
          </w:r>
          <w:r>
            <w:rPr>
              <w:rFonts w:cs="Segoe UI"/>
              <w:lang w:val="en-GB"/>
            </w:rPr>
            <w:t>levels</w:t>
          </w:r>
          <w:r w:rsidR="00096EB8">
            <w:rPr>
              <w:rFonts w:cs="Segoe UI"/>
              <w:lang w:val="en-GB"/>
            </w:rPr>
            <w:t xml:space="preserve"> of risk</w:t>
          </w:r>
          <w:r w:rsidRPr="0032337D">
            <w:rPr>
              <w:rFonts w:cs="Segoe UI"/>
              <w:lang w:val="en-GB"/>
            </w:rPr>
            <w:t>. Exhibit 28 shows cumulative default rates from 2009 to 202</w:t>
          </w:r>
          <w:r w:rsidR="009E7765">
            <w:rPr>
              <w:rFonts w:cs="Segoe UI"/>
              <w:lang w:val="en-GB"/>
            </w:rPr>
            <w:t>3</w:t>
          </w:r>
          <w:r w:rsidRPr="0032337D">
            <w:rPr>
              <w:rFonts w:cs="Segoe UI"/>
              <w:lang w:val="en-GB"/>
            </w:rPr>
            <w:t xml:space="preserve"> by rating class.</w:t>
          </w:r>
        </w:p>
        <w:p w14:paraId="40DCF0EE" w14:textId="77777777" w:rsidR="0024061B" w:rsidRDefault="0024061B">
          <w:pPr>
            <w:spacing w:before="0" w:after="200" w:line="276" w:lineRule="auto"/>
            <w:jc w:val="left"/>
            <w:rPr>
              <w:rFonts w:ascii="Segoe UI" w:hAnsi="Segoe UI" w:cs="Segoe UI"/>
              <w:b/>
              <w:i/>
              <w:sz w:val="14"/>
              <w:lang w:val="en-GB"/>
            </w:rPr>
          </w:pPr>
          <w:bookmarkStart w:id="105" w:name="_Toc130806329"/>
          <w:bookmarkStart w:id="106" w:name="_Toc166675669"/>
          <w:r>
            <w:rPr>
              <w:rFonts w:ascii="Segoe UI" w:hAnsi="Segoe UI" w:cs="Segoe UI"/>
              <w:i/>
              <w:sz w:val="14"/>
              <w:lang w:val="en-GB"/>
            </w:rPr>
            <w:br w:type="page"/>
          </w:r>
        </w:p>
        <w:p w14:paraId="49EA52F1" w14:textId="400CA9DA" w:rsidR="004101BF" w:rsidRPr="0032337D" w:rsidRDefault="004101BF" w:rsidP="004101BF">
          <w:pPr>
            <w:pStyle w:val="Didascalia"/>
            <w:rPr>
              <w:rFonts w:ascii="Segoe UI" w:hAnsi="Segoe UI" w:cs="Segoe UI"/>
              <w:i/>
              <w:sz w:val="14"/>
              <w:lang w:val="en-GB"/>
            </w:rPr>
          </w:pPr>
          <w:bookmarkStart w:id="107" w:name="_Toc167131796"/>
          <w:r w:rsidRPr="0024061B">
            <w:rPr>
              <w:rFonts w:ascii="Segoe UI" w:hAnsi="Segoe UI" w:cs="Segoe UI"/>
              <w:i/>
              <w:sz w:val="14"/>
              <w:lang w:val="en-GB"/>
            </w:rPr>
            <w:lastRenderedPageBreak/>
            <w:t xml:space="preserve">Exhibit </w:t>
          </w:r>
          <w:r w:rsidRPr="0024061B">
            <w:rPr>
              <w:rFonts w:ascii="Segoe UI" w:hAnsi="Segoe UI" w:cs="Segoe UI"/>
              <w:i/>
              <w:sz w:val="14"/>
              <w:lang w:val="en-GB"/>
            </w:rPr>
            <w:fldChar w:fldCharType="begin"/>
          </w:r>
          <w:r w:rsidRPr="0024061B">
            <w:rPr>
              <w:rFonts w:ascii="Segoe UI" w:hAnsi="Segoe UI" w:cs="Segoe UI"/>
              <w:i/>
              <w:sz w:val="14"/>
              <w:lang w:val="en-GB"/>
            </w:rPr>
            <w:instrText xml:space="preserve"> SEQ Exhibit \* ARABIC </w:instrText>
          </w:r>
          <w:r w:rsidRPr="0024061B">
            <w:rPr>
              <w:rFonts w:ascii="Segoe UI" w:hAnsi="Segoe UI" w:cs="Segoe UI"/>
              <w:i/>
              <w:sz w:val="14"/>
              <w:lang w:val="en-GB"/>
            </w:rPr>
            <w:fldChar w:fldCharType="separate"/>
          </w:r>
          <w:r w:rsidR="009857B6" w:rsidRPr="0024061B">
            <w:rPr>
              <w:rFonts w:ascii="Segoe UI" w:hAnsi="Segoe UI" w:cs="Segoe UI"/>
              <w:i/>
              <w:noProof/>
              <w:sz w:val="14"/>
              <w:lang w:val="en-GB"/>
            </w:rPr>
            <w:t>28</w:t>
          </w:r>
          <w:r w:rsidRPr="0024061B">
            <w:rPr>
              <w:rFonts w:ascii="Segoe UI" w:hAnsi="Segoe UI" w:cs="Segoe UI"/>
              <w:i/>
              <w:sz w:val="14"/>
              <w:lang w:val="en-GB"/>
            </w:rPr>
            <w:fldChar w:fldCharType="end"/>
          </w:r>
          <w:r w:rsidRPr="0024061B">
            <w:rPr>
              <w:rFonts w:ascii="Segoe UI" w:hAnsi="Segoe UI" w:cs="Segoe UI"/>
              <w:i/>
              <w:sz w:val="14"/>
              <w:lang w:val="en-GB"/>
            </w:rPr>
            <w:t>: Cumulative default rates by rating category</w:t>
          </w:r>
          <w:bookmarkEnd w:id="105"/>
          <w:bookmarkEnd w:id="106"/>
          <w:bookmarkEnd w:id="107"/>
        </w:p>
        <w:p w14:paraId="3D7CC49D" w14:textId="5DE7BEBF" w:rsidR="004101BF" w:rsidRPr="0032337D" w:rsidRDefault="004101BF" w:rsidP="004101BF">
          <w:pPr>
            <w:rPr>
              <w:rFonts w:cs="Segoe UI"/>
              <w:lang w:val="en-GB"/>
            </w:rPr>
          </w:pPr>
        </w:p>
        <w:p w14:paraId="043C34BD" w14:textId="517585F6" w:rsidR="0024061B" w:rsidRDefault="0024061B" w:rsidP="004101BF">
          <w:pPr>
            <w:rPr>
              <w:rFonts w:cs="Segoe UI"/>
              <w:lang w:val="en-GB"/>
            </w:rPr>
          </w:pPr>
          <w:r>
            <w:rPr>
              <w:noProof/>
            </w:rPr>
            <w:drawing>
              <wp:inline distT="0" distB="0" distL="0" distR="0" wp14:anchorId="24A0FE8B" wp14:editId="22FB04A9">
                <wp:extent cx="6570980" cy="3810000"/>
                <wp:effectExtent l="0" t="0" r="1270" b="0"/>
                <wp:docPr id="698346742" name="Grafico 1">
                  <a:extLst xmlns:a="http://schemas.openxmlformats.org/drawingml/2006/main">
                    <a:ext uri="{FF2B5EF4-FFF2-40B4-BE49-F238E27FC236}">
                      <a16:creationId xmlns:a16="http://schemas.microsoft.com/office/drawing/2014/main" id="{00000000-0008-0000-0F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0F658DB" w14:textId="77777777" w:rsidR="0024061B" w:rsidRDefault="0024061B" w:rsidP="004101BF">
          <w:pPr>
            <w:rPr>
              <w:rFonts w:cs="Segoe UI"/>
              <w:lang w:val="en-GB"/>
            </w:rPr>
          </w:pPr>
        </w:p>
        <w:p w14:paraId="768F8570" w14:textId="14BFE664" w:rsidR="004101BF" w:rsidRPr="0032337D" w:rsidRDefault="004101BF" w:rsidP="004101BF">
          <w:pPr>
            <w:rPr>
              <w:rFonts w:cs="Segoe UI"/>
              <w:lang w:val="en-GB"/>
            </w:rPr>
          </w:pPr>
          <w:r w:rsidRPr="0032337D">
            <w:rPr>
              <w:rFonts w:cs="Segoe UI"/>
              <w:lang w:val="en-GB"/>
            </w:rPr>
            <w:t xml:space="preserve">Exhibit 29 shows cumulative default rates aggregated by </w:t>
          </w:r>
          <w:r w:rsidRPr="0032337D">
            <w:rPr>
              <w:rFonts w:cs="Segoe UI"/>
              <w:i/>
              <w:lang w:val="en-GB"/>
            </w:rPr>
            <w:t>Risk Area</w:t>
          </w:r>
          <w:r w:rsidRPr="0032337D">
            <w:rPr>
              <w:rFonts w:cs="Segoe UI"/>
              <w:lang w:val="en-GB"/>
            </w:rPr>
            <w:t>.</w:t>
          </w:r>
        </w:p>
        <w:p w14:paraId="65D937B4" w14:textId="5E8A5131" w:rsidR="004101BF" w:rsidRPr="00F276EB" w:rsidRDefault="004101BF" w:rsidP="00F276EB">
          <w:pPr>
            <w:pStyle w:val="Didascalia"/>
            <w:rPr>
              <w:rFonts w:ascii="Segoe UI" w:hAnsi="Segoe UI" w:cs="Segoe UI"/>
              <w:i/>
              <w:sz w:val="14"/>
              <w:lang w:val="en-GB"/>
            </w:rPr>
          </w:pPr>
          <w:bookmarkStart w:id="108" w:name="_Toc130806330"/>
          <w:bookmarkStart w:id="109" w:name="_Toc166675670"/>
          <w:bookmarkStart w:id="110" w:name="_Toc167131797"/>
          <w:r w:rsidRPr="0032337D">
            <w:rPr>
              <w:rFonts w:ascii="Segoe UI" w:hAnsi="Segoe UI" w:cs="Segoe UI"/>
              <w:i/>
              <w:sz w:val="14"/>
              <w:lang w:val="en-GB"/>
            </w:rPr>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29</w:t>
          </w:r>
          <w:r>
            <w:rPr>
              <w:rFonts w:ascii="Segoe UI" w:hAnsi="Segoe UI" w:cs="Segoe UI"/>
              <w:i/>
              <w:sz w:val="14"/>
              <w:lang w:val="en-GB"/>
            </w:rPr>
            <w:fldChar w:fldCharType="end"/>
          </w:r>
          <w:r w:rsidRPr="0032337D">
            <w:rPr>
              <w:rFonts w:ascii="Segoe UI" w:hAnsi="Segoe UI" w:cs="Segoe UI"/>
              <w:i/>
              <w:sz w:val="14"/>
              <w:lang w:val="en-GB"/>
            </w:rPr>
            <w:t>: Cumulative default rates by risk area</w:t>
          </w:r>
          <w:bookmarkEnd w:id="108"/>
          <w:bookmarkEnd w:id="109"/>
          <w:bookmarkEnd w:id="110"/>
        </w:p>
        <w:tbl>
          <w:tblPr>
            <w:tblW w:w="5000" w:type="pct"/>
            <w:tblBorders>
              <w:top w:val="single" w:sz="4" w:space="0" w:color="AFAFB4" w:themeColor="accent4"/>
              <w:bottom w:val="single" w:sz="4" w:space="0" w:color="AFAFB4" w:themeColor="accent4"/>
              <w:insideH w:val="single" w:sz="4" w:space="0" w:color="AFAFB4" w:themeColor="accent4"/>
            </w:tblBorders>
            <w:shd w:val="clear" w:color="auto" w:fill="FFFFFF" w:themeFill="background2"/>
            <w:tblCellMar>
              <w:left w:w="0" w:type="dxa"/>
              <w:right w:w="0" w:type="dxa"/>
            </w:tblCellMar>
            <w:tblLook w:val="0620" w:firstRow="1" w:lastRow="0" w:firstColumn="0" w:lastColumn="0" w:noHBand="1" w:noVBand="1"/>
            <w:tblDescription w:val="{&quot;Ott&quot;:{&quot;FirstRow&quot;:{&quot;BackgroundColor&quot;:{&quot;Key&quot;:&quot;Light2&quot;},&quot;Font&quot;:{&quot;Name&quot;:&quot;Source Sans Pro&quot;,&quot;Size&quot;:14.0,&quot;Bold&quot;:false,&quot;Italic&quot;:false,&quot;Color&quot;:{&quot;Key&quot;:&quot;Dark2&quot;}},&quot;ExcelCellFormatting&quot;:&quot;General&quot;,&quot;Alignment&quot;:{&quot;Horizontal&quot;:&quot;Left&quot;,&quot;Vertical&quot;:&quot;Bottom&quot;},&quot;Borders&quot;:{&quot;Vertical&quot;:{&quot;Visible&quot;:false},&quot;Left&quot;:{&quot;Visible&quot;:false},&quot;Top&quot;:{&quot;Visible&quot;:false},&quot;Right&quot;:{&quot;Visible&quot;:false},&quot;Bottom&quot;:{&quot;Color&quot;:{&quot;Key&quot;:&quot;Accent4&quot;},&quot;BorderWeight&quot;:&quot;Pt1_5&quot;,&quot;Type&quot;:&quot;Solid&quot;,&quot;Visible&quot;:true}}},&quot;FitRowHeightPp&quot;:true,&quot;ZeroMarginsWord&quot;:true,&quot;BackgroundColor&quot;:{&quot;Key&quot;:&quot;Light2&quot;},&quot;Font&quot;:{&quot;Name&quot;:&quot;Source Sans Pro&quot;,&quot;Size&quot;:11.0,&quot;Bold&quot;:false,&quot;Italic&quot;:false,&quot;Color&quot;:{&quot;Key&quot;:&quot;Dark2&quot;}},&quot;LineSpacing&quot;:{&quot;Rule&quot;:&quot;Single&quot;},&quot;Alignment&quot;:{&quot;Horizontal&quot;:&quot;Left&quot;,&quot;Vertical&quot;:&quot;Top&quot;},&quot;Margin&quot;:{&quot;Left&quot;:5.7,&quot;Top&quot;:3.0,&quot;Right&quot;:5.7,&quot;Bottom&quot;:3.0},&quot;Borders&quot;:{&quot;Vertical&quot;:{&quot;Visible&quot;:false},&quot;Horizontal&quot;:{&quot;Color&quot;:{&quot;Key&quot;:&quot;Accent4&quot;},&quot;BorderWeight&quot;:&quot;Pt0_5&quot;,&quot;Type&quot;:&quot;Solid&quot;,&quot;Visible&quot;:true}},&quot;ParagraphSpacing&quot;:{&quot;SpaceBefore&quot;:2.0,&quot;SpaceAfter&quot;:2.0},&quot;ExcelWrapText&quot;:true},&quot;Ccs&quot;:{&quot;DarkBlue&quot;:&quot;0, 20, 55&quot;,&quot;Turquoise&quot;:&quot;0, 164, 230&quot;,&quot;Red&quot;:&quot;214, 70, 65&quot;,&quot;LightGrey&quot;:&quot;174, 174, 180&quot;,&quot;BlueGrey&quot;:&quot;77, 91, 115&quot;,&quot;IceBlue&quot;:&quot;178, 184, 195&quot;,&quot;Grey&quot;:&quot;145, 147, 153&quot;,&quot;Background&quot;:&quot;0, 0, 0, 0&quot;,&quot;White&quot;:&quot;White&quot;,&quot;Accent1&quot;:&quot;1, 1, 1, 1&quot;,&quot;Accent2&quot;:&quot;1, 1, 1, 2&quot;,&quot;Accent3&quot;:&quot;1, 1, 1, 3&quot;,&quot;Accent4&quot;:&quot;1, 1, 1, 4&quot;,&quot;Accent5&quot;:&quot;1, 1, 1, 5&quot;,&quot;Accent6&quot;:&quot;1, 1, 1, 6&quot;,&quot;Dark1&quot;:&quot;1, 1, 1, 7&quot;,&quot;Dark2&quot;:&quot;1, 1, 1, 9&quot;,&quot;Light1&quot;:&quot;1, 1, 1, 8&quot;,&quot;Light2&quot;:&quot;1, 1, 1, 10&quot;},&quot;Cop&quot;:{&quot;FirstRow&quot;:true,&quot;LastRow&quot;:false,&quot;FirstColumn&quot;:false,&quot;LastColumn&quot;:false,&quot;BandedRows&quot;:false,&quot;BandedColumns&quot;:false},&quot;Aaf&quot;:false}"/>
          </w:tblPr>
          <w:tblGrid>
            <w:gridCol w:w="1539"/>
            <w:gridCol w:w="1472"/>
            <w:gridCol w:w="1469"/>
            <w:gridCol w:w="1469"/>
            <w:gridCol w:w="1469"/>
            <w:gridCol w:w="1469"/>
            <w:gridCol w:w="1461"/>
          </w:tblGrid>
          <w:tr w:rsidR="007054FE" w:rsidRPr="00ED33EF" w14:paraId="42CB86C4" w14:textId="0C17288E" w:rsidTr="00A875C2">
            <w:trPr>
              <w:trHeight w:val="283"/>
            </w:trPr>
            <w:tc>
              <w:tcPr>
                <w:tcW w:w="743"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63D98EEC" w14:textId="08A679AA" w:rsidR="007054FE" w:rsidRPr="00ED33EF" w:rsidRDefault="007054FE" w:rsidP="00F1637C">
                <w:pPr>
                  <w:spacing w:before="0" w:line="240" w:lineRule="auto"/>
                  <w:jc w:val="center"/>
                  <w:rPr>
                    <w:b/>
                    <w:color w:val="33A1AB" w:themeColor="accent2"/>
                    <w:sz w:val="14"/>
                    <w:szCs w:val="14"/>
                  </w:rPr>
                </w:pPr>
                <w:r>
                  <w:rPr>
                    <w:b/>
                    <w:color w:val="33A1AB" w:themeColor="accent2"/>
                    <w:sz w:val="14"/>
                    <w:szCs w:val="14"/>
                  </w:rPr>
                  <w:t>Area</w:t>
                </w:r>
              </w:p>
            </w:tc>
            <w:tc>
              <w:tcPr>
                <w:tcW w:w="711"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2C4CE2B4" w14:textId="162FA0C6" w:rsidR="007054FE" w:rsidRPr="00ED33EF" w:rsidRDefault="007054FE" w:rsidP="00F1637C">
                <w:pPr>
                  <w:spacing w:before="0" w:line="240" w:lineRule="auto"/>
                  <w:jc w:val="center"/>
                  <w:rPr>
                    <w:b/>
                    <w:color w:val="33A1AB" w:themeColor="accent2"/>
                    <w:sz w:val="14"/>
                    <w:szCs w:val="14"/>
                  </w:rPr>
                </w:pPr>
                <w:r>
                  <w:rPr>
                    <w:b/>
                    <w:color w:val="33A1AB" w:themeColor="accent2"/>
                    <w:sz w:val="14"/>
                    <w:szCs w:val="14"/>
                  </w:rPr>
                  <w:t>Rating</w:t>
                </w:r>
              </w:p>
            </w:tc>
            <w:tc>
              <w:tcPr>
                <w:tcW w:w="710"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1CA1ED9B" w14:textId="342A3A9A" w:rsidR="007054FE" w:rsidRPr="00ED33EF" w:rsidRDefault="007054FE" w:rsidP="00F1637C">
                <w:pPr>
                  <w:spacing w:before="0" w:line="240" w:lineRule="auto"/>
                  <w:jc w:val="center"/>
                  <w:rPr>
                    <w:b/>
                    <w:color w:val="33A1AB" w:themeColor="accent2"/>
                    <w:sz w:val="14"/>
                    <w:szCs w:val="14"/>
                  </w:rPr>
                </w:pPr>
                <w:r>
                  <w:rPr>
                    <w:b/>
                    <w:color w:val="33A1AB" w:themeColor="accent2"/>
                    <w:sz w:val="14"/>
                    <w:szCs w:val="14"/>
                  </w:rPr>
                  <w:t xml:space="preserve">1-Y </w:t>
                </w:r>
                <w:r w:rsidR="00D23EE1">
                  <w:rPr>
                    <w:b/>
                    <w:color w:val="33A1AB" w:themeColor="accent2"/>
                    <w:sz w:val="14"/>
                    <w:szCs w:val="14"/>
                  </w:rPr>
                  <w:t>C</w:t>
                </w:r>
                <w:r>
                  <w:rPr>
                    <w:b/>
                    <w:color w:val="33A1AB" w:themeColor="accent2"/>
                    <w:sz w:val="14"/>
                    <w:szCs w:val="14"/>
                  </w:rPr>
                  <w:t>DR</w:t>
                </w:r>
              </w:p>
            </w:tc>
            <w:tc>
              <w:tcPr>
                <w:tcW w:w="710" w:type="pct"/>
                <w:tcBorders>
                  <w:top w:val="single" w:sz="12" w:space="0" w:color="AFAFB4" w:themeColor="accent4"/>
                </w:tcBorders>
                <w:shd w:val="clear" w:color="auto" w:fill="FFFFFF" w:themeFill="background2"/>
                <w:vAlign w:val="center"/>
              </w:tcPr>
              <w:p w14:paraId="0B252176" w14:textId="336EC0BC" w:rsidR="007054FE" w:rsidRPr="00ED33EF" w:rsidRDefault="007054FE" w:rsidP="00F1637C">
                <w:pPr>
                  <w:spacing w:before="0" w:line="240" w:lineRule="auto"/>
                  <w:jc w:val="center"/>
                  <w:rPr>
                    <w:b/>
                    <w:color w:val="33A1AB" w:themeColor="accent2"/>
                    <w:sz w:val="14"/>
                    <w:szCs w:val="14"/>
                  </w:rPr>
                </w:pPr>
                <w:r>
                  <w:rPr>
                    <w:b/>
                    <w:color w:val="33A1AB" w:themeColor="accent2"/>
                    <w:sz w:val="14"/>
                    <w:szCs w:val="14"/>
                  </w:rPr>
                  <w:t xml:space="preserve">2-Y </w:t>
                </w:r>
                <w:r w:rsidR="00163252">
                  <w:rPr>
                    <w:b/>
                    <w:color w:val="33A1AB" w:themeColor="accent2"/>
                    <w:sz w:val="14"/>
                    <w:szCs w:val="14"/>
                  </w:rPr>
                  <w:t>C</w:t>
                </w:r>
                <w:r>
                  <w:rPr>
                    <w:b/>
                    <w:color w:val="33A1AB" w:themeColor="accent2"/>
                    <w:sz w:val="14"/>
                    <w:szCs w:val="14"/>
                  </w:rPr>
                  <w:t>DR</w:t>
                </w:r>
              </w:p>
            </w:tc>
            <w:tc>
              <w:tcPr>
                <w:tcW w:w="710" w:type="pct"/>
                <w:tcBorders>
                  <w:top w:val="single" w:sz="12" w:space="0" w:color="AFAFB4" w:themeColor="accent4"/>
                </w:tcBorders>
                <w:shd w:val="clear" w:color="auto" w:fill="FFFFFF" w:themeFill="background2"/>
                <w:vAlign w:val="center"/>
              </w:tcPr>
              <w:p w14:paraId="2A8170A7" w14:textId="3071EF10" w:rsidR="007054FE" w:rsidRPr="00ED33EF" w:rsidRDefault="007054FE" w:rsidP="00F1637C">
                <w:pPr>
                  <w:spacing w:before="0" w:line="240" w:lineRule="auto"/>
                  <w:jc w:val="center"/>
                  <w:rPr>
                    <w:b/>
                    <w:color w:val="33A1AB" w:themeColor="accent2"/>
                    <w:sz w:val="14"/>
                    <w:szCs w:val="14"/>
                  </w:rPr>
                </w:pPr>
                <w:r>
                  <w:rPr>
                    <w:b/>
                    <w:color w:val="33A1AB" w:themeColor="accent2"/>
                    <w:sz w:val="14"/>
                    <w:szCs w:val="14"/>
                  </w:rPr>
                  <w:t>3-Y</w:t>
                </w:r>
                <w:r w:rsidR="00D23EE1">
                  <w:rPr>
                    <w:b/>
                    <w:color w:val="33A1AB" w:themeColor="accent2"/>
                    <w:sz w:val="14"/>
                    <w:szCs w:val="14"/>
                  </w:rPr>
                  <w:t xml:space="preserve"> CDR</w:t>
                </w:r>
              </w:p>
            </w:tc>
            <w:tc>
              <w:tcPr>
                <w:tcW w:w="710" w:type="pct"/>
                <w:tcBorders>
                  <w:top w:val="single" w:sz="12" w:space="0" w:color="AFAFB4" w:themeColor="accent4"/>
                </w:tcBorders>
                <w:shd w:val="clear" w:color="auto" w:fill="FFFFFF" w:themeFill="background2"/>
                <w:vAlign w:val="center"/>
              </w:tcPr>
              <w:p w14:paraId="6F7B987D" w14:textId="1CD21141" w:rsidR="007054FE" w:rsidRPr="00ED33EF" w:rsidRDefault="00D23EE1" w:rsidP="00F1637C">
                <w:pPr>
                  <w:spacing w:before="0" w:line="240" w:lineRule="auto"/>
                  <w:jc w:val="center"/>
                  <w:rPr>
                    <w:b/>
                    <w:color w:val="33A1AB" w:themeColor="accent2"/>
                    <w:sz w:val="14"/>
                    <w:szCs w:val="14"/>
                  </w:rPr>
                </w:pPr>
                <w:r>
                  <w:rPr>
                    <w:b/>
                    <w:color w:val="33A1AB" w:themeColor="accent2"/>
                    <w:sz w:val="14"/>
                    <w:szCs w:val="14"/>
                  </w:rPr>
                  <w:t>4-Y CDR</w:t>
                </w:r>
              </w:p>
            </w:tc>
            <w:tc>
              <w:tcPr>
                <w:tcW w:w="707" w:type="pct"/>
                <w:tcBorders>
                  <w:top w:val="single" w:sz="12" w:space="0" w:color="AFAFB4" w:themeColor="accent4"/>
                </w:tcBorders>
                <w:shd w:val="clear" w:color="auto" w:fill="FFFFFF" w:themeFill="background2"/>
                <w:vAlign w:val="center"/>
              </w:tcPr>
              <w:p w14:paraId="7395E97F" w14:textId="6653B3EB" w:rsidR="007054FE" w:rsidRPr="00ED33EF" w:rsidRDefault="00D23EE1" w:rsidP="00F1637C">
                <w:pPr>
                  <w:spacing w:before="0" w:line="240" w:lineRule="auto"/>
                  <w:jc w:val="center"/>
                  <w:rPr>
                    <w:b/>
                    <w:color w:val="33A1AB" w:themeColor="accent2"/>
                    <w:sz w:val="14"/>
                    <w:szCs w:val="14"/>
                  </w:rPr>
                </w:pPr>
                <w:r>
                  <w:rPr>
                    <w:b/>
                    <w:color w:val="33A1AB" w:themeColor="accent2"/>
                    <w:sz w:val="14"/>
                    <w:szCs w:val="14"/>
                  </w:rPr>
                  <w:t>5-Y CDR</w:t>
                </w:r>
              </w:p>
            </w:tc>
          </w:tr>
          <w:tr w:rsidR="00AE2D89" w:rsidRPr="00ED33EF" w14:paraId="1EAB04A5" w14:textId="27993A2A" w:rsidTr="00A875C2">
            <w:trPr>
              <w:trHeight w:val="283"/>
            </w:trPr>
            <w:tc>
              <w:tcPr>
                <w:tcW w:w="743" w:type="pct"/>
                <w:shd w:val="clear" w:color="auto" w:fill="FFFFFF" w:themeFill="background2"/>
                <w:tcMar>
                  <w:top w:w="60" w:type="dxa"/>
                  <w:left w:w="114" w:type="dxa"/>
                  <w:bottom w:w="60" w:type="dxa"/>
                  <w:right w:w="114" w:type="dxa"/>
                </w:tcMar>
                <w:vAlign w:val="center"/>
              </w:tcPr>
              <w:p w14:paraId="14FDEDB7" w14:textId="6CBE1AE9" w:rsidR="00AE2D89" w:rsidRPr="00ED33EF" w:rsidRDefault="00AE2D89" w:rsidP="00F1637C">
                <w:pPr>
                  <w:pStyle w:val="TableIndent3"/>
                  <w:spacing w:before="0" w:after="0"/>
                  <w:ind w:left="0"/>
                  <w:rPr>
                    <w:sz w:val="14"/>
                    <w:szCs w:val="14"/>
                  </w:rPr>
                </w:pPr>
                <w:r w:rsidRPr="0032337D">
                  <w:rPr>
                    <w:rFonts w:cs="Segoe UI"/>
                    <w:b/>
                    <w:sz w:val="14"/>
                    <w:lang w:val="en-GB" w:eastAsia="it-IT"/>
                  </w:rPr>
                  <w:t>Safety</w:t>
                </w:r>
              </w:p>
            </w:tc>
            <w:tc>
              <w:tcPr>
                <w:tcW w:w="711" w:type="pct"/>
                <w:shd w:val="clear" w:color="auto" w:fill="FFFFFF" w:themeFill="background2"/>
                <w:tcMar>
                  <w:top w:w="60" w:type="dxa"/>
                  <w:left w:w="114" w:type="dxa"/>
                  <w:bottom w:w="60" w:type="dxa"/>
                  <w:right w:w="114" w:type="dxa"/>
                </w:tcMar>
                <w:vAlign w:val="center"/>
              </w:tcPr>
              <w:p w14:paraId="6C953728" w14:textId="60FAB909" w:rsidR="00AE2D89" w:rsidRPr="00ED33EF" w:rsidRDefault="00AE2D89" w:rsidP="00F1637C">
                <w:pPr>
                  <w:pStyle w:val="TableTextLeft"/>
                  <w:spacing w:before="0" w:after="0"/>
                  <w:rPr>
                    <w:sz w:val="14"/>
                    <w:szCs w:val="14"/>
                  </w:rPr>
                </w:pPr>
                <w:r w:rsidRPr="008657EE">
                  <w:rPr>
                    <w:rFonts w:cs="Segoe UI"/>
                    <w:sz w:val="14"/>
                    <w:lang w:eastAsia="it-IT"/>
                  </w:rPr>
                  <w:t>A1.1</w:t>
                </w:r>
                <w:r w:rsidR="00B57F38">
                  <w:rPr>
                    <w:rFonts w:cs="Segoe UI"/>
                    <w:sz w:val="14"/>
                    <w:lang w:eastAsia="it-IT"/>
                  </w:rPr>
                  <w:t xml:space="preserve"> – </w:t>
                </w:r>
                <w:r w:rsidRPr="008657EE">
                  <w:rPr>
                    <w:rFonts w:cs="Segoe UI"/>
                    <w:sz w:val="14"/>
                    <w:lang w:eastAsia="it-IT"/>
                  </w:rPr>
                  <w:t>A3.1</w:t>
                </w:r>
              </w:p>
            </w:tc>
            <w:tc>
              <w:tcPr>
                <w:tcW w:w="710" w:type="pct"/>
                <w:shd w:val="clear" w:color="auto" w:fill="FFFFFF" w:themeFill="background2"/>
                <w:tcMar>
                  <w:top w:w="60" w:type="dxa"/>
                  <w:left w:w="114" w:type="dxa"/>
                  <w:bottom w:w="60" w:type="dxa"/>
                  <w:right w:w="114" w:type="dxa"/>
                </w:tcMar>
                <w:vAlign w:val="center"/>
              </w:tcPr>
              <w:p w14:paraId="3371E3C8" w14:textId="08A12923" w:rsidR="00AE2D89" w:rsidRPr="00F276EB" w:rsidRDefault="00AE2D89" w:rsidP="00F1637C">
                <w:pPr>
                  <w:pStyle w:val="TableTextLeft"/>
                  <w:spacing w:before="0" w:after="0"/>
                  <w:jc w:val="center"/>
                  <w:rPr>
                    <w:rFonts w:cs="Segoe UI"/>
                    <w:sz w:val="14"/>
                    <w:lang w:eastAsia="it-IT"/>
                  </w:rPr>
                </w:pPr>
                <w:r w:rsidRPr="00F276EB">
                  <w:rPr>
                    <w:rFonts w:cs="Segoe UI"/>
                    <w:sz w:val="14"/>
                    <w:lang w:eastAsia="it-IT"/>
                  </w:rPr>
                  <w:t>0</w:t>
                </w:r>
                <w:r w:rsidR="001D0DD9">
                  <w:rPr>
                    <w:rFonts w:cs="Segoe UI"/>
                    <w:sz w:val="14"/>
                    <w:lang w:eastAsia="it-IT"/>
                  </w:rPr>
                  <w:t>.</w:t>
                </w:r>
                <w:r w:rsidRPr="00F276EB">
                  <w:rPr>
                    <w:rFonts w:cs="Segoe UI"/>
                    <w:sz w:val="14"/>
                    <w:lang w:eastAsia="it-IT"/>
                  </w:rPr>
                  <w:t>06%</w:t>
                </w:r>
              </w:p>
            </w:tc>
            <w:tc>
              <w:tcPr>
                <w:tcW w:w="710" w:type="pct"/>
                <w:shd w:val="clear" w:color="auto" w:fill="FFFFFF" w:themeFill="background2"/>
                <w:vAlign w:val="center"/>
              </w:tcPr>
              <w:p w14:paraId="333C3903" w14:textId="73A3C0D9" w:rsidR="00AE2D89" w:rsidRPr="00F276EB" w:rsidRDefault="00AE2D89" w:rsidP="00F1637C">
                <w:pPr>
                  <w:pStyle w:val="TableTextLeft"/>
                  <w:spacing w:before="0" w:after="0"/>
                  <w:jc w:val="center"/>
                  <w:rPr>
                    <w:rFonts w:cs="Segoe UI"/>
                    <w:sz w:val="14"/>
                    <w:lang w:eastAsia="it-IT"/>
                  </w:rPr>
                </w:pPr>
                <w:r w:rsidRPr="00F276EB">
                  <w:rPr>
                    <w:rFonts w:cs="Segoe UI"/>
                    <w:sz w:val="14"/>
                    <w:lang w:eastAsia="it-IT"/>
                  </w:rPr>
                  <w:t>0</w:t>
                </w:r>
                <w:r w:rsidR="001D0DD9">
                  <w:rPr>
                    <w:rFonts w:cs="Segoe UI"/>
                    <w:sz w:val="14"/>
                    <w:lang w:eastAsia="it-IT"/>
                  </w:rPr>
                  <w:t>.</w:t>
                </w:r>
                <w:r w:rsidRPr="00F276EB">
                  <w:rPr>
                    <w:rFonts w:cs="Segoe UI"/>
                    <w:sz w:val="14"/>
                    <w:lang w:eastAsia="it-IT"/>
                  </w:rPr>
                  <w:t>18%</w:t>
                </w:r>
              </w:p>
            </w:tc>
            <w:tc>
              <w:tcPr>
                <w:tcW w:w="710" w:type="pct"/>
                <w:shd w:val="clear" w:color="auto" w:fill="FFFFFF" w:themeFill="background2"/>
                <w:vAlign w:val="center"/>
              </w:tcPr>
              <w:p w14:paraId="2863FB43" w14:textId="2C8A7D50" w:rsidR="00AE2D89" w:rsidRPr="00F276EB" w:rsidRDefault="00AE2D89" w:rsidP="00F1637C">
                <w:pPr>
                  <w:pStyle w:val="TableTextLeft"/>
                  <w:spacing w:before="0" w:after="0"/>
                  <w:jc w:val="center"/>
                  <w:rPr>
                    <w:rFonts w:cs="Segoe UI"/>
                    <w:sz w:val="14"/>
                    <w:lang w:eastAsia="it-IT"/>
                  </w:rPr>
                </w:pPr>
                <w:r w:rsidRPr="00F276EB">
                  <w:rPr>
                    <w:rFonts w:cs="Segoe UI"/>
                    <w:sz w:val="14"/>
                    <w:lang w:eastAsia="it-IT"/>
                  </w:rPr>
                  <w:t>0</w:t>
                </w:r>
                <w:r w:rsidR="001D0DD9">
                  <w:rPr>
                    <w:rFonts w:cs="Segoe UI"/>
                    <w:sz w:val="14"/>
                    <w:lang w:eastAsia="it-IT"/>
                  </w:rPr>
                  <w:t>.</w:t>
                </w:r>
                <w:r w:rsidRPr="00F276EB">
                  <w:rPr>
                    <w:rFonts w:cs="Segoe UI"/>
                    <w:sz w:val="14"/>
                    <w:lang w:eastAsia="it-IT"/>
                  </w:rPr>
                  <w:t>40%</w:t>
                </w:r>
              </w:p>
            </w:tc>
            <w:tc>
              <w:tcPr>
                <w:tcW w:w="710" w:type="pct"/>
                <w:shd w:val="clear" w:color="auto" w:fill="FFFFFF" w:themeFill="background2"/>
                <w:vAlign w:val="center"/>
              </w:tcPr>
              <w:p w14:paraId="3C59341A" w14:textId="18A8C483" w:rsidR="00AE2D89" w:rsidRPr="00F276EB" w:rsidRDefault="00AE2D89" w:rsidP="00F1637C">
                <w:pPr>
                  <w:pStyle w:val="TableTextLeft"/>
                  <w:spacing w:before="0" w:after="0"/>
                  <w:jc w:val="center"/>
                  <w:rPr>
                    <w:rFonts w:cs="Segoe UI"/>
                    <w:sz w:val="14"/>
                    <w:lang w:eastAsia="it-IT"/>
                  </w:rPr>
                </w:pPr>
                <w:r w:rsidRPr="00F276EB">
                  <w:rPr>
                    <w:rFonts w:cs="Segoe UI"/>
                    <w:sz w:val="14"/>
                    <w:lang w:eastAsia="it-IT"/>
                  </w:rPr>
                  <w:t>0</w:t>
                </w:r>
                <w:r w:rsidR="001D0DD9">
                  <w:rPr>
                    <w:rFonts w:cs="Segoe UI"/>
                    <w:sz w:val="14"/>
                    <w:lang w:eastAsia="it-IT"/>
                  </w:rPr>
                  <w:t>.</w:t>
                </w:r>
                <w:r w:rsidRPr="00F276EB">
                  <w:rPr>
                    <w:rFonts w:cs="Segoe UI"/>
                    <w:sz w:val="14"/>
                    <w:lang w:eastAsia="it-IT"/>
                  </w:rPr>
                  <w:t>71%</w:t>
                </w:r>
              </w:p>
            </w:tc>
            <w:tc>
              <w:tcPr>
                <w:tcW w:w="707" w:type="pct"/>
                <w:shd w:val="clear" w:color="auto" w:fill="FFFFFF" w:themeFill="background2"/>
                <w:vAlign w:val="center"/>
              </w:tcPr>
              <w:p w14:paraId="453090ED" w14:textId="0F65ACB6" w:rsidR="00AE2D89" w:rsidRPr="00F276EB" w:rsidRDefault="00AE2D89" w:rsidP="00F1637C">
                <w:pPr>
                  <w:pStyle w:val="TableTextLeft"/>
                  <w:spacing w:before="0" w:after="0"/>
                  <w:jc w:val="center"/>
                  <w:rPr>
                    <w:rFonts w:cs="Segoe UI"/>
                    <w:sz w:val="14"/>
                    <w:lang w:eastAsia="it-IT"/>
                  </w:rPr>
                </w:pPr>
                <w:r w:rsidRPr="00F276EB">
                  <w:rPr>
                    <w:rFonts w:cs="Segoe UI"/>
                    <w:sz w:val="14"/>
                    <w:lang w:eastAsia="it-IT"/>
                  </w:rPr>
                  <w:t>1</w:t>
                </w:r>
                <w:r w:rsidR="001D0DD9">
                  <w:rPr>
                    <w:rFonts w:cs="Segoe UI"/>
                    <w:sz w:val="14"/>
                    <w:lang w:eastAsia="it-IT"/>
                  </w:rPr>
                  <w:t>.</w:t>
                </w:r>
                <w:r w:rsidRPr="00F276EB">
                  <w:rPr>
                    <w:rFonts w:cs="Segoe UI"/>
                    <w:sz w:val="14"/>
                    <w:lang w:eastAsia="it-IT"/>
                  </w:rPr>
                  <w:t>11%</w:t>
                </w:r>
              </w:p>
            </w:tc>
          </w:tr>
          <w:tr w:rsidR="00AE2D89" w:rsidRPr="00ED33EF" w14:paraId="0349A9C7" w14:textId="08D3B25A" w:rsidTr="00A875C2">
            <w:trPr>
              <w:trHeight w:val="283"/>
            </w:trPr>
            <w:tc>
              <w:tcPr>
                <w:tcW w:w="743" w:type="pct"/>
                <w:shd w:val="clear" w:color="auto" w:fill="FFFFFF" w:themeFill="background2"/>
                <w:tcMar>
                  <w:top w:w="60" w:type="dxa"/>
                  <w:left w:w="114" w:type="dxa"/>
                  <w:bottom w:w="60" w:type="dxa"/>
                  <w:right w:w="114" w:type="dxa"/>
                </w:tcMar>
                <w:vAlign w:val="center"/>
              </w:tcPr>
              <w:p w14:paraId="21DDF679" w14:textId="087D0764" w:rsidR="00AE2D89" w:rsidRPr="00ED33EF" w:rsidRDefault="00AE2D89" w:rsidP="00F1637C">
                <w:pPr>
                  <w:pStyle w:val="TableIndent3"/>
                  <w:spacing w:before="0" w:after="0"/>
                  <w:ind w:left="0"/>
                  <w:rPr>
                    <w:rFonts w:cs="Segoe UI"/>
                    <w:b/>
                    <w:sz w:val="14"/>
                    <w:szCs w:val="14"/>
                    <w:lang w:val="en-GB" w:eastAsia="it-IT"/>
                  </w:rPr>
                </w:pPr>
                <w:r w:rsidRPr="0032337D">
                  <w:rPr>
                    <w:rFonts w:cs="Segoe UI"/>
                    <w:b/>
                    <w:sz w:val="14"/>
                    <w:lang w:val="en-GB" w:eastAsia="it-IT"/>
                  </w:rPr>
                  <w:t>Solvency</w:t>
                </w:r>
              </w:p>
            </w:tc>
            <w:tc>
              <w:tcPr>
                <w:tcW w:w="711" w:type="pct"/>
                <w:shd w:val="clear" w:color="auto" w:fill="FFFFFF" w:themeFill="background2"/>
                <w:tcMar>
                  <w:top w:w="60" w:type="dxa"/>
                  <w:left w:w="114" w:type="dxa"/>
                  <w:bottom w:w="60" w:type="dxa"/>
                  <w:right w:w="114" w:type="dxa"/>
                </w:tcMar>
                <w:vAlign w:val="center"/>
              </w:tcPr>
              <w:p w14:paraId="5B455333" w14:textId="6BCCB762" w:rsidR="00AE2D89" w:rsidRPr="00ED33EF" w:rsidRDefault="00AE2D89" w:rsidP="00F1637C">
                <w:pPr>
                  <w:pStyle w:val="TableTextLeft"/>
                  <w:spacing w:before="0" w:after="0"/>
                  <w:rPr>
                    <w:rFonts w:cs="Segoe UI"/>
                    <w:sz w:val="14"/>
                    <w:szCs w:val="14"/>
                    <w:lang w:eastAsia="it-IT"/>
                  </w:rPr>
                </w:pPr>
                <w:r w:rsidRPr="008657EE">
                  <w:rPr>
                    <w:rFonts w:cs="Segoe UI"/>
                    <w:sz w:val="14"/>
                    <w:lang w:eastAsia="it-IT"/>
                  </w:rPr>
                  <w:t>B1.1</w:t>
                </w:r>
                <w:r w:rsidR="00B57F38">
                  <w:rPr>
                    <w:rFonts w:cs="Segoe UI"/>
                    <w:sz w:val="14"/>
                    <w:lang w:eastAsia="it-IT"/>
                  </w:rPr>
                  <w:t xml:space="preserve"> – </w:t>
                </w:r>
                <w:r w:rsidRPr="008657EE">
                  <w:rPr>
                    <w:rFonts w:cs="Segoe UI"/>
                    <w:sz w:val="14"/>
                    <w:lang w:eastAsia="it-IT"/>
                  </w:rPr>
                  <w:t>B1.2</w:t>
                </w:r>
              </w:p>
            </w:tc>
            <w:tc>
              <w:tcPr>
                <w:tcW w:w="710" w:type="pct"/>
                <w:shd w:val="clear" w:color="auto" w:fill="FFFFFF" w:themeFill="background2"/>
                <w:tcMar>
                  <w:top w:w="60" w:type="dxa"/>
                  <w:left w:w="114" w:type="dxa"/>
                  <w:bottom w:w="60" w:type="dxa"/>
                  <w:right w:w="114" w:type="dxa"/>
                </w:tcMar>
                <w:vAlign w:val="center"/>
              </w:tcPr>
              <w:p w14:paraId="0D95C42A" w14:textId="763D04D7" w:rsidR="00AE2D89" w:rsidRPr="00F276EB" w:rsidRDefault="00AE2D89" w:rsidP="00F1637C">
                <w:pPr>
                  <w:pStyle w:val="TableTextLeft"/>
                  <w:spacing w:before="0" w:after="0"/>
                  <w:jc w:val="center"/>
                  <w:rPr>
                    <w:rFonts w:cs="Segoe UI"/>
                    <w:sz w:val="14"/>
                    <w:lang w:eastAsia="it-IT"/>
                  </w:rPr>
                </w:pPr>
                <w:r w:rsidRPr="00F276EB">
                  <w:rPr>
                    <w:rFonts w:cs="Segoe UI"/>
                    <w:sz w:val="14"/>
                    <w:lang w:eastAsia="it-IT"/>
                  </w:rPr>
                  <w:t>0</w:t>
                </w:r>
                <w:r w:rsidR="001D0DD9">
                  <w:rPr>
                    <w:rFonts w:cs="Segoe UI"/>
                    <w:sz w:val="14"/>
                    <w:lang w:eastAsia="it-IT"/>
                  </w:rPr>
                  <w:t>.</w:t>
                </w:r>
                <w:r w:rsidRPr="00F276EB">
                  <w:rPr>
                    <w:rFonts w:cs="Segoe UI"/>
                    <w:sz w:val="14"/>
                    <w:lang w:eastAsia="it-IT"/>
                  </w:rPr>
                  <w:t>41%</w:t>
                </w:r>
              </w:p>
            </w:tc>
            <w:tc>
              <w:tcPr>
                <w:tcW w:w="710" w:type="pct"/>
                <w:shd w:val="clear" w:color="auto" w:fill="FFFFFF" w:themeFill="background2"/>
                <w:vAlign w:val="center"/>
              </w:tcPr>
              <w:p w14:paraId="459343AB" w14:textId="0F13E00D" w:rsidR="00AE2D89" w:rsidRPr="00F276EB" w:rsidRDefault="00AE2D89" w:rsidP="00F1637C">
                <w:pPr>
                  <w:pStyle w:val="TableTextLeft"/>
                  <w:spacing w:before="0" w:after="0"/>
                  <w:jc w:val="center"/>
                  <w:rPr>
                    <w:rFonts w:cs="Segoe UI"/>
                    <w:sz w:val="14"/>
                    <w:lang w:eastAsia="it-IT"/>
                  </w:rPr>
                </w:pPr>
                <w:r w:rsidRPr="00F276EB">
                  <w:rPr>
                    <w:rFonts w:cs="Segoe UI"/>
                    <w:sz w:val="14"/>
                    <w:lang w:eastAsia="it-IT"/>
                  </w:rPr>
                  <w:t>1</w:t>
                </w:r>
                <w:r w:rsidR="001D0DD9">
                  <w:rPr>
                    <w:rFonts w:cs="Segoe UI"/>
                    <w:sz w:val="14"/>
                    <w:lang w:eastAsia="it-IT"/>
                  </w:rPr>
                  <w:t>.</w:t>
                </w:r>
                <w:r w:rsidRPr="00F276EB">
                  <w:rPr>
                    <w:rFonts w:cs="Segoe UI"/>
                    <w:sz w:val="14"/>
                    <w:lang w:eastAsia="it-IT"/>
                  </w:rPr>
                  <w:t>10%</w:t>
                </w:r>
              </w:p>
            </w:tc>
            <w:tc>
              <w:tcPr>
                <w:tcW w:w="710" w:type="pct"/>
                <w:shd w:val="clear" w:color="auto" w:fill="FFFFFF" w:themeFill="background2"/>
                <w:vAlign w:val="center"/>
              </w:tcPr>
              <w:p w14:paraId="3D97CABE" w14:textId="41FF61EE" w:rsidR="00AE2D89" w:rsidRPr="00F276EB" w:rsidRDefault="00AE2D89" w:rsidP="00F1637C">
                <w:pPr>
                  <w:pStyle w:val="TableTextLeft"/>
                  <w:spacing w:before="0" w:after="0"/>
                  <w:jc w:val="center"/>
                  <w:rPr>
                    <w:rFonts w:cs="Segoe UI"/>
                    <w:sz w:val="14"/>
                    <w:lang w:eastAsia="it-IT"/>
                  </w:rPr>
                </w:pPr>
                <w:r w:rsidRPr="00F276EB">
                  <w:rPr>
                    <w:rFonts w:cs="Segoe UI"/>
                    <w:sz w:val="14"/>
                    <w:lang w:eastAsia="it-IT"/>
                  </w:rPr>
                  <w:t>1</w:t>
                </w:r>
                <w:r w:rsidR="001D0DD9">
                  <w:rPr>
                    <w:rFonts w:cs="Segoe UI"/>
                    <w:sz w:val="14"/>
                    <w:lang w:eastAsia="it-IT"/>
                  </w:rPr>
                  <w:t>.</w:t>
                </w:r>
                <w:r w:rsidRPr="00F276EB">
                  <w:rPr>
                    <w:rFonts w:cs="Segoe UI"/>
                    <w:sz w:val="14"/>
                    <w:lang w:eastAsia="it-IT"/>
                  </w:rPr>
                  <w:t>99%</w:t>
                </w:r>
              </w:p>
            </w:tc>
            <w:tc>
              <w:tcPr>
                <w:tcW w:w="710" w:type="pct"/>
                <w:shd w:val="clear" w:color="auto" w:fill="FFFFFF" w:themeFill="background2"/>
                <w:vAlign w:val="center"/>
              </w:tcPr>
              <w:p w14:paraId="3C6DDEE4" w14:textId="67B03854" w:rsidR="00AE2D89" w:rsidRPr="00F276EB" w:rsidRDefault="00AE2D89" w:rsidP="00F1637C">
                <w:pPr>
                  <w:pStyle w:val="TableTextLeft"/>
                  <w:spacing w:before="0" w:after="0"/>
                  <w:jc w:val="center"/>
                  <w:rPr>
                    <w:rFonts w:cs="Segoe UI"/>
                    <w:sz w:val="14"/>
                    <w:lang w:eastAsia="it-IT"/>
                  </w:rPr>
                </w:pPr>
                <w:r w:rsidRPr="00F276EB">
                  <w:rPr>
                    <w:rFonts w:cs="Segoe UI"/>
                    <w:sz w:val="14"/>
                    <w:lang w:eastAsia="it-IT"/>
                  </w:rPr>
                  <w:t>3</w:t>
                </w:r>
                <w:r w:rsidR="001D0DD9">
                  <w:rPr>
                    <w:rFonts w:cs="Segoe UI"/>
                    <w:sz w:val="14"/>
                    <w:lang w:eastAsia="it-IT"/>
                  </w:rPr>
                  <w:t>.</w:t>
                </w:r>
                <w:r w:rsidRPr="00F276EB">
                  <w:rPr>
                    <w:rFonts w:cs="Segoe UI"/>
                    <w:sz w:val="14"/>
                    <w:lang w:eastAsia="it-IT"/>
                  </w:rPr>
                  <w:t>09%</w:t>
                </w:r>
              </w:p>
            </w:tc>
            <w:tc>
              <w:tcPr>
                <w:tcW w:w="707" w:type="pct"/>
                <w:shd w:val="clear" w:color="auto" w:fill="FFFFFF" w:themeFill="background2"/>
                <w:vAlign w:val="center"/>
              </w:tcPr>
              <w:p w14:paraId="5E0CB382" w14:textId="6565F7BF" w:rsidR="00AE2D89" w:rsidRPr="00F276EB" w:rsidRDefault="00AE2D89" w:rsidP="00F1637C">
                <w:pPr>
                  <w:pStyle w:val="TableTextLeft"/>
                  <w:spacing w:before="0" w:after="0"/>
                  <w:jc w:val="center"/>
                  <w:rPr>
                    <w:rFonts w:cs="Segoe UI"/>
                    <w:sz w:val="14"/>
                    <w:lang w:eastAsia="it-IT"/>
                  </w:rPr>
                </w:pPr>
                <w:r w:rsidRPr="00F276EB">
                  <w:rPr>
                    <w:rFonts w:cs="Segoe UI"/>
                    <w:sz w:val="14"/>
                    <w:lang w:eastAsia="it-IT"/>
                  </w:rPr>
                  <w:t>4</w:t>
                </w:r>
                <w:r w:rsidR="001D0DD9">
                  <w:rPr>
                    <w:rFonts w:cs="Segoe UI"/>
                    <w:sz w:val="14"/>
                    <w:lang w:eastAsia="it-IT"/>
                  </w:rPr>
                  <w:t>.</w:t>
                </w:r>
                <w:r w:rsidRPr="00F276EB">
                  <w:rPr>
                    <w:rFonts w:cs="Segoe UI"/>
                    <w:sz w:val="14"/>
                    <w:lang w:eastAsia="it-IT"/>
                  </w:rPr>
                  <w:t>32%</w:t>
                </w:r>
              </w:p>
            </w:tc>
          </w:tr>
          <w:tr w:rsidR="00AE2D89" w:rsidRPr="00ED33EF" w14:paraId="404F7038" w14:textId="45E020DE" w:rsidTr="00A875C2">
            <w:trPr>
              <w:trHeight w:val="283"/>
            </w:trPr>
            <w:tc>
              <w:tcPr>
                <w:tcW w:w="743" w:type="pct"/>
                <w:shd w:val="clear" w:color="auto" w:fill="FFFFFF" w:themeFill="background2"/>
                <w:tcMar>
                  <w:top w:w="60" w:type="dxa"/>
                  <w:left w:w="114" w:type="dxa"/>
                  <w:bottom w:w="60" w:type="dxa"/>
                  <w:right w:w="114" w:type="dxa"/>
                </w:tcMar>
                <w:vAlign w:val="center"/>
              </w:tcPr>
              <w:p w14:paraId="3C02E719" w14:textId="46017AF8" w:rsidR="00AE2D89" w:rsidRPr="00ED33EF" w:rsidRDefault="00AE2D89" w:rsidP="00F1637C">
                <w:pPr>
                  <w:pStyle w:val="TableIndent3"/>
                  <w:spacing w:before="0" w:after="0"/>
                  <w:ind w:left="0"/>
                  <w:rPr>
                    <w:rFonts w:cs="Segoe UI"/>
                    <w:b/>
                    <w:sz w:val="14"/>
                    <w:szCs w:val="14"/>
                    <w:lang w:val="en-GB" w:eastAsia="it-IT"/>
                  </w:rPr>
                </w:pPr>
                <w:r w:rsidRPr="0032337D">
                  <w:rPr>
                    <w:rFonts w:cs="Segoe UI"/>
                    <w:b/>
                    <w:sz w:val="14"/>
                    <w:lang w:val="en-GB" w:eastAsia="it-IT"/>
                  </w:rPr>
                  <w:t>Vulnerability</w:t>
                </w:r>
              </w:p>
            </w:tc>
            <w:tc>
              <w:tcPr>
                <w:tcW w:w="711" w:type="pct"/>
                <w:shd w:val="clear" w:color="auto" w:fill="FFFFFF" w:themeFill="background2"/>
                <w:tcMar>
                  <w:top w:w="60" w:type="dxa"/>
                  <w:left w:w="114" w:type="dxa"/>
                  <w:bottom w:w="60" w:type="dxa"/>
                  <w:right w:w="114" w:type="dxa"/>
                </w:tcMar>
                <w:vAlign w:val="center"/>
              </w:tcPr>
              <w:p w14:paraId="56687F94" w14:textId="037A875B" w:rsidR="00AE2D89" w:rsidRPr="00ED33EF" w:rsidRDefault="00AE2D89" w:rsidP="00F1637C">
                <w:pPr>
                  <w:pStyle w:val="TableTextLeft"/>
                  <w:spacing w:before="0" w:after="0"/>
                  <w:rPr>
                    <w:rFonts w:cs="Segoe UI"/>
                    <w:sz w:val="14"/>
                    <w:szCs w:val="14"/>
                    <w:lang w:eastAsia="it-IT"/>
                  </w:rPr>
                </w:pPr>
                <w:r w:rsidRPr="008657EE">
                  <w:rPr>
                    <w:rFonts w:cs="Segoe UI"/>
                    <w:sz w:val="14"/>
                    <w:lang w:eastAsia="it-IT"/>
                  </w:rPr>
                  <w:t>B2.1</w:t>
                </w:r>
                <w:r w:rsidR="00B57F38">
                  <w:rPr>
                    <w:rFonts w:cs="Segoe UI"/>
                    <w:sz w:val="14"/>
                    <w:lang w:eastAsia="it-IT"/>
                  </w:rPr>
                  <w:t xml:space="preserve"> – </w:t>
                </w:r>
                <w:r w:rsidRPr="008657EE">
                  <w:rPr>
                    <w:rFonts w:cs="Segoe UI"/>
                    <w:sz w:val="14"/>
                    <w:lang w:eastAsia="it-IT"/>
                  </w:rPr>
                  <w:t>B2.2</w:t>
                </w:r>
              </w:p>
            </w:tc>
            <w:tc>
              <w:tcPr>
                <w:tcW w:w="710" w:type="pct"/>
                <w:shd w:val="clear" w:color="auto" w:fill="FFFFFF" w:themeFill="background2"/>
                <w:tcMar>
                  <w:top w:w="60" w:type="dxa"/>
                  <w:left w:w="114" w:type="dxa"/>
                  <w:bottom w:w="60" w:type="dxa"/>
                  <w:right w:w="114" w:type="dxa"/>
                </w:tcMar>
                <w:vAlign w:val="center"/>
              </w:tcPr>
              <w:p w14:paraId="01F324EA" w14:textId="0672484D" w:rsidR="00AE2D89" w:rsidRPr="00F276EB" w:rsidRDefault="00AE2D89" w:rsidP="00F1637C">
                <w:pPr>
                  <w:pStyle w:val="TableTextLeft"/>
                  <w:spacing w:before="0" w:after="0"/>
                  <w:jc w:val="center"/>
                  <w:rPr>
                    <w:rFonts w:cs="Segoe UI"/>
                    <w:sz w:val="14"/>
                    <w:lang w:eastAsia="it-IT"/>
                  </w:rPr>
                </w:pPr>
                <w:r w:rsidRPr="00F276EB">
                  <w:rPr>
                    <w:rFonts w:cs="Segoe UI"/>
                    <w:sz w:val="14"/>
                    <w:lang w:eastAsia="it-IT"/>
                  </w:rPr>
                  <w:t>1</w:t>
                </w:r>
                <w:r w:rsidR="001D0DD9">
                  <w:rPr>
                    <w:rFonts w:cs="Segoe UI"/>
                    <w:sz w:val="14"/>
                    <w:lang w:eastAsia="it-IT"/>
                  </w:rPr>
                  <w:t>.</w:t>
                </w:r>
                <w:r w:rsidRPr="00F276EB">
                  <w:rPr>
                    <w:rFonts w:cs="Segoe UI"/>
                    <w:sz w:val="14"/>
                    <w:lang w:eastAsia="it-IT"/>
                  </w:rPr>
                  <w:t>77%</w:t>
                </w:r>
              </w:p>
            </w:tc>
            <w:tc>
              <w:tcPr>
                <w:tcW w:w="710" w:type="pct"/>
                <w:shd w:val="clear" w:color="auto" w:fill="FFFFFF" w:themeFill="background2"/>
                <w:vAlign w:val="center"/>
              </w:tcPr>
              <w:p w14:paraId="67DBD7CF" w14:textId="32F3BD6A" w:rsidR="00AE2D89" w:rsidRPr="00F276EB" w:rsidRDefault="00AE2D89" w:rsidP="00F1637C">
                <w:pPr>
                  <w:pStyle w:val="TableTextLeft"/>
                  <w:spacing w:before="0" w:after="0"/>
                  <w:jc w:val="center"/>
                  <w:rPr>
                    <w:rFonts w:cs="Segoe UI"/>
                    <w:sz w:val="14"/>
                    <w:lang w:eastAsia="it-IT"/>
                  </w:rPr>
                </w:pPr>
                <w:r w:rsidRPr="00F276EB">
                  <w:rPr>
                    <w:rFonts w:cs="Segoe UI"/>
                    <w:sz w:val="14"/>
                    <w:lang w:eastAsia="it-IT"/>
                  </w:rPr>
                  <w:t>4</w:t>
                </w:r>
                <w:r w:rsidR="001D0DD9">
                  <w:rPr>
                    <w:rFonts w:cs="Segoe UI"/>
                    <w:sz w:val="14"/>
                    <w:lang w:eastAsia="it-IT"/>
                  </w:rPr>
                  <w:t>.</w:t>
                </w:r>
                <w:r w:rsidRPr="00F276EB">
                  <w:rPr>
                    <w:rFonts w:cs="Segoe UI"/>
                    <w:sz w:val="14"/>
                    <w:lang w:eastAsia="it-IT"/>
                  </w:rPr>
                  <w:t>15%</w:t>
                </w:r>
              </w:p>
            </w:tc>
            <w:tc>
              <w:tcPr>
                <w:tcW w:w="710" w:type="pct"/>
                <w:shd w:val="clear" w:color="auto" w:fill="FFFFFF" w:themeFill="background2"/>
                <w:vAlign w:val="center"/>
              </w:tcPr>
              <w:p w14:paraId="77F2FFE2" w14:textId="30189078" w:rsidR="00AE2D89" w:rsidRPr="00F276EB" w:rsidRDefault="00AE2D89" w:rsidP="00F1637C">
                <w:pPr>
                  <w:pStyle w:val="TableTextLeft"/>
                  <w:spacing w:before="0" w:after="0"/>
                  <w:jc w:val="center"/>
                  <w:rPr>
                    <w:rFonts w:cs="Segoe UI"/>
                    <w:sz w:val="14"/>
                    <w:lang w:eastAsia="it-IT"/>
                  </w:rPr>
                </w:pPr>
                <w:r w:rsidRPr="00F276EB">
                  <w:rPr>
                    <w:rFonts w:cs="Segoe UI"/>
                    <w:sz w:val="14"/>
                    <w:lang w:eastAsia="it-IT"/>
                  </w:rPr>
                  <w:t>6</w:t>
                </w:r>
                <w:r w:rsidR="001D0DD9">
                  <w:rPr>
                    <w:rFonts w:cs="Segoe UI"/>
                    <w:sz w:val="14"/>
                    <w:lang w:eastAsia="it-IT"/>
                  </w:rPr>
                  <w:t>.</w:t>
                </w:r>
                <w:r w:rsidRPr="00F276EB">
                  <w:rPr>
                    <w:rFonts w:cs="Segoe UI"/>
                    <w:sz w:val="14"/>
                    <w:lang w:eastAsia="it-IT"/>
                  </w:rPr>
                  <w:t>71%</w:t>
                </w:r>
              </w:p>
            </w:tc>
            <w:tc>
              <w:tcPr>
                <w:tcW w:w="710" w:type="pct"/>
                <w:shd w:val="clear" w:color="auto" w:fill="FFFFFF" w:themeFill="background2"/>
                <w:vAlign w:val="center"/>
              </w:tcPr>
              <w:p w14:paraId="4259B6D8" w14:textId="5DF26BB8" w:rsidR="00AE2D89" w:rsidRPr="00F276EB" w:rsidRDefault="00AE2D89" w:rsidP="00F1637C">
                <w:pPr>
                  <w:pStyle w:val="TableTextLeft"/>
                  <w:spacing w:before="0" w:after="0"/>
                  <w:jc w:val="center"/>
                  <w:rPr>
                    <w:rFonts w:cs="Segoe UI"/>
                    <w:sz w:val="14"/>
                    <w:lang w:eastAsia="it-IT"/>
                  </w:rPr>
                </w:pPr>
                <w:r w:rsidRPr="00F276EB">
                  <w:rPr>
                    <w:rFonts w:cs="Segoe UI"/>
                    <w:sz w:val="14"/>
                    <w:lang w:eastAsia="it-IT"/>
                  </w:rPr>
                  <w:t>9</w:t>
                </w:r>
                <w:r w:rsidR="001D0DD9">
                  <w:rPr>
                    <w:rFonts w:cs="Segoe UI"/>
                    <w:sz w:val="14"/>
                    <w:lang w:eastAsia="it-IT"/>
                  </w:rPr>
                  <w:t>.</w:t>
                </w:r>
                <w:r w:rsidRPr="00F276EB">
                  <w:rPr>
                    <w:rFonts w:cs="Segoe UI"/>
                    <w:sz w:val="14"/>
                    <w:lang w:eastAsia="it-IT"/>
                  </w:rPr>
                  <w:t>65%</w:t>
                </w:r>
              </w:p>
            </w:tc>
            <w:tc>
              <w:tcPr>
                <w:tcW w:w="707" w:type="pct"/>
                <w:shd w:val="clear" w:color="auto" w:fill="FFFFFF" w:themeFill="background2"/>
                <w:vAlign w:val="center"/>
              </w:tcPr>
              <w:p w14:paraId="06C86047" w14:textId="5223FD19" w:rsidR="00AE2D89" w:rsidRPr="00F276EB" w:rsidRDefault="00AE2D89" w:rsidP="00F1637C">
                <w:pPr>
                  <w:pStyle w:val="TableTextLeft"/>
                  <w:spacing w:before="0" w:after="0"/>
                  <w:jc w:val="center"/>
                  <w:rPr>
                    <w:rFonts w:cs="Segoe UI"/>
                    <w:sz w:val="14"/>
                    <w:lang w:eastAsia="it-IT"/>
                  </w:rPr>
                </w:pPr>
                <w:r w:rsidRPr="00F276EB">
                  <w:rPr>
                    <w:rFonts w:cs="Segoe UI"/>
                    <w:sz w:val="14"/>
                    <w:lang w:eastAsia="it-IT"/>
                  </w:rPr>
                  <w:t>12</w:t>
                </w:r>
                <w:r w:rsidR="001D0DD9">
                  <w:rPr>
                    <w:rFonts w:cs="Segoe UI"/>
                    <w:sz w:val="14"/>
                    <w:lang w:eastAsia="it-IT"/>
                  </w:rPr>
                  <w:t>.</w:t>
                </w:r>
                <w:r w:rsidRPr="00F276EB">
                  <w:rPr>
                    <w:rFonts w:cs="Segoe UI"/>
                    <w:sz w:val="14"/>
                    <w:lang w:eastAsia="it-IT"/>
                  </w:rPr>
                  <w:t>45%</w:t>
                </w:r>
              </w:p>
            </w:tc>
          </w:tr>
          <w:tr w:rsidR="00AE2D89" w:rsidRPr="00ED33EF" w14:paraId="1AB4AC9F" w14:textId="77777777" w:rsidTr="00A875C2">
            <w:trPr>
              <w:trHeight w:val="283"/>
            </w:trPr>
            <w:tc>
              <w:tcPr>
                <w:tcW w:w="743" w:type="pct"/>
                <w:shd w:val="clear" w:color="auto" w:fill="FFFFFF" w:themeFill="background2"/>
                <w:tcMar>
                  <w:top w:w="60" w:type="dxa"/>
                  <w:left w:w="114" w:type="dxa"/>
                  <w:bottom w:w="60" w:type="dxa"/>
                  <w:right w:w="114" w:type="dxa"/>
                </w:tcMar>
                <w:vAlign w:val="center"/>
              </w:tcPr>
              <w:p w14:paraId="191A3A25" w14:textId="3E69FE81" w:rsidR="00AE2D89" w:rsidRPr="0032337D" w:rsidRDefault="00AE2D89" w:rsidP="00F1637C">
                <w:pPr>
                  <w:pStyle w:val="TableIndent3"/>
                  <w:spacing w:before="0" w:after="0"/>
                  <w:ind w:left="0"/>
                  <w:rPr>
                    <w:rFonts w:cs="Segoe UI"/>
                    <w:b/>
                    <w:sz w:val="14"/>
                    <w:lang w:val="en-GB" w:eastAsia="it-IT"/>
                  </w:rPr>
                </w:pPr>
                <w:r>
                  <w:rPr>
                    <w:rFonts w:cs="Segoe UI"/>
                    <w:b/>
                    <w:sz w:val="14"/>
                    <w:lang w:val="en-GB" w:eastAsia="it-IT"/>
                  </w:rPr>
                  <w:t>Risk</w:t>
                </w:r>
              </w:p>
            </w:tc>
            <w:tc>
              <w:tcPr>
                <w:tcW w:w="711" w:type="pct"/>
                <w:shd w:val="clear" w:color="auto" w:fill="FFFFFF" w:themeFill="background2"/>
                <w:tcMar>
                  <w:top w:w="60" w:type="dxa"/>
                  <w:left w:w="114" w:type="dxa"/>
                  <w:bottom w:w="60" w:type="dxa"/>
                  <w:right w:w="114" w:type="dxa"/>
                </w:tcMar>
                <w:vAlign w:val="center"/>
              </w:tcPr>
              <w:p w14:paraId="1E354F92" w14:textId="5D3760EB" w:rsidR="00AE2D89" w:rsidRPr="008657EE" w:rsidRDefault="00AE2D89" w:rsidP="00F1637C">
                <w:pPr>
                  <w:pStyle w:val="TableTextLeft"/>
                  <w:spacing w:before="0" w:after="0"/>
                  <w:rPr>
                    <w:rFonts w:cs="Segoe UI"/>
                    <w:sz w:val="14"/>
                    <w:lang w:eastAsia="it-IT"/>
                  </w:rPr>
                </w:pPr>
                <w:r>
                  <w:rPr>
                    <w:rFonts w:cs="Segoe UI"/>
                    <w:sz w:val="14"/>
                    <w:lang w:eastAsia="it-IT"/>
                  </w:rPr>
                  <w:t>C1.1</w:t>
                </w:r>
                <w:r w:rsidR="00B57F38">
                  <w:rPr>
                    <w:rFonts w:cs="Segoe UI"/>
                    <w:sz w:val="14"/>
                    <w:lang w:eastAsia="it-IT"/>
                  </w:rPr>
                  <w:t xml:space="preserve"> – </w:t>
                </w:r>
                <w:r>
                  <w:rPr>
                    <w:rFonts w:cs="Segoe UI"/>
                    <w:sz w:val="14"/>
                    <w:lang w:eastAsia="it-IT"/>
                  </w:rPr>
                  <w:t>C2.1</w:t>
                </w:r>
              </w:p>
            </w:tc>
            <w:tc>
              <w:tcPr>
                <w:tcW w:w="710" w:type="pct"/>
                <w:shd w:val="clear" w:color="auto" w:fill="FFFFFF" w:themeFill="background2"/>
                <w:tcMar>
                  <w:top w:w="60" w:type="dxa"/>
                  <w:left w:w="114" w:type="dxa"/>
                  <w:bottom w:w="60" w:type="dxa"/>
                  <w:right w:w="114" w:type="dxa"/>
                </w:tcMar>
                <w:vAlign w:val="center"/>
              </w:tcPr>
              <w:p w14:paraId="7E3A5B5E" w14:textId="0D80643A" w:rsidR="00AE2D89" w:rsidRPr="00F276EB" w:rsidRDefault="00AE2D89" w:rsidP="00F1637C">
                <w:pPr>
                  <w:pStyle w:val="TableTextLeft"/>
                  <w:spacing w:before="0" w:after="0"/>
                  <w:jc w:val="center"/>
                  <w:rPr>
                    <w:rFonts w:cs="Segoe UI"/>
                    <w:sz w:val="14"/>
                    <w:lang w:eastAsia="it-IT"/>
                  </w:rPr>
                </w:pPr>
                <w:r w:rsidRPr="00F276EB">
                  <w:rPr>
                    <w:rFonts w:cs="Segoe UI"/>
                    <w:sz w:val="14"/>
                    <w:lang w:eastAsia="it-IT"/>
                  </w:rPr>
                  <w:t>15</w:t>
                </w:r>
                <w:r w:rsidR="001D0DD9">
                  <w:rPr>
                    <w:rFonts w:cs="Segoe UI"/>
                    <w:sz w:val="14"/>
                    <w:lang w:eastAsia="it-IT"/>
                  </w:rPr>
                  <w:t>.</w:t>
                </w:r>
                <w:r w:rsidRPr="00F276EB">
                  <w:rPr>
                    <w:rFonts w:cs="Segoe UI"/>
                    <w:sz w:val="14"/>
                    <w:lang w:eastAsia="it-IT"/>
                  </w:rPr>
                  <w:t>56%</w:t>
                </w:r>
              </w:p>
            </w:tc>
            <w:tc>
              <w:tcPr>
                <w:tcW w:w="710" w:type="pct"/>
                <w:shd w:val="clear" w:color="auto" w:fill="FFFFFF" w:themeFill="background2"/>
                <w:vAlign w:val="center"/>
              </w:tcPr>
              <w:p w14:paraId="1FD0225B" w14:textId="20B789A2" w:rsidR="00AE2D89" w:rsidRPr="00F276EB" w:rsidRDefault="00AE2D89" w:rsidP="00F1637C">
                <w:pPr>
                  <w:pStyle w:val="TableTextLeft"/>
                  <w:spacing w:before="0" w:after="0"/>
                  <w:jc w:val="center"/>
                  <w:rPr>
                    <w:rFonts w:cs="Segoe UI"/>
                    <w:sz w:val="14"/>
                    <w:lang w:eastAsia="it-IT"/>
                  </w:rPr>
                </w:pPr>
                <w:r w:rsidRPr="00F276EB">
                  <w:rPr>
                    <w:rFonts w:cs="Segoe UI"/>
                    <w:sz w:val="14"/>
                    <w:lang w:eastAsia="it-IT"/>
                  </w:rPr>
                  <w:t>22</w:t>
                </w:r>
                <w:r w:rsidR="001D0DD9">
                  <w:rPr>
                    <w:rFonts w:cs="Segoe UI"/>
                    <w:sz w:val="14"/>
                    <w:lang w:eastAsia="it-IT"/>
                  </w:rPr>
                  <w:t>.</w:t>
                </w:r>
                <w:r w:rsidRPr="00F276EB">
                  <w:rPr>
                    <w:rFonts w:cs="Segoe UI"/>
                    <w:sz w:val="14"/>
                    <w:lang w:eastAsia="it-IT"/>
                  </w:rPr>
                  <w:t>91%</w:t>
                </w:r>
              </w:p>
            </w:tc>
            <w:tc>
              <w:tcPr>
                <w:tcW w:w="710" w:type="pct"/>
                <w:shd w:val="clear" w:color="auto" w:fill="FFFFFF" w:themeFill="background2"/>
                <w:vAlign w:val="center"/>
              </w:tcPr>
              <w:p w14:paraId="0EC2C49E" w14:textId="5F986082" w:rsidR="00AE2D89" w:rsidRPr="00F276EB" w:rsidRDefault="00AE2D89" w:rsidP="00F1637C">
                <w:pPr>
                  <w:pStyle w:val="TableTextLeft"/>
                  <w:spacing w:before="0" w:after="0"/>
                  <w:jc w:val="center"/>
                  <w:rPr>
                    <w:rFonts w:cs="Segoe UI"/>
                    <w:sz w:val="14"/>
                    <w:lang w:eastAsia="it-IT"/>
                  </w:rPr>
                </w:pPr>
                <w:r w:rsidRPr="00F276EB">
                  <w:rPr>
                    <w:rFonts w:cs="Segoe UI"/>
                    <w:sz w:val="14"/>
                    <w:lang w:eastAsia="it-IT"/>
                  </w:rPr>
                  <w:t>28</w:t>
                </w:r>
                <w:r w:rsidR="001D0DD9">
                  <w:rPr>
                    <w:rFonts w:cs="Segoe UI"/>
                    <w:sz w:val="14"/>
                    <w:lang w:eastAsia="it-IT"/>
                  </w:rPr>
                  <w:t>.</w:t>
                </w:r>
                <w:r w:rsidRPr="00F276EB">
                  <w:rPr>
                    <w:rFonts w:cs="Segoe UI"/>
                    <w:sz w:val="14"/>
                    <w:lang w:eastAsia="it-IT"/>
                  </w:rPr>
                  <w:t>88%</w:t>
                </w:r>
              </w:p>
            </w:tc>
            <w:tc>
              <w:tcPr>
                <w:tcW w:w="710" w:type="pct"/>
                <w:shd w:val="clear" w:color="auto" w:fill="FFFFFF" w:themeFill="background2"/>
                <w:vAlign w:val="center"/>
              </w:tcPr>
              <w:p w14:paraId="60FDA6C8" w14:textId="7308FB27" w:rsidR="00AE2D89" w:rsidRPr="00F276EB" w:rsidRDefault="00AE2D89" w:rsidP="00F1637C">
                <w:pPr>
                  <w:pStyle w:val="TableTextLeft"/>
                  <w:spacing w:before="0" w:after="0"/>
                  <w:jc w:val="center"/>
                  <w:rPr>
                    <w:rFonts w:cs="Segoe UI"/>
                    <w:sz w:val="14"/>
                    <w:lang w:eastAsia="it-IT"/>
                  </w:rPr>
                </w:pPr>
                <w:r w:rsidRPr="00F276EB">
                  <w:rPr>
                    <w:rFonts w:cs="Segoe UI"/>
                    <w:sz w:val="14"/>
                    <w:lang w:eastAsia="it-IT"/>
                  </w:rPr>
                  <w:t>33</w:t>
                </w:r>
                <w:r w:rsidR="001D0DD9">
                  <w:rPr>
                    <w:rFonts w:cs="Segoe UI"/>
                    <w:sz w:val="14"/>
                    <w:lang w:eastAsia="it-IT"/>
                  </w:rPr>
                  <w:t>.</w:t>
                </w:r>
                <w:r w:rsidRPr="00F276EB">
                  <w:rPr>
                    <w:rFonts w:cs="Segoe UI"/>
                    <w:sz w:val="14"/>
                    <w:lang w:eastAsia="it-IT"/>
                  </w:rPr>
                  <w:t>56%</w:t>
                </w:r>
              </w:p>
            </w:tc>
            <w:tc>
              <w:tcPr>
                <w:tcW w:w="707" w:type="pct"/>
                <w:shd w:val="clear" w:color="auto" w:fill="FFFFFF" w:themeFill="background2"/>
                <w:vAlign w:val="center"/>
              </w:tcPr>
              <w:p w14:paraId="7DF42822" w14:textId="3C1C7206" w:rsidR="00AE2D89" w:rsidRPr="00F276EB" w:rsidRDefault="00AE2D89" w:rsidP="00F1637C">
                <w:pPr>
                  <w:pStyle w:val="TableTextLeft"/>
                  <w:spacing w:before="0" w:after="0"/>
                  <w:jc w:val="center"/>
                  <w:rPr>
                    <w:rFonts w:cs="Segoe UI"/>
                    <w:sz w:val="14"/>
                    <w:lang w:eastAsia="it-IT"/>
                  </w:rPr>
                </w:pPr>
                <w:r w:rsidRPr="00F276EB">
                  <w:rPr>
                    <w:rFonts w:cs="Segoe UI"/>
                    <w:sz w:val="14"/>
                    <w:lang w:eastAsia="it-IT"/>
                  </w:rPr>
                  <w:t>37</w:t>
                </w:r>
                <w:r w:rsidR="001D0DD9">
                  <w:rPr>
                    <w:rFonts w:cs="Segoe UI"/>
                    <w:sz w:val="14"/>
                    <w:lang w:eastAsia="it-IT"/>
                  </w:rPr>
                  <w:t>.</w:t>
                </w:r>
                <w:r w:rsidRPr="00F276EB">
                  <w:rPr>
                    <w:rFonts w:cs="Segoe UI"/>
                    <w:sz w:val="14"/>
                    <w:lang w:eastAsia="it-IT"/>
                  </w:rPr>
                  <w:t>52%</w:t>
                </w:r>
              </w:p>
            </w:tc>
          </w:tr>
          <w:tr w:rsidR="00AE2D89" w:rsidRPr="00ED33EF" w14:paraId="228C341F" w14:textId="77777777" w:rsidTr="00A875C2">
            <w:trPr>
              <w:trHeight w:val="283"/>
            </w:trPr>
            <w:tc>
              <w:tcPr>
                <w:tcW w:w="1454" w:type="pct"/>
                <w:gridSpan w:val="2"/>
                <w:shd w:val="clear" w:color="auto" w:fill="FFFFFF" w:themeFill="background2"/>
                <w:tcMar>
                  <w:top w:w="60" w:type="dxa"/>
                  <w:left w:w="114" w:type="dxa"/>
                  <w:bottom w:w="60" w:type="dxa"/>
                  <w:right w:w="114" w:type="dxa"/>
                </w:tcMar>
                <w:vAlign w:val="center"/>
              </w:tcPr>
              <w:p w14:paraId="702372E6" w14:textId="3EB0DA26" w:rsidR="00AE2D89" w:rsidRPr="000F5476" w:rsidRDefault="00AE2D89" w:rsidP="00F1637C">
                <w:pPr>
                  <w:pStyle w:val="TableTextLeft"/>
                  <w:spacing w:before="0" w:after="0"/>
                  <w:jc w:val="center"/>
                  <w:rPr>
                    <w:rFonts w:cs="Segoe UI"/>
                    <w:b/>
                    <w:bCs/>
                    <w:sz w:val="14"/>
                    <w:lang w:eastAsia="it-IT"/>
                  </w:rPr>
                </w:pPr>
                <w:r w:rsidRPr="000F5476">
                  <w:rPr>
                    <w:rFonts w:cs="Segoe UI"/>
                    <w:b/>
                    <w:bCs/>
                    <w:sz w:val="14"/>
                    <w:lang w:eastAsia="it-IT"/>
                  </w:rPr>
                  <w:t>Average</w:t>
                </w:r>
              </w:p>
            </w:tc>
            <w:tc>
              <w:tcPr>
                <w:tcW w:w="710" w:type="pct"/>
                <w:shd w:val="clear" w:color="auto" w:fill="FFFFFF" w:themeFill="background2"/>
                <w:tcMar>
                  <w:top w:w="60" w:type="dxa"/>
                  <w:left w:w="114" w:type="dxa"/>
                  <w:bottom w:w="60" w:type="dxa"/>
                  <w:right w:w="114" w:type="dxa"/>
                </w:tcMar>
                <w:vAlign w:val="center"/>
              </w:tcPr>
              <w:p w14:paraId="1AFBD0D3" w14:textId="3A790E93" w:rsidR="00AE2D89" w:rsidRPr="001D0DD9" w:rsidRDefault="00AE2D89" w:rsidP="00F1637C">
                <w:pPr>
                  <w:pStyle w:val="TableTextLeft"/>
                  <w:spacing w:before="0" w:after="0"/>
                  <w:jc w:val="center"/>
                  <w:rPr>
                    <w:rFonts w:cs="Segoe UI"/>
                    <w:b/>
                    <w:bCs/>
                    <w:sz w:val="14"/>
                    <w:lang w:eastAsia="it-IT"/>
                  </w:rPr>
                </w:pPr>
                <w:r w:rsidRPr="001D0DD9">
                  <w:rPr>
                    <w:rFonts w:cs="Segoe UI"/>
                    <w:b/>
                    <w:bCs/>
                    <w:sz w:val="14"/>
                    <w:lang w:eastAsia="it-IT"/>
                  </w:rPr>
                  <w:t>3</w:t>
                </w:r>
                <w:r w:rsidR="001D0DD9">
                  <w:rPr>
                    <w:rFonts w:cs="Segoe UI"/>
                    <w:b/>
                    <w:bCs/>
                    <w:sz w:val="14"/>
                    <w:lang w:eastAsia="it-IT"/>
                  </w:rPr>
                  <w:t>.</w:t>
                </w:r>
                <w:r w:rsidRPr="001D0DD9">
                  <w:rPr>
                    <w:rFonts w:cs="Segoe UI"/>
                    <w:b/>
                    <w:bCs/>
                    <w:sz w:val="14"/>
                    <w:lang w:eastAsia="it-IT"/>
                  </w:rPr>
                  <w:t>14%</w:t>
                </w:r>
              </w:p>
            </w:tc>
            <w:tc>
              <w:tcPr>
                <w:tcW w:w="710" w:type="pct"/>
                <w:shd w:val="clear" w:color="auto" w:fill="FFFFFF" w:themeFill="background2"/>
                <w:vAlign w:val="center"/>
              </w:tcPr>
              <w:p w14:paraId="4986FE73" w14:textId="7199C4B6" w:rsidR="00AE2D89" w:rsidRPr="001D0DD9" w:rsidRDefault="00AE2D89" w:rsidP="00F1637C">
                <w:pPr>
                  <w:pStyle w:val="TableTextLeft"/>
                  <w:spacing w:before="0" w:after="0"/>
                  <w:jc w:val="center"/>
                  <w:rPr>
                    <w:rFonts w:cs="Segoe UI"/>
                    <w:b/>
                    <w:bCs/>
                    <w:sz w:val="14"/>
                    <w:lang w:eastAsia="it-IT"/>
                  </w:rPr>
                </w:pPr>
                <w:r w:rsidRPr="001D0DD9">
                  <w:rPr>
                    <w:rFonts w:cs="Segoe UI"/>
                    <w:b/>
                    <w:bCs/>
                    <w:sz w:val="14"/>
                    <w:lang w:eastAsia="it-IT"/>
                  </w:rPr>
                  <w:t>5</w:t>
                </w:r>
                <w:r w:rsidR="001D0DD9" w:rsidRPr="001D0DD9">
                  <w:rPr>
                    <w:rFonts w:cs="Segoe UI"/>
                    <w:b/>
                    <w:bCs/>
                    <w:sz w:val="14"/>
                    <w:lang w:eastAsia="it-IT"/>
                  </w:rPr>
                  <w:t>.</w:t>
                </w:r>
                <w:r w:rsidRPr="001D0DD9">
                  <w:rPr>
                    <w:rFonts w:cs="Segoe UI"/>
                    <w:b/>
                    <w:bCs/>
                    <w:sz w:val="14"/>
                    <w:lang w:eastAsia="it-IT"/>
                  </w:rPr>
                  <w:t>31%</w:t>
                </w:r>
              </w:p>
            </w:tc>
            <w:tc>
              <w:tcPr>
                <w:tcW w:w="710" w:type="pct"/>
                <w:shd w:val="clear" w:color="auto" w:fill="FFFFFF" w:themeFill="background2"/>
                <w:vAlign w:val="center"/>
              </w:tcPr>
              <w:p w14:paraId="5ADC6CC6" w14:textId="6251BE5D" w:rsidR="00AE2D89" w:rsidRPr="001D0DD9" w:rsidRDefault="00AE2D89" w:rsidP="00F1637C">
                <w:pPr>
                  <w:pStyle w:val="TableTextLeft"/>
                  <w:spacing w:before="0" w:after="0"/>
                  <w:jc w:val="center"/>
                  <w:rPr>
                    <w:rFonts w:cs="Segoe UI"/>
                    <w:b/>
                    <w:bCs/>
                    <w:sz w:val="14"/>
                    <w:lang w:eastAsia="it-IT"/>
                  </w:rPr>
                </w:pPr>
                <w:r w:rsidRPr="001D0DD9">
                  <w:rPr>
                    <w:rFonts w:cs="Segoe UI"/>
                    <w:b/>
                    <w:bCs/>
                    <w:sz w:val="14"/>
                    <w:lang w:eastAsia="it-IT"/>
                  </w:rPr>
                  <w:t>7</w:t>
                </w:r>
                <w:r w:rsidR="001D0DD9" w:rsidRPr="001D0DD9">
                  <w:rPr>
                    <w:rFonts w:cs="Segoe UI"/>
                    <w:b/>
                    <w:bCs/>
                    <w:sz w:val="14"/>
                    <w:lang w:eastAsia="it-IT"/>
                  </w:rPr>
                  <w:t>.</w:t>
                </w:r>
                <w:r w:rsidRPr="001D0DD9">
                  <w:rPr>
                    <w:rFonts w:cs="Segoe UI"/>
                    <w:b/>
                    <w:bCs/>
                    <w:sz w:val="14"/>
                    <w:lang w:eastAsia="it-IT"/>
                  </w:rPr>
                  <w:t>44%</w:t>
                </w:r>
              </w:p>
            </w:tc>
            <w:tc>
              <w:tcPr>
                <w:tcW w:w="710" w:type="pct"/>
                <w:shd w:val="clear" w:color="auto" w:fill="FFFFFF" w:themeFill="background2"/>
                <w:vAlign w:val="center"/>
              </w:tcPr>
              <w:p w14:paraId="5545D074" w14:textId="400C668A" w:rsidR="00AE2D89" w:rsidRPr="001D0DD9" w:rsidRDefault="00AE2D89" w:rsidP="00F1637C">
                <w:pPr>
                  <w:pStyle w:val="TableTextLeft"/>
                  <w:spacing w:before="0" w:after="0"/>
                  <w:jc w:val="center"/>
                  <w:rPr>
                    <w:rFonts w:cs="Segoe UI"/>
                    <w:b/>
                    <w:bCs/>
                    <w:sz w:val="14"/>
                    <w:lang w:eastAsia="it-IT"/>
                  </w:rPr>
                </w:pPr>
                <w:r w:rsidRPr="001D0DD9">
                  <w:rPr>
                    <w:rFonts w:cs="Segoe UI"/>
                    <w:b/>
                    <w:bCs/>
                    <w:sz w:val="14"/>
                    <w:lang w:eastAsia="it-IT"/>
                  </w:rPr>
                  <w:t>9</w:t>
                </w:r>
                <w:r w:rsidR="001D0DD9" w:rsidRPr="001D0DD9">
                  <w:rPr>
                    <w:rFonts w:cs="Segoe UI"/>
                    <w:b/>
                    <w:bCs/>
                    <w:sz w:val="14"/>
                    <w:lang w:eastAsia="it-IT"/>
                  </w:rPr>
                  <w:t>.</w:t>
                </w:r>
                <w:r w:rsidRPr="001D0DD9">
                  <w:rPr>
                    <w:rFonts w:cs="Segoe UI"/>
                    <w:b/>
                    <w:bCs/>
                    <w:sz w:val="14"/>
                    <w:lang w:eastAsia="it-IT"/>
                  </w:rPr>
                  <w:t>71%</w:t>
                </w:r>
              </w:p>
            </w:tc>
            <w:tc>
              <w:tcPr>
                <w:tcW w:w="707" w:type="pct"/>
                <w:shd w:val="clear" w:color="auto" w:fill="FFFFFF" w:themeFill="background2"/>
                <w:vAlign w:val="center"/>
              </w:tcPr>
              <w:p w14:paraId="725ADAE3" w14:textId="7CF571CC" w:rsidR="00AE2D89" w:rsidRPr="001D0DD9" w:rsidRDefault="00F276EB" w:rsidP="00F1637C">
                <w:pPr>
                  <w:pStyle w:val="TableTextLeft"/>
                  <w:spacing w:before="0" w:after="0"/>
                  <w:jc w:val="center"/>
                  <w:rPr>
                    <w:rFonts w:cs="Segoe UI"/>
                    <w:b/>
                    <w:bCs/>
                    <w:sz w:val="14"/>
                    <w:lang w:eastAsia="it-IT"/>
                  </w:rPr>
                </w:pPr>
                <w:r w:rsidRPr="001D0DD9">
                  <w:rPr>
                    <w:rFonts w:cs="Segoe UI"/>
                    <w:b/>
                    <w:bCs/>
                    <w:sz w:val="14"/>
                    <w:lang w:eastAsia="it-IT"/>
                  </w:rPr>
                  <w:t>11</w:t>
                </w:r>
                <w:r w:rsidR="001D0DD9" w:rsidRPr="001D0DD9">
                  <w:rPr>
                    <w:rFonts w:cs="Segoe UI"/>
                    <w:b/>
                    <w:bCs/>
                    <w:sz w:val="14"/>
                    <w:lang w:eastAsia="it-IT"/>
                  </w:rPr>
                  <w:t>.</w:t>
                </w:r>
                <w:r w:rsidRPr="001D0DD9">
                  <w:rPr>
                    <w:rFonts w:cs="Segoe UI"/>
                    <w:b/>
                    <w:bCs/>
                    <w:sz w:val="14"/>
                    <w:lang w:eastAsia="it-IT"/>
                  </w:rPr>
                  <w:t>96%</w:t>
                </w:r>
              </w:p>
            </w:tc>
          </w:tr>
        </w:tbl>
        <w:p w14:paraId="593AD293" w14:textId="5130F3A5" w:rsidR="004101BF" w:rsidRDefault="004101BF" w:rsidP="004101BF">
          <w:pPr>
            <w:spacing w:line="240" w:lineRule="auto"/>
            <w:rPr>
              <w:rFonts w:cs="Segoe UI"/>
              <w:lang w:val="en-GB"/>
            </w:rPr>
          </w:pPr>
        </w:p>
        <w:p w14:paraId="42B0A3BF" w14:textId="77777777" w:rsidR="00AB1E1D" w:rsidRDefault="00AB1E1D">
          <w:pPr>
            <w:spacing w:before="0" w:after="200" w:line="276" w:lineRule="auto"/>
            <w:jc w:val="left"/>
            <w:rPr>
              <w:rFonts w:cs="Segoe UI"/>
              <w:lang w:val="en-GB"/>
            </w:rPr>
          </w:pPr>
          <w:r>
            <w:rPr>
              <w:rFonts w:cs="Segoe UI"/>
              <w:lang w:val="en-GB"/>
            </w:rPr>
            <w:br w:type="page"/>
          </w:r>
        </w:p>
        <w:p w14:paraId="40AD379B" w14:textId="291917BE" w:rsidR="004101BF" w:rsidRPr="0032337D" w:rsidRDefault="004101BF" w:rsidP="004101BF">
          <w:pPr>
            <w:rPr>
              <w:rFonts w:cs="Segoe UI"/>
              <w:b/>
              <w:bCs/>
              <w:i/>
              <w:color w:val="5080B8" w:themeColor="accent1"/>
              <w:sz w:val="14"/>
              <w:szCs w:val="18"/>
              <w:lang w:val="en-GB"/>
            </w:rPr>
          </w:pPr>
          <w:r w:rsidRPr="0032337D">
            <w:rPr>
              <w:rFonts w:cs="Segoe UI"/>
              <w:lang w:val="en-GB"/>
            </w:rPr>
            <w:lastRenderedPageBreak/>
            <w:t xml:space="preserve">The discriminatory power </w:t>
          </w:r>
          <w:r w:rsidR="0041289F">
            <w:rPr>
              <w:rFonts w:cs="Segoe UI"/>
              <w:lang w:val="en-GB"/>
            </w:rPr>
            <w:t>of the</w:t>
          </w:r>
          <w:r w:rsidRPr="0032337D">
            <w:rPr>
              <w:rFonts w:cs="Segoe UI"/>
              <w:lang w:val="en-GB"/>
            </w:rPr>
            <w:t xml:space="preserve"> rating process is also </w:t>
          </w:r>
          <w:r w:rsidR="00D3581E">
            <w:rPr>
              <w:rFonts w:cs="Segoe UI"/>
              <w:lang w:val="en-GB"/>
            </w:rPr>
            <w:t>confirmed</w:t>
          </w:r>
          <w:r w:rsidRPr="0032337D">
            <w:rPr>
              <w:rFonts w:cs="Segoe UI"/>
              <w:lang w:val="en-GB"/>
            </w:rPr>
            <w:t xml:space="preserve"> in all the single static pools. The tables below show detailed results for each static pool over multiple time horizon.</w:t>
          </w:r>
        </w:p>
        <w:p w14:paraId="503B05DB" w14:textId="615C7899" w:rsidR="004101BF" w:rsidRDefault="004101BF" w:rsidP="004101BF">
          <w:pPr>
            <w:pStyle w:val="Didascalia"/>
            <w:rPr>
              <w:rFonts w:ascii="Segoe UI" w:hAnsi="Segoe UI" w:cs="Segoe UI"/>
              <w:i/>
              <w:sz w:val="14"/>
              <w:lang w:val="en-GB"/>
            </w:rPr>
          </w:pPr>
          <w:bookmarkStart w:id="111" w:name="_Toc130806331"/>
          <w:bookmarkStart w:id="112" w:name="_Toc166675671"/>
          <w:bookmarkStart w:id="113" w:name="_Toc167131798"/>
          <w:r w:rsidRPr="0032337D">
            <w:rPr>
              <w:rFonts w:ascii="Segoe UI" w:hAnsi="Segoe UI" w:cs="Segoe UI"/>
              <w:i/>
              <w:sz w:val="14"/>
              <w:lang w:val="en-GB"/>
            </w:rPr>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30</w:t>
          </w:r>
          <w:r>
            <w:rPr>
              <w:rFonts w:ascii="Segoe UI" w:hAnsi="Segoe UI" w:cs="Segoe UI"/>
              <w:i/>
              <w:sz w:val="14"/>
              <w:lang w:val="en-GB"/>
            </w:rPr>
            <w:fldChar w:fldCharType="end"/>
          </w:r>
          <w:r w:rsidRPr="0032337D">
            <w:rPr>
              <w:rFonts w:ascii="Segoe UI" w:hAnsi="Segoe UI" w:cs="Segoe UI"/>
              <w:i/>
              <w:sz w:val="14"/>
              <w:lang w:val="en-GB"/>
            </w:rPr>
            <w:t>: Static pool as of 31</w:t>
          </w:r>
          <w:r w:rsidRPr="0032337D">
            <w:rPr>
              <w:rFonts w:ascii="Segoe UI" w:hAnsi="Segoe UI" w:cs="Segoe UI"/>
              <w:i/>
              <w:sz w:val="14"/>
              <w:vertAlign w:val="superscript"/>
              <w:lang w:val="en-GB"/>
            </w:rPr>
            <w:t>st</w:t>
          </w:r>
          <w:r w:rsidRPr="0032337D">
            <w:rPr>
              <w:rFonts w:ascii="Segoe UI" w:hAnsi="Segoe UI" w:cs="Segoe UI"/>
              <w:i/>
              <w:sz w:val="14"/>
              <w:lang w:val="en-GB"/>
            </w:rPr>
            <w:t xml:space="preserve"> December 2008</w:t>
          </w:r>
          <w:bookmarkEnd w:id="111"/>
          <w:bookmarkEnd w:id="112"/>
          <w:bookmarkEnd w:id="113"/>
        </w:p>
        <w:tbl>
          <w:tblPr>
            <w:tblW w:w="5000" w:type="pct"/>
            <w:tblBorders>
              <w:top w:val="single" w:sz="4" w:space="0" w:color="AFAFB4" w:themeColor="accent4"/>
              <w:bottom w:val="single" w:sz="4" w:space="0" w:color="AFAFB4" w:themeColor="accent4"/>
              <w:insideH w:val="single" w:sz="4" w:space="0" w:color="AFAFB4" w:themeColor="accent4"/>
            </w:tblBorders>
            <w:shd w:val="clear" w:color="auto" w:fill="FFFFFF" w:themeFill="background2"/>
            <w:tblCellMar>
              <w:left w:w="0" w:type="dxa"/>
              <w:right w:w="0" w:type="dxa"/>
            </w:tblCellMar>
            <w:tblLook w:val="0620" w:firstRow="1" w:lastRow="0" w:firstColumn="0" w:lastColumn="0" w:noHBand="1" w:noVBand="1"/>
            <w:tblDescription w:val="{&quot;Ott&quot;:{&quot;FirstRow&quot;:{&quot;BackgroundColor&quot;:{&quot;Key&quot;:&quot;Light2&quot;},&quot;Font&quot;:{&quot;Name&quot;:&quot;Source Sans Pro&quot;,&quot;Size&quot;:14.0,&quot;Bold&quot;:false,&quot;Italic&quot;:false,&quot;Color&quot;:{&quot;Key&quot;:&quot;Dark2&quot;}},&quot;ExcelCellFormatting&quot;:&quot;General&quot;,&quot;Alignment&quot;:{&quot;Horizontal&quot;:&quot;Left&quot;,&quot;Vertical&quot;:&quot;Bottom&quot;},&quot;Borders&quot;:{&quot;Vertical&quot;:{&quot;Visible&quot;:false},&quot;Left&quot;:{&quot;Visible&quot;:false},&quot;Top&quot;:{&quot;Visible&quot;:false},&quot;Right&quot;:{&quot;Visible&quot;:false},&quot;Bottom&quot;:{&quot;Color&quot;:{&quot;Key&quot;:&quot;Accent4&quot;},&quot;BorderWeight&quot;:&quot;Pt1_5&quot;,&quot;Type&quot;:&quot;Solid&quot;,&quot;Visible&quot;:true}}},&quot;FitRowHeightPp&quot;:true,&quot;ZeroMarginsWord&quot;:true,&quot;BackgroundColor&quot;:{&quot;Key&quot;:&quot;Light2&quot;},&quot;Font&quot;:{&quot;Name&quot;:&quot;Source Sans Pro&quot;,&quot;Size&quot;:11.0,&quot;Bold&quot;:false,&quot;Italic&quot;:false,&quot;Color&quot;:{&quot;Key&quot;:&quot;Dark2&quot;}},&quot;LineSpacing&quot;:{&quot;Rule&quot;:&quot;Single&quot;},&quot;Alignment&quot;:{&quot;Horizontal&quot;:&quot;Left&quot;,&quot;Vertical&quot;:&quot;Top&quot;},&quot;Margin&quot;:{&quot;Left&quot;:5.7,&quot;Top&quot;:3.0,&quot;Right&quot;:5.7,&quot;Bottom&quot;:3.0},&quot;Borders&quot;:{&quot;Vertical&quot;:{&quot;Visible&quot;:false},&quot;Horizontal&quot;:{&quot;Color&quot;:{&quot;Key&quot;:&quot;Accent4&quot;},&quot;BorderWeight&quot;:&quot;Pt0_5&quot;,&quot;Type&quot;:&quot;Solid&quot;,&quot;Visible&quot;:true}},&quot;ParagraphSpacing&quot;:{&quot;SpaceBefore&quot;:2.0,&quot;SpaceAfter&quot;:2.0},&quot;ExcelWrapText&quot;:true},&quot;Ccs&quot;:{&quot;DarkBlue&quot;:&quot;0, 20, 55&quot;,&quot;Turquoise&quot;:&quot;0, 164, 230&quot;,&quot;Red&quot;:&quot;214, 70, 65&quot;,&quot;LightGrey&quot;:&quot;174, 174, 180&quot;,&quot;BlueGrey&quot;:&quot;77, 91, 115&quot;,&quot;IceBlue&quot;:&quot;178, 184, 195&quot;,&quot;Grey&quot;:&quot;145, 147, 153&quot;,&quot;Background&quot;:&quot;0, 0, 0, 0&quot;,&quot;White&quot;:&quot;White&quot;,&quot;Accent1&quot;:&quot;1, 1, 1, 1&quot;,&quot;Accent2&quot;:&quot;1, 1, 1, 2&quot;,&quot;Accent3&quot;:&quot;1, 1, 1, 3&quot;,&quot;Accent4&quot;:&quot;1, 1, 1, 4&quot;,&quot;Accent5&quot;:&quot;1, 1, 1, 5&quot;,&quot;Accent6&quot;:&quot;1, 1, 1, 6&quot;,&quot;Dark1&quot;:&quot;1, 1, 1, 7&quot;,&quot;Dark2&quot;:&quot;1, 1, 1, 9&quot;,&quot;Light1&quot;:&quot;1, 1, 1, 8&quot;,&quot;Light2&quot;:&quot;1, 1, 1, 10&quot;},&quot;Cop&quot;:{&quot;FirstRow&quot;:true,&quot;LastRow&quot;:false,&quot;FirstColumn&quot;:false,&quot;LastColumn&quot;:false,&quot;BandedRows&quot;:false,&quot;BandedColumns&quot;:false},&quot;Aaf&quot;:false}"/>
          </w:tblPr>
          <w:tblGrid>
            <w:gridCol w:w="710"/>
            <w:gridCol w:w="1016"/>
            <w:gridCol w:w="863"/>
            <w:gridCol w:w="863"/>
            <w:gridCol w:w="863"/>
            <w:gridCol w:w="863"/>
            <w:gridCol w:w="863"/>
            <w:gridCol w:w="863"/>
            <w:gridCol w:w="863"/>
            <w:gridCol w:w="863"/>
            <w:gridCol w:w="863"/>
            <w:gridCol w:w="855"/>
          </w:tblGrid>
          <w:tr w:rsidR="0035570E" w:rsidRPr="00B57F38" w14:paraId="2456845B" w14:textId="77777777" w:rsidTr="00AC7D4E">
            <w:trPr>
              <w:trHeight w:val="227"/>
              <w:tblHeader/>
            </w:trPr>
            <w:tc>
              <w:tcPr>
                <w:tcW w:w="343" w:type="pct"/>
                <w:vMerge w:val="restar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1F222846" w14:textId="77777777" w:rsidR="0035570E" w:rsidRPr="00B57F38" w:rsidRDefault="0035570E" w:rsidP="00B57F38">
                <w:pPr>
                  <w:spacing w:before="0" w:line="240" w:lineRule="auto"/>
                  <w:jc w:val="center"/>
                  <w:rPr>
                    <w:b/>
                    <w:color w:val="33A1AB" w:themeColor="accent2"/>
                    <w:sz w:val="14"/>
                    <w:szCs w:val="14"/>
                  </w:rPr>
                </w:pPr>
                <w:r w:rsidRPr="00B57F38">
                  <w:rPr>
                    <w:b/>
                    <w:color w:val="33A1AB" w:themeColor="accent2"/>
                    <w:sz w:val="14"/>
                    <w:szCs w:val="14"/>
                  </w:rPr>
                  <w:t>Rating</w:t>
                </w:r>
              </w:p>
            </w:tc>
            <w:tc>
              <w:tcPr>
                <w:tcW w:w="491"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7C6FB59B" w14:textId="41360F1A" w:rsidR="0035570E" w:rsidRPr="00B57F38" w:rsidRDefault="0035570E" w:rsidP="00B57F38">
                <w:pPr>
                  <w:spacing w:before="0" w:line="240" w:lineRule="auto"/>
                  <w:jc w:val="center"/>
                  <w:rPr>
                    <w:b/>
                    <w:color w:val="33A1AB" w:themeColor="accent2"/>
                    <w:sz w:val="14"/>
                    <w:szCs w:val="14"/>
                  </w:rPr>
                </w:pPr>
                <w:r w:rsidRPr="00B57F38">
                  <w:rPr>
                    <w:b/>
                    <w:color w:val="33A1AB" w:themeColor="accent2"/>
                    <w:sz w:val="14"/>
                    <w:szCs w:val="14"/>
                  </w:rPr>
                  <w:t>Static pool</w:t>
                </w:r>
              </w:p>
            </w:tc>
            <w:tc>
              <w:tcPr>
                <w:tcW w:w="2085" w:type="pct"/>
                <w:gridSpan w:val="5"/>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4749A44F" w14:textId="0E983E9B" w:rsidR="0035570E" w:rsidRPr="00B57F38" w:rsidRDefault="0035570E" w:rsidP="00B57F38">
                <w:pPr>
                  <w:spacing w:before="0" w:line="240" w:lineRule="auto"/>
                  <w:jc w:val="center"/>
                  <w:rPr>
                    <w:b/>
                    <w:color w:val="33A1AB" w:themeColor="accent2"/>
                    <w:sz w:val="14"/>
                    <w:szCs w:val="14"/>
                  </w:rPr>
                </w:pPr>
                <w:r w:rsidRPr="00B57F38">
                  <w:rPr>
                    <w:b/>
                    <w:color w:val="33A1AB" w:themeColor="accent2"/>
                    <w:sz w:val="14"/>
                    <w:szCs w:val="14"/>
                  </w:rPr>
                  <w:t>Obse</w:t>
                </w:r>
                <w:r w:rsidR="00CE6998" w:rsidRPr="00B57F38">
                  <w:rPr>
                    <w:b/>
                    <w:color w:val="33A1AB" w:themeColor="accent2"/>
                    <w:sz w:val="14"/>
                    <w:szCs w:val="14"/>
                  </w:rPr>
                  <w:t>r</w:t>
                </w:r>
                <w:r w:rsidRPr="00B57F38">
                  <w:rPr>
                    <w:b/>
                    <w:color w:val="33A1AB" w:themeColor="accent2"/>
                    <w:sz w:val="14"/>
                    <w:szCs w:val="14"/>
                  </w:rPr>
                  <w:t xml:space="preserve">ved defaults by </w:t>
                </w:r>
                <w:r w:rsidR="007A212D" w:rsidRPr="00B57F38">
                  <w:rPr>
                    <w:b/>
                    <w:color w:val="33A1AB" w:themeColor="accent2"/>
                    <w:sz w:val="14"/>
                    <w:szCs w:val="14"/>
                  </w:rPr>
                  <w:t>years</w:t>
                </w:r>
                <w:r w:rsidR="00F2557C" w:rsidRPr="00B57F38">
                  <w:rPr>
                    <w:b/>
                    <w:color w:val="33A1AB" w:themeColor="accent2"/>
                    <w:sz w:val="14"/>
                    <w:szCs w:val="14"/>
                  </w:rPr>
                  <w:t xml:space="preserve"> </w:t>
                </w:r>
                <w:r w:rsidR="00B012E4" w:rsidRPr="00B57F38">
                  <w:rPr>
                    <w:b/>
                    <w:color w:val="33A1AB" w:themeColor="accent2"/>
                    <w:sz w:val="14"/>
                    <w:szCs w:val="14"/>
                  </w:rPr>
                  <w:t>since rating issuance</w:t>
                </w:r>
              </w:p>
            </w:tc>
            <w:tc>
              <w:tcPr>
                <w:tcW w:w="2081" w:type="pct"/>
                <w:gridSpan w:val="5"/>
                <w:tcBorders>
                  <w:top w:val="single" w:sz="12" w:space="0" w:color="AFAFB4" w:themeColor="accent4"/>
                </w:tcBorders>
                <w:shd w:val="clear" w:color="auto" w:fill="FFFFFF" w:themeFill="background2"/>
                <w:vAlign w:val="center"/>
              </w:tcPr>
              <w:p w14:paraId="652DAD19" w14:textId="5CA47F69" w:rsidR="0035570E" w:rsidRPr="00B57F38" w:rsidRDefault="0035570E" w:rsidP="00B57F38">
                <w:pPr>
                  <w:spacing w:before="0" w:line="240" w:lineRule="auto"/>
                  <w:jc w:val="center"/>
                  <w:rPr>
                    <w:b/>
                    <w:color w:val="33A1AB" w:themeColor="accent2"/>
                    <w:sz w:val="14"/>
                    <w:szCs w:val="14"/>
                  </w:rPr>
                </w:pPr>
                <w:r w:rsidRPr="00B57F38">
                  <w:rPr>
                    <w:b/>
                    <w:color w:val="33A1AB" w:themeColor="accent2"/>
                    <w:sz w:val="14"/>
                    <w:szCs w:val="14"/>
                  </w:rPr>
                  <w:t>Percentage of cumulative default rates</w:t>
                </w:r>
              </w:p>
            </w:tc>
          </w:tr>
          <w:tr w:rsidR="0035570E" w:rsidRPr="00B57F38" w14:paraId="5F35D6BE" w14:textId="6AFE7E47" w:rsidTr="00AC7D4E">
            <w:trPr>
              <w:trHeight w:val="227"/>
              <w:tblHeader/>
            </w:trPr>
            <w:tc>
              <w:tcPr>
                <w:tcW w:w="343" w:type="pct"/>
                <w:vMerge/>
                <w:shd w:val="clear" w:color="auto" w:fill="FFFFFF" w:themeFill="background2"/>
                <w:tcMar>
                  <w:top w:w="60" w:type="dxa"/>
                  <w:left w:w="114" w:type="dxa"/>
                  <w:bottom w:w="60" w:type="dxa"/>
                  <w:right w:w="114" w:type="dxa"/>
                </w:tcMar>
                <w:vAlign w:val="center"/>
              </w:tcPr>
              <w:p w14:paraId="160C0907" w14:textId="2EB3A4FE" w:rsidR="0035570E" w:rsidRPr="00B57F38" w:rsidRDefault="0035570E" w:rsidP="00B57F38">
                <w:pPr>
                  <w:spacing w:before="0" w:line="240" w:lineRule="auto"/>
                  <w:jc w:val="center"/>
                  <w:rPr>
                    <w:b/>
                    <w:color w:val="33A1AB" w:themeColor="accent2"/>
                    <w:sz w:val="14"/>
                    <w:szCs w:val="14"/>
                  </w:rPr>
                </w:pPr>
              </w:p>
            </w:tc>
            <w:tc>
              <w:tcPr>
                <w:tcW w:w="491"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66C30DDC" w14:textId="3CCACFE4" w:rsidR="0035570E" w:rsidRPr="00B57F38" w:rsidRDefault="0035570E" w:rsidP="00B57F38">
                <w:pPr>
                  <w:spacing w:before="0" w:line="240" w:lineRule="auto"/>
                  <w:jc w:val="center"/>
                  <w:rPr>
                    <w:b/>
                    <w:color w:val="33A1AB" w:themeColor="accent2"/>
                    <w:sz w:val="14"/>
                    <w:szCs w:val="14"/>
                  </w:rPr>
                </w:pPr>
                <w:r w:rsidRPr="00B57F38">
                  <w:rPr>
                    <w:b/>
                    <w:color w:val="33A1AB" w:themeColor="accent2"/>
                    <w:sz w:val="14"/>
                    <w:szCs w:val="14"/>
                  </w:rPr>
                  <w:t>31 Dec 2008</w:t>
                </w:r>
              </w:p>
            </w:tc>
            <w:tc>
              <w:tcPr>
                <w:tcW w:w="417"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63F7933A" w14:textId="774227FD" w:rsidR="0035570E" w:rsidRPr="00B57F38" w:rsidRDefault="0035570E" w:rsidP="00B57F38">
                <w:pPr>
                  <w:spacing w:before="0" w:line="240" w:lineRule="auto"/>
                  <w:jc w:val="center"/>
                  <w:rPr>
                    <w:b/>
                    <w:color w:val="33A1AB" w:themeColor="accent2"/>
                    <w:sz w:val="14"/>
                    <w:szCs w:val="14"/>
                  </w:rPr>
                </w:pPr>
                <w:r w:rsidRPr="00B57F38">
                  <w:rPr>
                    <w:b/>
                    <w:color w:val="33A1AB" w:themeColor="accent2"/>
                    <w:sz w:val="14"/>
                    <w:szCs w:val="14"/>
                  </w:rPr>
                  <w:t>1-Y DR</w:t>
                </w:r>
              </w:p>
            </w:tc>
            <w:tc>
              <w:tcPr>
                <w:tcW w:w="417" w:type="pct"/>
                <w:tcBorders>
                  <w:top w:val="single" w:sz="12" w:space="0" w:color="AFAFB4" w:themeColor="accent4"/>
                </w:tcBorders>
                <w:shd w:val="clear" w:color="auto" w:fill="FFFFFF" w:themeFill="background2"/>
                <w:vAlign w:val="center"/>
              </w:tcPr>
              <w:p w14:paraId="2BD7FDE6" w14:textId="1E6B41B6" w:rsidR="0035570E" w:rsidRPr="00B57F38" w:rsidRDefault="0035570E" w:rsidP="00B57F38">
                <w:pPr>
                  <w:spacing w:before="0" w:line="240" w:lineRule="auto"/>
                  <w:jc w:val="center"/>
                  <w:rPr>
                    <w:b/>
                    <w:color w:val="33A1AB" w:themeColor="accent2"/>
                    <w:sz w:val="14"/>
                    <w:szCs w:val="14"/>
                  </w:rPr>
                </w:pPr>
                <w:r w:rsidRPr="00B57F38">
                  <w:rPr>
                    <w:b/>
                    <w:color w:val="33A1AB" w:themeColor="accent2"/>
                    <w:sz w:val="14"/>
                    <w:szCs w:val="14"/>
                  </w:rPr>
                  <w:t>2-Y DR</w:t>
                </w:r>
              </w:p>
            </w:tc>
            <w:tc>
              <w:tcPr>
                <w:tcW w:w="417" w:type="pct"/>
                <w:tcBorders>
                  <w:top w:val="single" w:sz="12" w:space="0" w:color="AFAFB4" w:themeColor="accent4"/>
                </w:tcBorders>
                <w:shd w:val="clear" w:color="auto" w:fill="FFFFFF" w:themeFill="background2"/>
                <w:vAlign w:val="center"/>
              </w:tcPr>
              <w:p w14:paraId="183434A1" w14:textId="0594C8AC" w:rsidR="0035570E" w:rsidRPr="00B57F38" w:rsidRDefault="0035570E" w:rsidP="00B57F38">
                <w:pPr>
                  <w:spacing w:before="0" w:line="240" w:lineRule="auto"/>
                  <w:jc w:val="center"/>
                  <w:rPr>
                    <w:b/>
                    <w:color w:val="33A1AB" w:themeColor="accent2"/>
                    <w:sz w:val="14"/>
                    <w:szCs w:val="14"/>
                  </w:rPr>
                </w:pPr>
                <w:r w:rsidRPr="00B57F38">
                  <w:rPr>
                    <w:b/>
                    <w:color w:val="33A1AB" w:themeColor="accent2"/>
                    <w:sz w:val="14"/>
                    <w:szCs w:val="14"/>
                  </w:rPr>
                  <w:t>3-Y DR</w:t>
                </w:r>
              </w:p>
            </w:tc>
            <w:tc>
              <w:tcPr>
                <w:tcW w:w="417" w:type="pct"/>
                <w:tcBorders>
                  <w:top w:val="single" w:sz="12" w:space="0" w:color="AFAFB4" w:themeColor="accent4"/>
                </w:tcBorders>
                <w:shd w:val="clear" w:color="auto" w:fill="FFFFFF" w:themeFill="background2"/>
                <w:vAlign w:val="center"/>
              </w:tcPr>
              <w:p w14:paraId="25D3B053" w14:textId="0C57C7C3" w:rsidR="0035570E" w:rsidRPr="00B57F38" w:rsidRDefault="0035570E" w:rsidP="00B57F38">
                <w:pPr>
                  <w:spacing w:before="0" w:line="240" w:lineRule="auto"/>
                  <w:jc w:val="center"/>
                  <w:rPr>
                    <w:b/>
                    <w:color w:val="33A1AB" w:themeColor="accent2"/>
                    <w:sz w:val="14"/>
                    <w:szCs w:val="14"/>
                  </w:rPr>
                </w:pPr>
                <w:r w:rsidRPr="00B57F38">
                  <w:rPr>
                    <w:b/>
                    <w:color w:val="33A1AB" w:themeColor="accent2"/>
                    <w:sz w:val="14"/>
                    <w:szCs w:val="14"/>
                  </w:rPr>
                  <w:t>4-Y DR</w:t>
                </w:r>
              </w:p>
            </w:tc>
            <w:tc>
              <w:tcPr>
                <w:tcW w:w="417" w:type="pct"/>
                <w:tcBorders>
                  <w:top w:val="single" w:sz="12" w:space="0" w:color="AFAFB4" w:themeColor="accent4"/>
                </w:tcBorders>
                <w:shd w:val="clear" w:color="auto" w:fill="FFFFFF" w:themeFill="background2"/>
                <w:vAlign w:val="center"/>
              </w:tcPr>
              <w:p w14:paraId="45201D98" w14:textId="1524F24A" w:rsidR="0035570E" w:rsidRPr="00B57F38" w:rsidRDefault="0035570E" w:rsidP="00B57F38">
                <w:pPr>
                  <w:spacing w:before="0" w:line="240" w:lineRule="auto"/>
                  <w:jc w:val="center"/>
                  <w:rPr>
                    <w:b/>
                    <w:color w:val="33A1AB" w:themeColor="accent2"/>
                    <w:sz w:val="14"/>
                    <w:szCs w:val="14"/>
                  </w:rPr>
                </w:pPr>
                <w:r w:rsidRPr="00B57F38">
                  <w:rPr>
                    <w:b/>
                    <w:color w:val="33A1AB" w:themeColor="accent2"/>
                    <w:sz w:val="14"/>
                    <w:szCs w:val="14"/>
                  </w:rPr>
                  <w:t>5-Y DR</w:t>
                </w:r>
              </w:p>
            </w:tc>
            <w:tc>
              <w:tcPr>
                <w:tcW w:w="417" w:type="pct"/>
                <w:tcBorders>
                  <w:top w:val="single" w:sz="12" w:space="0" w:color="AFAFB4" w:themeColor="accent4"/>
                </w:tcBorders>
                <w:shd w:val="clear" w:color="auto" w:fill="FFFFFF" w:themeFill="background2"/>
                <w:vAlign w:val="center"/>
              </w:tcPr>
              <w:p w14:paraId="7C1C27F5" w14:textId="39223557" w:rsidR="0035570E" w:rsidRPr="00B57F38" w:rsidRDefault="0035570E" w:rsidP="00B57F38">
                <w:pPr>
                  <w:spacing w:before="0" w:line="240" w:lineRule="auto"/>
                  <w:jc w:val="center"/>
                  <w:rPr>
                    <w:b/>
                    <w:color w:val="33A1AB" w:themeColor="accent2"/>
                    <w:sz w:val="14"/>
                    <w:szCs w:val="14"/>
                  </w:rPr>
                </w:pPr>
                <w:r w:rsidRPr="00B57F38">
                  <w:rPr>
                    <w:b/>
                    <w:color w:val="33A1AB" w:themeColor="accent2"/>
                    <w:sz w:val="14"/>
                    <w:szCs w:val="14"/>
                  </w:rPr>
                  <w:t>1-Y DR</w:t>
                </w:r>
              </w:p>
            </w:tc>
            <w:tc>
              <w:tcPr>
                <w:tcW w:w="417" w:type="pct"/>
                <w:tcBorders>
                  <w:top w:val="single" w:sz="12" w:space="0" w:color="AFAFB4" w:themeColor="accent4"/>
                </w:tcBorders>
                <w:shd w:val="clear" w:color="auto" w:fill="FFFFFF" w:themeFill="background2"/>
                <w:vAlign w:val="center"/>
              </w:tcPr>
              <w:p w14:paraId="403F58D6" w14:textId="38C3F8C0" w:rsidR="0035570E" w:rsidRPr="00B57F38" w:rsidRDefault="0035570E" w:rsidP="00B57F38">
                <w:pPr>
                  <w:spacing w:before="0" w:line="240" w:lineRule="auto"/>
                  <w:jc w:val="center"/>
                  <w:rPr>
                    <w:b/>
                    <w:color w:val="33A1AB" w:themeColor="accent2"/>
                    <w:sz w:val="14"/>
                    <w:szCs w:val="14"/>
                  </w:rPr>
                </w:pPr>
                <w:r w:rsidRPr="00B57F38">
                  <w:rPr>
                    <w:b/>
                    <w:color w:val="33A1AB" w:themeColor="accent2"/>
                    <w:sz w:val="14"/>
                    <w:szCs w:val="14"/>
                  </w:rPr>
                  <w:t>2-Y DR</w:t>
                </w:r>
              </w:p>
            </w:tc>
            <w:tc>
              <w:tcPr>
                <w:tcW w:w="417" w:type="pct"/>
                <w:tcBorders>
                  <w:top w:val="single" w:sz="12" w:space="0" w:color="AFAFB4" w:themeColor="accent4"/>
                </w:tcBorders>
                <w:shd w:val="clear" w:color="auto" w:fill="FFFFFF" w:themeFill="background2"/>
                <w:vAlign w:val="center"/>
              </w:tcPr>
              <w:p w14:paraId="593FEB13" w14:textId="19E8BA0A" w:rsidR="0035570E" w:rsidRPr="00B57F38" w:rsidRDefault="0035570E" w:rsidP="00B57F38">
                <w:pPr>
                  <w:spacing w:before="0" w:line="240" w:lineRule="auto"/>
                  <w:jc w:val="center"/>
                  <w:rPr>
                    <w:b/>
                    <w:color w:val="33A1AB" w:themeColor="accent2"/>
                    <w:sz w:val="14"/>
                    <w:szCs w:val="14"/>
                  </w:rPr>
                </w:pPr>
                <w:r w:rsidRPr="00B57F38">
                  <w:rPr>
                    <w:b/>
                    <w:color w:val="33A1AB" w:themeColor="accent2"/>
                    <w:sz w:val="14"/>
                    <w:szCs w:val="14"/>
                  </w:rPr>
                  <w:t>3-Y DR</w:t>
                </w:r>
              </w:p>
            </w:tc>
            <w:tc>
              <w:tcPr>
                <w:tcW w:w="417" w:type="pct"/>
                <w:tcBorders>
                  <w:top w:val="single" w:sz="12" w:space="0" w:color="AFAFB4" w:themeColor="accent4"/>
                </w:tcBorders>
                <w:shd w:val="clear" w:color="auto" w:fill="FFFFFF" w:themeFill="background2"/>
                <w:vAlign w:val="center"/>
              </w:tcPr>
              <w:p w14:paraId="042A0FDF" w14:textId="41EA1918" w:rsidR="0035570E" w:rsidRPr="00B57F38" w:rsidRDefault="0035570E" w:rsidP="00B57F38">
                <w:pPr>
                  <w:spacing w:before="0" w:line="240" w:lineRule="auto"/>
                  <w:jc w:val="center"/>
                  <w:rPr>
                    <w:b/>
                    <w:color w:val="33A1AB" w:themeColor="accent2"/>
                    <w:sz w:val="14"/>
                    <w:szCs w:val="14"/>
                  </w:rPr>
                </w:pPr>
                <w:r w:rsidRPr="00B57F38">
                  <w:rPr>
                    <w:b/>
                    <w:color w:val="33A1AB" w:themeColor="accent2"/>
                    <w:sz w:val="14"/>
                    <w:szCs w:val="14"/>
                  </w:rPr>
                  <w:t>4-Y DR</w:t>
                </w:r>
              </w:p>
            </w:tc>
            <w:tc>
              <w:tcPr>
                <w:tcW w:w="413" w:type="pct"/>
                <w:tcBorders>
                  <w:top w:val="single" w:sz="12" w:space="0" w:color="AFAFB4" w:themeColor="accent4"/>
                </w:tcBorders>
                <w:shd w:val="clear" w:color="auto" w:fill="FFFFFF" w:themeFill="background2"/>
                <w:vAlign w:val="center"/>
              </w:tcPr>
              <w:p w14:paraId="5CAF9AED" w14:textId="1D840CEA" w:rsidR="0035570E" w:rsidRPr="00B57F38" w:rsidRDefault="0035570E" w:rsidP="00B57F38">
                <w:pPr>
                  <w:spacing w:before="0" w:line="240" w:lineRule="auto"/>
                  <w:jc w:val="center"/>
                  <w:rPr>
                    <w:b/>
                    <w:color w:val="33A1AB" w:themeColor="accent2"/>
                    <w:sz w:val="14"/>
                    <w:szCs w:val="14"/>
                  </w:rPr>
                </w:pPr>
                <w:r w:rsidRPr="00B57F38">
                  <w:rPr>
                    <w:b/>
                    <w:color w:val="33A1AB" w:themeColor="accent2"/>
                    <w:sz w:val="14"/>
                    <w:szCs w:val="14"/>
                  </w:rPr>
                  <w:t>5-Y DR</w:t>
                </w:r>
              </w:p>
            </w:tc>
          </w:tr>
          <w:tr w:rsidR="007A212D" w:rsidRPr="00B57F38" w14:paraId="1C6D3E9F" w14:textId="34DB3497" w:rsidTr="00AC7D4E">
            <w:trPr>
              <w:trHeight w:val="227"/>
            </w:trPr>
            <w:tc>
              <w:tcPr>
                <w:tcW w:w="343" w:type="pct"/>
                <w:shd w:val="clear" w:color="auto" w:fill="FFFFFF" w:themeFill="background2"/>
                <w:tcMar>
                  <w:top w:w="60" w:type="dxa"/>
                  <w:left w:w="114" w:type="dxa"/>
                  <w:bottom w:w="60" w:type="dxa"/>
                  <w:right w:w="114" w:type="dxa"/>
                </w:tcMar>
                <w:vAlign w:val="center"/>
              </w:tcPr>
              <w:p w14:paraId="2F7C10DD" w14:textId="0D78C8B8" w:rsidR="007A212D" w:rsidRPr="00B57F38" w:rsidRDefault="007A212D" w:rsidP="00B57F38">
                <w:pPr>
                  <w:spacing w:before="0" w:line="240" w:lineRule="auto"/>
                  <w:jc w:val="left"/>
                  <w:rPr>
                    <w:rFonts w:eastAsia="Times New Roman" w:cs="Segoe UI"/>
                    <w:b/>
                    <w:bCs/>
                    <w:sz w:val="14"/>
                    <w:szCs w:val="14"/>
                    <w:lang w:val="en-GB" w:eastAsia="it-IT"/>
                  </w:rPr>
                </w:pPr>
                <w:r w:rsidRPr="00B57F38">
                  <w:rPr>
                    <w:rFonts w:cs="Segoe UI"/>
                    <w:b/>
                    <w:bCs/>
                    <w:sz w:val="14"/>
                    <w:szCs w:val="14"/>
                    <w:lang w:eastAsia="it-IT"/>
                  </w:rPr>
                  <w:t>A1.1</w:t>
                </w:r>
              </w:p>
            </w:tc>
            <w:tc>
              <w:tcPr>
                <w:tcW w:w="491" w:type="pct"/>
                <w:shd w:val="clear" w:color="auto" w:fill="FFFFFF" w:themeFill="background2"/>
                <w:tcMar>
                  <w:top w:w="60" w:type="dxa"/>
                  <w:left w:w="114" w:type="dxa"/>
                  <w:bottom w:w="60" w:type="dxa"/>
                  <w:right w:w="114" w:type="dxa"/>
                </w:tcMar>
                <w:vAlign w:val="center"/>
              </w:tcPr>
              <w:p w14:paraId="459FBFF5" w14:textId="343725C8"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w:t>
                </w:r>
              </w:p>
            </w:tc>
            <w:tc>
              <w:tcPr>
                <w:tcW w:w="417" w:type="pct"/>
                <w:shd w:val="clear" w:color="auto" w:fill="FFFFFF" w:themeFill="background2"/>
                <w:tcMar>
                  <w:top w:w="60" w:type="dxa"/>
                  <w:left w:w="114" w:type="dxa"/>
                  <w:bottom w:w="60" w:type="dxa"/>
                  <w:right w:w="114" w:type="dxa"/>
                </w:tcMar>
                <w:vAlign w:val="center"/>
              </w:tcPr>
              <w:p w14:paraId="1C93F365" w14:textId="42B12753"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0</w:t>
                </w:r>
              </w:p>
            </w:tc>
            <w:tc>
              <w:tcPr>
                <w:tcW w:w="417" w:type="pct"/>
                <w:shd w:val="clear" w:color="auto" w:fill="FFFFFF" w:themeFill="background2"/>
                <w:vAlign w:val="center"/>
              </w:tcPr>
              <w:p w14:paraId="72ED37EA" w14:textId="213E6170"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0</w:t>
                </w:r>
              </w:p>
            </w:tc>
            <w:tc>
              <w:tcPr>
                <w:tcW w:w="417" w:type="pct"/>
                <w:shd w:val="clear" w:color="auto" w:fill="FFFFFF" w:themeFill="background2"/>
                <w:vAlign w:val="center"/>
              </w:tcPr>
              <w:p w14:paraId="1186FE20" w14:textId="712CC7B2"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0</w:t>
                </w:r>
              </w:p>
            </w:tc>
            <w:tc>
              <w:tcPr>
                <w:tcW w:w="417" w:type="pct"/>
                <w:shd w:val="clear" w:color="auto" w:fill="FFFFFF" w:themeFill="background2"/>
                <w:vAlign w:val="center"/>
              </w:tcPr>
              <w:p w14:paraId="02CFDDAE" w14:textId="5DF5F8D7"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0</w:t>
                </w:r>
              </w:p>
            </w:tc>
            <w:tc>
              <w:tcPr>
                <w:tcW w:w="417" w:type="pct"/>
                <w:shd w:val="clear" w:color="auto" w:fill="FFFFFF" w:themeFill="background2"/>
                <w:vAlign w:val="center"/>
              </w:tcPr>
              <w:p w14:paraId="7B781DB2" w14:textId="40582FA4"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0</w:t>
                </w:r>
              </w:p>
            </w:tc>
            <w:tc>
              <w:tcPr>
                <w:tcW w:w="417" w:type="pct"/>
                <w:shd w:val="clear" w:color="auto" w:fill="FFFFFF" w:themeFill="background2"/>
                <w:vAlign w:val="center"/>
              </w:tcPr>
              <w:p w14:paraId="4A182C6D" w14:textId="122870C3"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0.00%</w:t>
                </w:r>
              </w:p>
            </w:tc>
            <w:tc>
              <w:tcPr>
                <w:tcW w:w="417" w:type="pct"/>
                <w:shd w:val="clear" w:color="auto" w:fill="FFFFFF" w:themeFill="background2"/>
                <w:vAlign w:val="center"/>
              </w:tcPr>
              <w:p w14:paraId="587D6164" w14:textId="347A9593"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0.00%</w:t>
                </w:r>
              </w:p>
            </w:tc>
            <w:tc>
              <w:tcPr>
                <w:tcW w:w="417" w:type="pct"/>
                <w:shd w:val="clear" w:color="auto" w:fill="FFFFFF" w:themeFill="background2"/>
                <w:vAlign w:val="center"/>
              </w:tcPr>
              <w:p w14:paraId="5D0E1FAE" w14:textId="5DC8ECBC"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0.00%</w:t>
                </w:r>
              </w:p>
            </w:tc>
            <w:tc>
              <w:tcPr>
                <w:tcW w:w="417" w:type="pct"/>
                <w:shd w:val="clear" w:color="auto" w:fill="FFFFFF" w:themeFill="background2"/>
                <w:vAlign w:val="center"/>
              </w:tcPr>
              <w:p w14:paraId="01E234B3" w14:textId="002EDB51"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0.00%</w:t>
                </w:r>
              </w:p>
            </w:tc>
            <w:tc>
              <w:tcPr>
                <w:tcW w:w="413" w:type="pct"/>
                <w:shd w:val="clear" w:color="auto" w:fill="FFFFFF" w:themeFill="background2"/>
                <w:vAlign w:val="center"/>
              </w:tcPr>
              <w:p w14:paraId="5E0C6C60" w14:textId="20A05EEF"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0.00%</w:t>
                </w:r>
              </w:p>
            </w:tc>
          </w:tr>
          <w:tr w:rsidR="007A212D" w:rsidRPr="00B57F38" w14:paraId="1ED38412" w14:textId="09D9657D" w:rsidTr="00AC7D4E">
            <w:trPr>
              <w:trHeight w:val="227"/>
            </w:trPr>
            <w:tc>
              <w:tcPr>
                <w:tcW w:w="343" w:type="pct"/>
                <w:shd w:val="clear" w:color="auto" w:fill="FFFFFF" w:themeFill="background2"/>
                <w:tcMar>
                  <w:top w:w="60" w:type="dxa"/>
                  <w:left w:w="114" w:type="dxa"/>
                  <w:bottom w:w="60" w:type="dxa"/>
                  <w:right w:w="114" w:type="dxa"/>
                </w:tcMar>
                <w:vAlign w:val="center"/>
              </w:tcPr>
              <w:p w14:paraId="26081841" w14:textId="6DB8EA6C" w:rsidR="007A212D" w:rsidRPr="00B57F38" w:rsidRDefault="007A212D" w:rsidP="00B57F38">
                <w:pPr>
                  <w:spacing w:before="0" w:line="240" w:lineRule="auto"/>
                  <w:jc w:val="left"/>
                  <w:rPr>
                    <w:rFonts w:eastAsia="Times New Roman" w:cs="Segoe UI"/>
                    <w:b/>
                    <w:bCs/>
                    <w:sz w:val="14"/>
                    <w:szCs w:val="14"/>
                    <w:lang w:val="en-GB" w:eastAsia="it-IT"/>
                  </w:rPr>
                </w:pPr>
                <w:r w:rsidRPr="00B57F38">
                  <w:rPr>
                    <w:rFonts w:cs="Segoe UI"/>
                    <w:b/>
                    <w:bCs/>
                    <w:sz w:val="14"/>
                    <w:szCs w:val="14"/>
                    <w:lang w:eastAsia="it-IT"/>
                  </w:rPr>
                  <w:t>A1.2</w:t>
                </w:r>
              </w:p>
            </w:tc>
            <w:tc>
              <w:tcPr>
                <w:tcW w:w="491" w:type="pct"/>
                <w:shd w:val="clear" w:color="auto" w:fill="FFFFFF" w:themeFill="background2"/>
                <w:tcMar>
                  <w:top w:w="60" w:type="dxa"/>
                  <w:left w:w="114" w:type="dxa"/>
                  <w:bottom w:w="60" w:type="dxa"/>
                  <w:right w:w="114" w:type="dxa"/>
                </w:tcMar>
                <w:vAlign w:val="center"/>
              </w:tcPr>
              <w:p w14:paraId="1F973BD3" w14:textId="4366CC9E"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65</w:t>
                </w:r>
              </w:p>
            </w:tc>
            <w:tc>
              <w:tcPr>
                <w:tcW w:w="417" w:type="pct"/>
                <w:shd w:val="clear" w:color="auto" w:fill="FFFFFF" w:themeFill="background2"/>
                <w:tcMar>
                  <w:top w:w="60" w:type="dxa"/>
                  <w:left w:w="114" w:type="dxa"/>
                  <w:bottom w:w="60" w:type="dxa"/>
                  <w:right w:w="114" w:type="dxa"/>
                </w:tcMar>
                <w:vAlign w:val="center"/>
              </w:tcPr>
              <w:p w14:paraId="07DEC8B3" w14:textId="59C4B0CC"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0</w:t>
                </w:r>
              </w:p>
            </w:tc>
            <w:tc>
              <w:tcPr>
                <w:tcW w:w="417" w:type="pct"/>
                <w:shd w:val="clear" w:color="auto" w:fill="FFFFFF" w:themeFill="background2"/>
                <w:vAlign w:val="center"/>
              </w:tcPr>
              <w:p w14:paraId="08C6339A" w14:textId="69BF756C"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0</w:t>
                </w:r>
              </w:p>
            </w:tc>
            <w:tc>
              <w:tcPr>
                <w:tcW w:w="417" w:type="pct"/>
                <w:shd w:val="clear" w:color="auto" w:fill="FFFFFF" w:themeFill="background2"/>
                <w:vAlign w:val="center"/>
              </w:tcPr>
              <w:p w14:paraId="36B653BE" w14:textId="71089EFA"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0</w:t>
                </w:r>
              </w:p>
            </w:tc>
            <w:tc>
              <w:tcPr>
                <w:tcW w:w="417" w:type="pct"/>
                <w:shd w:val="clear" w:color="auto" w:fill="FFFFFF" w:themeFill="background2"/>
                <w:vAlign w:val="center"/>
              </w:tcPr>
              <w:p w14:paraId="0BB76DBA" w14:textId="72C7C87D"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0</w:t>
                </w:r>
              </w:p>
            </w:tc>
            <w:tc>
              <w:tcPr>
                <w:tcW w:w="417" w:type="pct"/>
                <w:shd w:val="clear" w:color="auto" w:fill="FFFFFF" w:themeFill="background2"/>
                <w:vAlign w:val="center"/>
              </w:tcPr>
              <w:p w14:paraId="16F939E9" w14:textId="7563645C"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0</w:t>
                </w:r>
              </w:p>
            </w:tc>
            <w:tc>
              <w:tcPr>
                <w:tcW w:w="417" w:type="pct"/>
                <w:shd w:val="clear" w:color="auto" w:fill="FFFFFF" w:themeFill="background2"/>
                <w:vAlign w:val="center"/>
              </w:tcPr>
              <w:p w14:paraId="722F621A" w14:textId="010E0E7E"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0.00%</w:t>
                </w:r>
              </w:p>
            </w:tc>
            <w:tc>
              <w:tcPr>
                <w:tcW w:w="417" w:type="pct"/>
                <w:shd w:val="clear" w:color="auto" w:fill="FFFFFF" w:themeFill="background2"/>
                <w:vAlign w:val="center"/>
              </w:tcPr>
              <w:p w14:paraId="74172DAB" w14:textId="134EAF00"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0.00%</w:t>
                </w:r>
              </w:p>
            </w:tc>
            <w:tc>
              <w:tcPr>
                <w:tcW w:w="417" w:type="pct"/>
                <w:shd w:val="clear" w:color="auto" w:fill="FFFFFF" w:themeFill="background2"/>
                <w:vAlign w:val="center"/>
              </w:tcPr>
              <w:p w14:paraId="38400157" w14:textId="4C9C4175"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0.00%</w:t>
                </w:r>
              </w:p>
            </w:tc>
            <w:tc>
              <w:tcPr>
                <w:tcW w:w="417" w:type="pct"/>
                <w:shd w:val="clear" w:color="auto" w:fill="FFFFFF" w:themeFill="background2"/>
                <w:vAlign w:val="center"/>
              </w:tcPr>
              <w:p w14:paraId="0A804924" w14:textId="2187FC29"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0.00%</w:t>
                </w:r>
              </w:p>
            </w:tc>
            <w:tc>
              <w:tcPr>
                <w:tcW w:w="413" w:type="pct"/>
                <w:shd w:val="clear" w:color="auto" w:fill="FFFFFF" w:themeFill="background2"/>
                <w:vAlign w:val="center"/>
              </w:tcPr>
              <w:p w14:paraId="76829815" w14:textId="78E17A2C"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0.00%</w:t>
                </w:r>
              </w:p>
            </w:tc>
          </w:tr>
          <w:tr w:rsidR="007A212D" w:rsidRPr="00B57F38" w14:paraId="7232245F" w14:textId="451B4071" w:rsidTr="00AC7D4E">
            <w:trPr>
              <w:trHeight w:val="227"/>
            </w:trPr>
            <w:tc>
              <w:tcPr>
                <w:tcW w:w="343" w:type="pct"/>
                <w:shd w:val="clear" w:color="auto" w:fill="FFFFFF" w:themeFill="background2"/>
                <w:tcMar>
                  <w:top w:w="60" w:type="dxa"/>
                  <w:left w:w="114" w:type="dxa"/>
                  <w:bottom w:w="60" w:type="dxa"/>
                  <w:right w:w="114" w:type="dxa"/>
                </w:tcMar>
                <w:vAlign w:val="center"/>
              </w:tcPr>
              <w:p w14:paraId="337E6D7F" w14:textId="6A06182F" w:rsidR="007A212D" w:rsidRPr="00B57F38" w:rsidRDefault="007A212D" w:rsidP="00B57F38">
                <w:pPr>
                  <w:spacing w:before="0" w:line="240" w:lineRule="auto"/>
                  <w:jc w:val="left"/>
                  <w:rPr>
                    <w:rFonts w:eastAsia="Times New Roman" w:cs="Segoe UI"/>
                    <w:b/>
                    <w:bCs/>
                    <w:sz w:val="14"/>
                    <w:szCs w:val="14"/>
                    <w:lang w:val="en-GB" w:eastAsia="it-IT"/>
                  </w:rPr>
                </w:pPr>
                <w:r w:rsidRPr="00B57F38">
                  <w:rPr>
                    <w:rFonts w:cs="Segoe UI"/>
                    <w:b/>
                    <w:bCs/>
                    <w:sz w:val="14"/>
                    <w:szCs w:val="14"/>
                    <w:lang w:eastAsia="it-IT"/>
                  </w:rPr>
                  <w:t>A1.3</w:t>
                </w:r>
              </w:p>
            </w:tc>
            <w:tc>
              <w:tcPr>
                <w:tcW w:w="491" w:type="pct"/>
                <w:shd w:val="clear" w:color="auto" w:fill="FFFFFF" w:themeFill="background2"/>
                <w:tcMar>
                  <w:top w:w="60" w:type="dxa"/>
                  <w:left w:w="114" w:type="dxa"/>
                  <w:bottom w:w="60" w:type="dxa"/>
                  <w:right w:w="114" w:type="dxa"/>
                </w:tcMar>
                <w:vAlign w:val="center"/>
              </w:tcPr>
              <w:p w14:paraId="143B7B81" w14:textId="7D18DC8C"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71</w:t>
                </w:r>
              </w:p>
            </w:tc>
            <w:tc>
              <w:tcPr>
                <w:tcW w:w="417" w:type="pct"/>
                <w:shd w:val="clear" w:color="auto" w:fill="FFFFFF" w:themeFill="background2"/>
                <w:tcMar>
                  <w:top w:w="60" w:type="dxa"/>
                  <w:left w:w="114" w:type="dxa"/>
                  <w:bottom w:w="60" w:type="dxa"/>
                  <w:right w:w="114" w:type="dxa"/>
                </w:tcMar>
                <w:vAlign w:val="center"/>
              </w:tcPr>
              <w:p w14:paraId="48FDB996" w14:textId="3DD1DCB9"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0</w:t>
                </w:r>
              </w:p>
            </w:tc>
            <w:tc>
              <w:tcPr>
                <w:tcW w:w="417" w:type="pct"/>
                <w:shd w:val="clear" w:color="auto" w:fill="FFFFFF" w:themeFill="background2"/>
                <w:vAlign w:val="center"/>
              </w:tcPr>
              <w:p w14:paraId="48C59266" w14:textId="370D7468"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0</w:t>
                </w:r>
              </w:p>
            </w:tc>
            <w:tc>
              <w:tcPr>
                <w:tcW w:w="417" w:type="pct"/>
                <w:shd w:val="clear" w:color="auto" w:fill="FFFFFF" w:themeFill="background2"/>
                <w:vAlign w:val="center"/>
              </w:tcPr>
              <w:p w14:paraId="5E8E23E7" w14:textId="1A379366"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0</w:t>
                </w:r>
              </w:p>
            </w:tc>
            <w:tc>
              <w:tcPr>
                <w:tcW w:w="417" w:type="pct"/>
                <w:shd w:val="clear" w:color="auto" w:fill="FFFFFF" w:themeFill="background2"/>
                <w:vAlign w:val="center"/>
              </w:tcPr>
              <w:p w14:paraId="0E042E63" w14:textId="611E6CD2"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0</w:t>
                </w:r>
              </w:p>
            </w:tc>
            <w:tc>
              <w:tcPr>
                <w:tcW w:w="417" w:type="pct"/>
                <w:shd w:val="clear" w:color="auto" w:fill="FFFFFF" w:themeFill="background2"/>
                <w:vAlign w:val="center"/>
              </w:tcPr>
              <w:p w14:paraId="51743ACB" w14:textId="67419A0A"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0</w:t>
                </w:r>
              </w:p>
            </w:tc>
            <w:tc>
              <w:tcPr>
                <w:tcW w:w="417" w:type="pct"/>
                <w:shd w:val="clear" w:color="auto" w:fill="FFFFFF" w:themeFill="background2"/>
                <w:vAlign w:val="center"/>
              </w:tcPr>
              <w:p w14:paraId="73006BBD" w14:textId="5ABF6519"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0.00%</w:t>
                </w:r>
              </w:p>
            </w:tc>
            <w:tc>
              <w:tcPr>
                <w:tcW w:w="417" w:type="pct"/>
                <w:shd w:val="clear" w:color="auto" w:fill="FFFFFF" w:themeFill="background2"/>
                <w:vAlign w:val="center"/>
              </w:tcPr>
              <w:p w14:paraId="41841195" w14:textId="7B964665"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0.00%</w:t>
                </w:r>
              </w:p>
            </w:tc>
            <w:tc>
              <w:tcPr>
                <w:tcW w:w="417" w:type="pct"/>
                <w:shd w:val="clear" w:color="auto" w:fill="FFFFFF" w:themeFill="background2"/>
                <w:vAlign w:val="center"/>
              </w:tcPr>
              <w:p w14:paraId="02A35581" w14:textId="4F179A7C"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0.00%</w:t>
                </w:r>
              </w:p>
            </w:tc>
            <w:tc>
              <w:tcPr>
                <w:tcW w:w="417" w:type="pct"/>
                <w:shd w:val="clear" w:color="auto" w:fill="FFFFFF" w:themeFill="background2"/>
                <w:vAlign w:val="center"/>
              </w:tcPr>
              <w:p w14:paraId="4F13D735" w14:textId="578E6262"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0.00%</w:t>
                </w:r>
              </w:p>
            </w:tc>
            <w:tc>
              <w:tcPr>
                <w:tcW w:w="413" w:type="pct"/>
                <w:shd w:val="clear" w:color="auto" w:fill="FFFFFF" w:themeFill="background2"/>
                <w:vAlign w:val="center"/>
              </w:tcPr>
              <w:p w14:paraId="4733DF94" w14:textId="0C61338E"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0.00%</w:t>
                </w:r>
              </w:p>
            </w:tc>
          </w:tr>
          <w:tr w:rsidR="007A212D" w:rsidRPr="00B57F38" w14:paraId="2A5BB2BC" w14:textId="2B3D34DD" w:rsidTr="00AC7D4E">
            <w:trPr>
              <w:trHeight w:val="227"/>
            </w:trPr>
            <w:tc>
              <w:tcPr>
                <w:tcW w:w="343" w:type="pct"/>
                <w:shd w:val="clear" w:color="auto" w:fill="FFFFFF" w:themeFill="background2"/>
                <w:tcMar>
                  <w:top w:w="60" w:type="dxa"/>
                  <w:left w:w="114" w:type="dxa"/>
                  <w:bottom w:w="60" w:type="dxa"/>
                  <w:right w:w="114" w:type="dxa"/>
                </w:tcMar>
                <w:vAlign w:val="center"/>
              </w:tcPr>
              <w:p w14:paraId="08AA5450" w14:textId="06DAB319" w:rsidR="007A212D" w:rsidRPr="00B57F38" w:rsidRDefault="007A212D" w:rsidP="00B57F38">
                <w:pPr>
                  <w:spacing w:before="0" w:line="240" w:lineRule="auto"/>
                  <w:jc w:val="left"/>
                  <w:rPr>
                    <w:rFonts w:eastAsia="Times New Roman" w:cs="Segoe UI"/>
                    <w:b/>
                    <w:bCs/>
                    <w:sz w:val="14"/>
                    <w:szCs w:val="14"/>
                    <w:lang w:val="en-GB" w:eastAsia="it-IT"/>
                  </w:rPr>
                </w:pPr>
                <w:r w:rsidRPr="00B57F38">
                  <w:rPr>
                    <w:rFonts w:cs="Segoe UI"/>
                    <w:b/>
                    <w:bCs/>
                    <w:sz w:val="14"/>
                    <w:szCs w:val="14"/>
                    <w:lang w:eastAsia="it-IT"/>
                  </w:rPr>
                  <w:t>A2.1</w:t>
                </w:r>
              </w:p>
            </w:tc>
            <w:tc>
              <w:tcPr>
                <w:tcW w:w="491" w:type="pct"/>
                <w:shd w:val="clear" w:color="auto" w:fill="FFFFFF" w:themeFill="background2"/>
                <w:tcMar>
                  <w:top w:w="60" w:type="dxa"/>
                  <w:left w:w="114" w:type="dxa"/>
                  <w:bottom w:w="60" w:type="dxa"/>
                  <w:right w:w="114" w:type="dxa"/>
                </w:tcMar>
                <w:vAlign w:val="center"/>
              </w:tcPr>
              <w:p w14:paraId="09714806" w14:textId="08037BEC"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463</w:t>
                </w:r>
              </w:p>
            </w:tc>
            <w:tc>
              <w:tcPr>
                <w:tcW w:w="417" w:type="pct"/>
                <w:shd w:val="clear" w:color="auto" w:fill="FFFFFF" w:themeFill="background2"/>
                <w:tcMar>
                  <w:top w:w="60" w:type="dxa"/>
                  <w:left w:w="114" w:type="dxa"/>
                  <w:bottom w:w="60" w:type="dxa"/>
                  <w:right w:w="114" w:type="dxa"/>
                </w:tcMar>
                <w:vAlign w:val="center"/>
              </w:tcPr>
              <w:p w14:paraId="59E4C22E" w14:textId="08B5BC18"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0</w:t>
                </w:r>
              </w:p>
            </w:tc>
            <w:tc>
              <w:tcPr>
                <w:tcW w:w="417" w:type="pct"/>
                <w:shd w:val="clear" w:color="auto" w:fill="FFFFFF" w:themeFill="background2"/>
                <w:vAlign w:val="center"/>
              </w:tcPr>
              <w:p w14:paraId="37FA3ACC" w14:textId="3EFD9067"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0</w:t>
                </w:r>
              </w:p>
            </w:tc>
            <w:tc>
              <w:tcPr>
                <w:tcW w:w="417" w:type="pct"/>
                <w:shd w:val="clear" w:color="auto" w:fill="FFFFFF" w:themeFill="background2"/>
                <w:vAlign w:val="center"/>
              </w:tcPr>
              <w:p w14:paraId="15AE8705" w14:textId="2099954A"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0</w:t>
                </w:r>
              </w:p>
            </w:tc>
            <w:tc>
              <w:tcPr>
                <w:tcW w:w="417" w:type="pct"/>
                <w:shd w:val="clear" w:color="auto" w:fill="FFFFFF" w:themeFill="background2"/>
                <w:vAlign w:val="center"/>
              </w:tcPr>
              <w:p w14:paraId="637E754D" w14:textId="3F00F181"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w:t>
                </w:r>
              </w:p>
            </w:tc>
            <w:tc>
              <w:tcPr>
                <w:tcW w:w="417" w:type="pct"/>
                <w:shd w:val="clear" w:color="auto" w:fill="FFFFFF" w:themeFill="background2"/>
                <w:vAlign w:val="center"/>
              </w:tcPr>
              <w:p w14:paraId="0566E471" w14:textId="223DAF7E"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2</w:t>
                </w:r>
              </w:p>
            </w:tc>
            <w:tc>
              <w:tcPr>
                <w:tcW w:w="417" w:type="pct"/>
                <w:shd w:val="clear" w:color="auto" w:fill="FFFFFF" w:themeFill="background2"/>
                <w:vAlign w:val="center"/>
              </w:tcPr>
              <w:p w14:paraId="575671E1" w14:textId="33822F25"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0.00%</w:t>
                </w:r>
              </w:p>
            </w:tc>
            <w:tc>
              <w:tcPr>
                <w:tcW w:w="417" w:type="pct"/>
                <w:shd w:val="clear" w:color="auto" w:fill="FFFFFF" w:themeFill="background2"/>
                <w:vAlign w:val="center"/>
              </w:tcPr>
              <w:p w14:paraId="6621CD70" w14:textId="24576507"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0.00%</w:t>
                </w:r>
              </w:p>
            </w:tc>
            <w:tc>
              <w:tcPr>
                <w:tcW w:w="417" w:type="pct"/>
                <w:shd w:val="clear" w:color="auto" w:fill="FFFFFF" w:themeFill="background2"/>
                <w:vAlign w:val="center"/>
              </w:tcPr>
              <w:p w14:paraId="39D322A5" w14:textId="47CB7511"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0.00%</w:t>
                </w:r>
              </w:p>
            </w:tc>
            <w:tc>
              <w:tcPr>
                <w:tcW w:w="417" w:type="pct"/>
                <w:shd w:val="clear" w:color="auto" w:fill="FFFFFF" w:themeFill="background2"/>
                <w:vAlign w:val="center"/>
              </w:tcPr>
              <w:p w14:paraId="73E4EF6D" w14:textId="6356D781"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0.22%</w:t>
                </w:r>
              </w:p>
            </w:tc>
            <w:tc>
              <w:tcPr>
                <w:tcW w:w="413" w:type="pct"/>
                <w:shd w:val="clear" w:color="auto" w:fill="FFFFFF" w:themeFill="background2"/>
                <w:vAlign w:val="center"/>
              </w:tcPr>
              <w:p w14:paraId="30C2207C" w14:textId="159650E6"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0.43%</w:t>
                </w:r>
              </w:p>
            </w:tc>
          </w:tr>
          <w:tr w:rsidR="007A212D" w:rsidRPr="00B57F38" w14:paraId="24547ED4" w14:textId="48B86919" w:rsidTr="00AC7D4E">
            <w:trPr>
              <w:trHeight w:val="227"/>
            </w:trPr>
            <w:tc>
              <w:tcPr>
                <w:tcW w:w="343" w:type="pct"/>
                <w:shd w:val="clear" w:color="auto" w:fill="FFFFFF" w:themeFill="background2"/>
                <w:tcMar>
                  <w:top w:w="60" w:type="dxa"/>
                  <w:left w:w="114" w:type="dxa"/>
                  <w:bottom w:w="60" w:type="dxa"/>
                  <w:right w:w="114" w:type="dxa"/>
                </w:tcMar>
                <w:vAlign w:val="center"/>
              </w:tcPr>
              <w:p w14:paraId="1AE4A2A7" w14:textId="0F156867" w:rsidR="007A212D" w:rsidRPr="00B57F38" w:rsidRDefault="007A212D" w:rsidP="00B57F38">
                <w:pPr>
                  <w:spacing w:before="0" w:line="240" w:lineRule="auto"/>
                  <w:jc w:val="left"/>
                  <w:rPr>
                    <w:rFonts w:eastAsia="Times New Roman" w:cs="Segoe UI"/>
                    <w:b/>
                    <w:bCs/>
                    <w:sz w:val="14"/>
                    <w:szCs w:val="14"/>
                    <w:lang w:val="en-GB" w:eastAsia="it-IT"/>
                  </w:rPr>
                </w:pPr>
                <w:r w:rsidRPr="00B57F38">
                  <w:rPr>
                    <w:rFonts w:cs="Segoe UI"/>
                    <w:b/>
                    <w:bCs/>
                    <w:sz w:val="14"/>
                    <w:szCs w:val="14"/>
                    <w:lang w:eastAsia="it-IT"/>
                  </w:rPr>
                  <w:t>A2.2</w:t>
                </w:r>
              </w:p>
            </w:tc>
            <w:tc>
              <w:tcPr>
                <w:tcW w:w="491" w:type="pct"/>
                <w:shd w:val="clear" w:color="auto" w:fill="FFFFFF" w:themeFill="background2"/>
                <w:tcMar>
                  <w:top w:w="60" w:type="dxa"/>
                  <w:left w:w="114" w:type="dxa"/>
                  <w:bottom w:w="60" w:type="dxa"/>
                  <w:right w:w="114" w:type="dxa"/>
                </w:tcMar>
                <w:vAlign w:val="center"/>
              </w:tcPr>
              <w:p w14:paraId="504097AA" w14:textId="42AA43A6"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2,461</w:t>
                </w:r>
              </w:p>
            </w:tc>
            <w:tc>
              <w:tcPr>
                <w:tcW w:w="417" w:type="pct"/>
                <w:shd w:val="clear" w:color="auto" w:fill="FFFFFF" w:themeFill="background2"/>
                <w:tcMar>
                  <w:top w:w="60" w:type="dxa"/>
                  <w:left w:w="114" w:type="dxa"/>
                  <w:bottom w:w="60" w:type="dxa"/>
                  <w:right w:w="114" w:type="dxa"/>
                </w:tcMar>
                <w:vAlign w:val="center"/>
              </w:tcPr>
              <w:p w14:paraId="59073B09" w14:textId="18F204B5"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0</w:t>
                </w:r>
              </w:p>
            </w:tc>
            <w:tc>
              <w:tcPr>
                <w:tcW w:w="417" w:type="pct"/>
                <w:shd w:val="clear" w:color="auto" w:fill="FFFFFF" w:themeFill="background2"/>
                <w:vAlign w:val="center"/>
              </w:tcPr>
              <w:p w14:paraId="05709FCA" w14:textId="17AB5F96"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0</w:t>
                </w:r>
              </w:p>
            </w:tc>
            <w:tc>
              <w:tcPr>
                <w:tcW w:w="417" w:type="pct"/>
                <w:shd w:val="clear" w:color="auto" w:fill="FFFFFF" w:themeFill="background2"/>
                <w:vAlign w:val="center"/>
              </w:tcPr>
              <w:p w14:paraId="4CAEC1DA" w14:textId="247EAA14"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6</w:t>
                </w:r>
              </w:p>
            </w:tc>
            <w:tc>
              <w:tcPr>
                <w:tcW w:w="417" w:type="pct"/>
                <w:shd w:val="clear" w:color="auto" w:fill="FFFFFF" w:themeFill="background2"/>
                <w:vAlign w:val="center"/>
              </w:tcPr>
              <w:p w14:paraId="674FAE3F" w14:textId="2A4F77AA"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7</w:t>
                </w:r>
              </w:p>
            </w:tc>
            <w:tc>
              <w:tcPr>
                <w:tcW w:w="417" w:type="pct"/>
                <w:shd w:val="clear" w:color="auto" w:fill="FFFFFF" w:themeFill="background2"/>
                <w:vAlign w:val="center"/>
              </w:tcPr>
              <w:p w14:paraId="76DC8FDC" w14:textId="45AE89A7"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10</w:t>
                </w:r>
              </w:p>
            </w:tc>
            <w:tc>
              <w:tcPr>
                <w:tcW w:w="417" w:type="pct"/>
                <w:shd w:val="clear" w:color="auto" w:fill="FFFFFF" w:themeFill="background2"/>
                <w:vAlign w:val="center"/>
              </w:tcPr>
              <w:p w14:paraId="0687D71F" w14:textId="53E39DCA"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0.00%</w:t>
                </w:r>
              </w:p>
            </w:tc>
            <w:tc>
              <w:tcPr>
                <w:tcW w:w="417" w:type="pct"/>
                <w:shd w:val="clear" w:color="auto" w:fill="FFFFFF" w:themeFill="background2"/>
                <w:vAlign w:val="center"/>
              </w:tcPr>
              <w:p w14:paraId="65A4B71A" w14:textId="5E292B38"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0.00%</w:t>
                </w:r>
              </w:p>
            </w:tc>
            <w:tc>
              <w:tcPr>
                <w:tcW w:w="417" w:type="pct"/>
                <w:shd w:val="clear" w:color="auto" w:fill="FFFFFF" w:themeFill="background2"/>
                <w:vAlign w:val="center"/>
              </w:tcPr>
              <w:p w14:paraId="7B11442C" w14:textId="6C6BDF34"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0.24%</w:t>
                </w:r>
              </w:p>
            </w:tc>
            <w:tc>
              <w:tcPr>
                <w:tcW w:w="417" w:type="pct"/>
                <w:shd w:val="clear" w:color="auto" w:fill="FFFFFF" w:themeFill="background2"/>
                <w:vAlign w:val="center"/>
              </w:tcPr>
              <w:p w14:paraId="6071431E" w14:textId="015EC242"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0.28%</w:t>
                </w:r>
              </w:p>
            </w:tc>
            <w:tc>
              <w:tcPr>
                <w:tcW w:w="413" w:type="pct"/>
                <w:shd w:val="clear" w:color="auto" w:fill="FFFFFF" w:themeFill="background2"/>
                <w:vAlign w:val="center"/>
              </w:tcPr>
              <w:p w14:paraId="7428CEE8" w14:textId="2B4F14E7"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0.41%</w:t>
                </w:r>
              </w:p>
            </w:tc>
          </w:tr>
          <w:tr w:rsidR="007A212D" w:rsidRPr="00B57F38" w14:paraId="2073F988" w14:textId="75136661" w:rsidTr="00AC7D4E">
            <w:trPr>
              <w:trHeight w:val="227"/>
            </w:trPr>
            <w:tc>
              <w:tcPr>
                <w:tcW w:w="343" w:type="pct"/>
                <w:shd w:val="clear" w:color="auto" w:fill="FFFFFF" w:themeFill="background2"/>
                <w:tcMar>
                  <w:top w:w="60" w:type="dxa"/>
                  <w:left w:w="114" w:type="dxa"/>
                  <w:bottom w:w="60" w:type="dxa"/>
                  <w:right w:w="114" w:type="dxa"/>
                </w:tcMar>
                <w:vAlign w:val="center"/>
              </w:tcPr>
              <w:p w14:paraId="58925831" w14:textId="4352F23D" w:rsidR="007A212D" w:rsidRPr="00B57F38" w:rsidRDefault="007A212D" w:rsidP="00B57F38">
                <w:pPr>
                  <w:spacing w:before="0" w:line="240" w:lineRule="auto"/>
                  <w:jc w:val="left"/>
                  <w:rPr>
                    <w:rFonts w:eastAsia="Times New Roman" w:cs="Segoe UI"/>
                    <w:b/>
                    <w:bCs/>
                    <w:sz w:val="14"/>
                    <w:szCs w:val="14"/>
                    <w:lang w:val="en-GB" w:eastAsia="it-IT"/>
                  </w:rPr>
                </w:pPr>
                <w:r w:rsidRPr="00B57F38">
                  <w:rPr>
                    <w:rFonts w:cs="Segoe UI"/>
                    <w:b/>
                    <w:bCs/>
                    <w:sz w:val="14"/>
                    <w:szCs w:val="14"/>
                    <w:lang w:eastAsia="it-IT"/>
                  </w:rPr>
                  <w:t>A3.1</w:t>
                </w:r>
              </w:p>
            </w:tc>
            <w:tc>
              <w:tcPr>
                <w:tcW w:w="491" w:type="pct"/>
                <w:shd w:val="clear" w:color="auto" w:fill="FFFFFF" w:themeFill="background2"/>
                <w:tcMar>
                  <w:top w:w="60" w:type="dxa"/>
                  <w:left w:w="114" w:type="dxa"/>
                  <w:bottom w:w="60" w:type="dxa"/>
                  <w:right w:w="114" w:type="dxa"/>
                </w:tcMar>
                <w:vAlign w:val="center"/>
              </w:tcPr>
              <w:p w14:paraId="014E2D17" w14:textId="13E19ADE"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5,623</w:t>
                </w:r>
              </w:p>
            </w:tc>
            <w:tc>
              <w:tcPr>
                <w:tcW w:w="417" w:type="pct"/>
                <w:shd w:val="clear" w:color="auto" w:fill="FFFFFF" w:themeFill="background2"/>
                <w:tcMar>
                  <w:top w:w="60" w:type="dxa"/>
                  <w:left w:w="114" w:type="dxa"/>
                  <w:bottom w:w="60" w:type="dxa"/>
                  <w:right w:w="114" w:type="dxa"/>
                </w:tcMar>
                <w:vAlign w:val="center"/>
              </w:tcPr>
              <w:p w14:paraId="2F24844D" w14:textId="50FEF76C"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5</w:t>
                </w:r>
              </w:p>
            </w:tc>
            <w:tc>
              <w:tcPr>
                <w:tcW w:w="417" w:type="pct"/>
                <w:shd w:val="clear" w:color="auto" w:fill="FFFFFF" w:themeFill="background2"/>
                <w:vAlign w:val="center"/>
              </w:tcPr>
              <w:p w14:paraId="26F4599D" w14:textId="6066D857"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12</w:t>
                </w:r>
              </w:p>
            </w:tc>
            <w:tc>
              <w:tcPr>
                <w:tcW w:w="417" w:type="pct"/>
                <w:shd w:val="clear" w:color="auto" w:fill="FFFFFF" w:themeFill="background2"/>
                <w:vAlign w:val="center"/>
              </w:tcPr>
              <w:p w14:paraId="071EA0A3" w14:textId="64866B8D"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25</w:t>
                </w:r>
              </w:p>
            </w:tc>
            <w:tc>
              <w:tcPr>
                <w:tcW w:w="417" w:type="pct"/>
                <w:shd w:val="clear" w:color="auto" w:fill="FFFFFF" w:themeFill="background2"/>
                <w:vAlign w:val="center"/>
              </w:tcPr>
              <w:p w14:paraId="3D0538B6" w14:textId="13D8FA49"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45</w:t>
                </w:r>
              </w:p>
            </w:tc>
            <w:tc>
              <w:tcPr>
                <w:tcW w:w="417" w:type="pct"/>
                <w:shd w:val="clear" w:color="auto" w:fill="FFFFFF" w:themeFill="background2"/>
                <w:vAlign w:val="center"/>
              </w:tcPr>
              <w:p w14:paraId="0C5D75C0" w14:textId="060671E1"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76</w:t>
                </w:r>
              </w:p>
            </w:tc>
            <w:tc>
              <w:tcPr>
                <w:tcW w:w="417" w:type="pct"/>
                <w:shd w:val="clear" w:color="auto" w:fill="FFFFFF" w:themeFill="background2"/>
                <w:vAlign w:val="center"/>
              </w:tcPr>
              <w:p w14:paraId="787AF773" w14:textId="404B706C"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0.09%</w:t>
                </w:r>
              </w:p>
            </w:tc>
            <w:tc>
              <w:tcPr>
                <w:tcW w:w="417" w:type="pct"/>
                <w:shd w:val="clear" w:color="auto" w:fill="FFFFFF" w:themeFill="background2"/>
                <w:vAlign w:val="center"/>
              </w:tcPr>
              <w:p w14:paraId="044BA049" w14:textId="2924B51B"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0.21%</w:t>
                </w:r>
              </w:p>
            </w:tc>
            <w:tc>
              <w:tcPr>
                <w:tcW w:w="417" w:type="pct"/>
                <w:shd w:val="clear" w:color="auto" w:fill="FFFFFF" w:themeFill="background2"/>
                <w:vAlign w:val="center"/>
              </w:tcPr>
              <w:p w14:paraId="6450CC89" w14:textId="0044866F"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0.44%</w:t>
                </w:r>
              </w:p>
            </w:tc>
            <w:tc>
              <w:tcPr>
                <w:tcW w:w="417" w:type="pct"/>
                <w:shd w:val="clear" w:color="auto" w:fill="FFFFFF" w:themeFill="background2"/>
                <w:vAlign w:val="center"/>
              </w:tcPr>
              <w:p w14:paraId="0AC39092" w14:textId="5FE5F796"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0.80%</w:t>
                </w:r>
              </w:p>
            </w:tc>
            <w:tc>
              <w:tcPr>
                <w:tcW w:w="413" w:type="pct"/>
                <w:shd w:val="clear" w:color="auto" w:fill="FFFFFF" w:themeFill="background2"/>
                <w:vAlign w:val="center"/>
              </w:tcPr>
              <w:p w14:paraId="0B8DDAA1" w14:textId="1458163B"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1.35%</w:t>
                </w:r>
              </w:p>
            </w:tc>
          </w:tr>
          <w:tr w:rsidR="007A212D" w:rsidRPr="00B57F38" w14:paraId="78FA0358" w14:textId="3FEC776A" w:rsidTr="00AC7D4E">
            <w:trPr>
              <w:trHeight w:val="227"/>
            </w:trPr>
            <w:tc>
              <w:tcPr>
                <w:tcW w:w="343" w:type="pct"/>
                <w:shd w:val="clear" w:color="auto" w:fill="FFFFFF" w:themeFill="background2"/>
                <w:tcMar>
                  <w:top w:w="60" w:type="dxa"/>
                  <w:left w:w="114" w:type="dxa"/>
                  <w:bottom w:w="60" w:type="dxa"/>
                  <w:right w:w="114" w:type="dxa"/>
                </w:tcMar>
                <w:vAlign w:val="center"/>
              </w:tcPr>
              <w:p w14:paraId="1C388889" w14:textId="6023D830" w:rsidR="007A212D" w:rsidRPr="00B57F38" w:rsidRDefault="007A212D" w:rsidP="00B57F38">
                <w:pPr>
                  <w:spacing w:before="0" w:line="240" w:lineRule="auto"/>
                  <w:jc w:val="left"/>
                  <w:rPr>
                    <w:rFonts w:eastAsia="Times New Roman" w:cs="Segoe UI"/>
                    <w:b/>
                    <w:bCs/>
                    <w:sz w:val="14"/>
                    <w:szCs w:val="14"/>
                    <w:lang w:val="en-GB" w:eastAsia="it-IT"/>
                  </w:rPr>
                </w:pPr>
                <w:r w:rsidRPr="00B57F38">
                  <w:rPr>
                    <w:rFonts w:cs="Segoe UI"/>
                    <w:b/>
                    <w:bCs/>
                    <w:sz w:val="14"/>
                    <w:szCs w:val="14"/>
                    <w:lang w:eastAsia="it-IT"/>
                  </w:rPr>
                  <w:t>B1.1</w:t>
                </w:r>
              </w:p>
            </w:tc>
            <w:tc>
              <w:tcPr>
                <w:tcW w:w="491" w:type="pct"/>
                <w:shd w:val="clear" w:color="auto" w:fill="FFFFFF" w:themeFill="background2"/>
                <w:tcMar>
                  <w:top w:w="60" w:type="dxa"/>
                  <w:left w:w="114" w:type="dxa"/>
                  <w:bottom w:w="60" w:type="dxa"/>
                  <w:right w:w="114" w:type="dxa"/>
                </w:tcMar>
                <w:vAlign w:val="center"/>
              </w:tcPr>
              <w:p w14:paraId="3FDAB71A" w14:textId="1259840B"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7,792</w:t>
                </w:r>
              </w:p>
            </w:tc>
            <w:tc>
              <w:tcPr>
                <w:tcW w:w="417" w:type="pct"/>
                <w:shd w:val="clear" w:color="auto" w:fill="FFFFFF" w:themeFill="background2"/>
                <w:tcMar>
                  <w:top w:w="60" w:type="dxa"/>
                  <w:left w:w="114" w:type="dxa"/>
                  <w:bottom w:w="60" w:type="dxa"/>
                  <w:right w:w="114" w:type="dxa"/>
                </w:tcMar>
                <w:vAlign w:val="center"/>
              </w:tcPr>
              <w:p w14:paraId="44AF374A" w14:textId="0F2B4CBA"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15</w:t>
                </w:r>
              </w:p>
            </w:tc>
            <w:tc>
              <w:tcPr>
                <w:tcW w:w="417" w:type="pct"/>
                <w:shd w:val="clear" w:color="auto" w:fill="FFFFFF" w:themeFill="background2"/>
                <w:vAlign w:val="center"/>
              </w:tcPr>
              <w:p w14:paraId="10E8D95E" w14:textId="0B2B2DED"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33</w:t>
                </w:r>
              </w:p>
            </w:tc>
            <w:tc>
              <w:tcPr>
                <w:tcW w:w="417" w:type="pct"/>
                <w:shd w:val="clear" w:color="auto" w:fill="FFFFFF" w:themeFill="background2"/>
                <w:vAlign w:val="center"/>
              </w:tcPr>
              <w:p w14:paraId="4FE7A990" w14:textId="128D92F9"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66</w:t>
                </w:r>
              </w:p>
            </w:tc>
            <w:tc>
              <w:tcPr>
                <w:tcW w:w="417" w:type="pct"/>
                <w:shd w:val="clear" w:color="auto" w:fill="FFFFFF" w:themeFill="background2"/>
                <w:vAlign w:val="center"/>
              </w:tcPr>
              <w:p w14:paraId="0560DEEB" w14:textId="5C4C24EF"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135</w:t>
                </w:r>
              </w:p>
            </w:tc>
            <w:tc>
              <w:tcPr>
                <w:tcW w:w="417" w:type="pct"/>
                <w:shd w:val="clear" w:color="auto" w:fill="FFFFFF" w:themeFill="background2"/>
                <w:vAlign w:val="center"/>
              </w:tcPr>
              <w:p w14:paraId="70549C88" w14:textId="7031D3CA"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177</w:t>
                </w:r>
              </w:p>
            </w:tc>
            <w:tc>
              <w:tcPr>
                <w:tcW w:w="417" w:type="pct"/>
                <w:shd w:val="clear" w:color="auto" w:fill="FFFFFF" w:themeFill="background2"/>
                <w:vAlign w:val="center"/>
              </w:tcPr>
              <w:p w14:paraId="79061253" w14:textId="4296ECF6"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0.19%</w:t>
                </w:r>
              </w:p>
            </w:tc>
            <w:tc>
              <w:tcPr>
                <w:tcW w:w="417" w:type="pct"/>
                <w:shd w:val="clear" w:color="auto" w:fill="FFFFFF" w:themeFill="background2"/>
                <w:vAlign w:val="center"/>
              </w:tcPr>
              <w:p w14:paraId="6DADEDC1" w14:textId="330D6785"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0.42%</w:t>
                </w:r>
              </w:p>
            </w:tc>
            <w:tc>
              <w:tcPr>
                <w:tcW w:w="417" w:type="pct"/>
                <w:shd w:val="clear" w:color="auto" w:fill="FFFFFF" w:themeFill="background2"/>
                <w:vAlign w:val="center"/>
              </w:tcPr>
              <w:p w14:paraId="4486F38F" w14:textId="24491E1A"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0.85%</w:t>
                </w:r>
              </w:p>
            </w:tc>
            <w:tc>
              <w:tcPr>
                <w:tcW w:w="417" w:type="pct"/>
                <w:shd w:val="clear" w:color="auto" w:fill="FFFFFF" w:themeFill="background2"/>
                <w:vAlign w:val="center"/>
              </w:tcPr>
              <w:p w14:paraId="083A84E7" w14:textId="24149B8C"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1.73%</w:t>
                </w:r>
              </w:p>
            </w:tc>
            <w:tc>
              <w:tcPr>
                <w:tcW w:w="413" w:type="pct"/>
                <w:shd w:val="clear" w:color="auto" w:fill="FFFFFF" w:themeFill="background2"/>
                <w:vAlign w:val="center"/>
              </w:tcPr>
              <w:p w14:paraId="48093E20" w14:textId="45A00401"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2.27%</w:t>
                </w:r>
              </w:p>
            </w:tc>
          </w:tr>
          <w:tr w:rsidR="007A212D" w:rsidRPr="00B57F38" w14:paraId="287106E2" w14:textId="2AE71AE8" w:rsidTr="00AC7D4E">
            <w:trPr>
              <w:trHeight w:val="227"/>
            </w:trPr>
            <w:tc>
              <w:tcPr>
                <w:tcW w:w="343" w:type="pct"/>
                <w:shd w:val="clear" w:color="auto" w:fill="FFFFFF" w:themeFill="background2"/>
                <w:tcMar>
                  <w:top w:w="60" w:type="dxa"/>
                  <w:left w:w="114" w:type="dxa"/>
                  <w:bottom w:w="60" w:type="dxa"/>
                  <w:right w:w="114" w:type="dxa"/>
                </w:tcMar>
                <w:vAlign w:val="center"/>
              </w:tcPr>
              <w:p w14:paraId="2A5F374A" w14:textId="5A2994F5" w:rsidR="007A212D" w:rsidRPr="00B57F38" w:rsidRDefault="007A212D" w:rsidP="00B57F38">
                <w:pPr>
                  <w:spacing w:before="0" w:line="240" w:lineRule="auto"/>
                  <w:jc w:val="left"/>
                  <w:rPr>
                    <w:rFonts w:eastAsia="Times New Roman" w:cs="Segoe UI"/>
                    <w:b/>
                    <w:bCs/>
                    <w:sz w:val="14"/>
                    <w:szCs w:val="14"/>
                    <w:lang w:val="en-GB" w:eastAsia="it-IT"/>
                  </w:rPr>
                </w:pPr>
                <w:r w:rsidRPr="00B57F38">
                  <w:rPr>
                    <w:rFonts w:cs="Segoe UI"/>
                    <w:b/>
                    <w:bCs/>
                    <w:sz w:val="14"/>
                    <w:szCs w:val="14"/>
                    <w:lang w:eastAsia="it-IT"/>
                  </w:rPr>
                  <w:t>B1.2</w:t>
                </w:r>
              </w:p>
            </w:tc>
            <w:tc>
              <w:tcPr>
                <w:tcW w:w="491" w:type="pct"/>
                <w:shd w:val="clear" w:color="auto" w:fill="FFFFFF" w:themeFill="background2"/>
                <w:tcMar>
                  <w:top w:w="60" w:type="dxa"/>
                  <w:left w:w="114" w:type="dxa"/>
                  <w:bottom w:w="60" w:type="dxa"/>
                  <w:right w:w="114" w:type="dxa"/>
                </w:tcMar>
                <w:vAlign w:val="center"/>
              </w:tcPr>
              <w:p w14:paraId="21D8D027" w14:textId="26C67268"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10,924</w:t>
                </w:r>
              </w:p>
            </w:tc>
            <w:tc>
              <w:tcPr>
                <w:tcW w:w="417" w:type="pct"/>
                <w:shd w:val="clear" w:color="auto" w:fill="FFFFFF" w:themeFill="background2"/>
                <w:tcMar>
                  <w:top w:w="60" w:type="dxa"/>
                  <w:left w:w="114" w:type="dxa"/>
                  <w:bottom w:w="60" w:type="dxa"/>
                  <w:right w:w="114" w:type="dxa"/>
                </w:tcMar>
                <w:vAlign w:val="center"/>
              </w:tcPr>
              <w:p w14:paraId="15B61979" w14:textId="261FC3AB"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82</w:t>
                </w:r>
              </w:p>
            </w:tc>
            <w:tc>
              <w:tcPr>
                <w:tcW w:w="417" w:type="pct"/>
                <w:shd w:val="clear" w:color="auto" w:fill="FFFFFF" w:themeFill="background2"/>
                <w:vAlign w:val="center"/>
              </w:tcPr>
              <w:p w14:paraId="05FBFE5E" w14:textId="2BA24054"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170</w:t>
                </w:r>
              </w:p>
            </w:tc>
            <w:tc>
              <w:tcPr>
                <w:tcW w:w="417" w:type="pct"/>
                <w:shd w:val="clear" w:color="auto" w:fill="FFFFFF" w:themeFill="background2"/>
                <w:vAlign w:val="center"/>
              </w:tcPr>
              <w:p w14:paraId="2F5A1399" w14:textId="0A8A9BC1"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280</w:t>
                </w:r>
              </w:p>
            </w:tc>
            <w:tc>
              <w:tcPr>
                <w:tcW w:w="417" w:type="pct"/>
                <w:shd w:val="clear" w:color="auto" w:fill="FFFFFF" w:themeFill="background2"/>
                <w:vAlign w:val="center"/>
              </w:tcPr>
              <w:p w14:paraId="2DAE97F2" w14:textId="0285E84D"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469</w:t>
                </w:r>
              </w:p>
            </w:tc>
            <w:tc>
              <w:tcPr>
                <w:tcW w:w="417" w:type="pct"/>
                <w:shd w:val="clear" w:color="auto" w:fill="FFFFFF" w:themeFill="background2"/>
                <w:vAlign w:val="center"/>
              </w:tcPr>
              <w:p w14:paraId="1E07DDB5" w14:textId="662D7364"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562</w:t>
                </w:r>
              </w:p>
            </w:tc>
            <w:tc>
              <w:tcPr>
                <w:tcW w:w="417" w:type="pct"/>
                <w:shd w:val="clear" w:color="auto" w:fill="FFFFFF" w:themeFill="background2"/>
                <w:vAlign w:val="center"/>
              </w:tcPr>
              <w:p w14:paraId="2ED12479" w14:textId="78B09D9E"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0.75%</w:t>
                </w:r>
              </w:p>
            </w:tc>
            <w:tc>
              <w:tcPr>
                <w:tcW w:w="417" w:type="pct"/>
                <w:shd w:val="clear" w:color="auto" w:fill="FFFFFF" w:themeFill="background2"/>
                <w:vAlign w:val="center"/>
              </w:tcPr>
              <w:p w14:paraId="7EFFFE5C" w14:textId="2A9BA286"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1.56%</w:t>
                </w:r>
              </w:p>
            </w:tc>
            <w:tc>
              <w:tcPr>
                <w:tcW w:w="417" w:type="pct"/>
                <w:shd w:val="clear" w:color="auto" w:fill="FFFFFF" w:themeFill="background2"/>
                <w:vAlign w:val="center"/>
              </w:tcPr>
              <w:p w14:paraId="3DCE0596" w14:textId="2FB6A65A"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2.56%</w:t>
                </w:r>
              </w:p>
            </w:tc>
            <w:tc>
              <w:tcPr>
                <w:tcW w:w="417" w:type="pct"/>
                <w:shd w:val="clear" w:color="auto" w:fill="FFFFFF" w:themeFill="background2"/>
                <w:vAlign w:val="center"/>
              </w:tcPr>
              <w:p w14:paraId="23B91034" w14:textId="0D18A2F7"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4.29%</w:t>
                </w:r>
              </w:p>
            </w:tc>
            <w:tc>
              <w:tcPr>
                <w:tcW w:w="413" w:type="pct"/>
                <w:shd w:val="clear" w:color="auto" w:fill="FFFFFF" w:themeFill="background2"/>
                <w:vAlign w:val="center"/>
              </w:tcPr>
              <w:p w14:paraId="0DAF6406" w14:textId="05309029"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5.14%</w:t>
                </w:r>
              </w:p>
            </w:tc>
          </w:tr>
          <w:tr w:rsidR="007A212D" w:rsidRPr="00B57F38" w14:paraId="596B00E4" w14:textId="4873BE09" w:rsidTr="00AC7D4E">
            <w:trPr>
              <w:trHeight w:val="227"/>
            </w:trPr>
            <w:tc>
              <w:tcPr>
                <w:tcW w:w="343" w:type="pct"/>
                <w:shd w:val="clear" w:color="auto" w:fill="FFFFFF" w:themeFill="background2"/>
                <w:tcMar>
                  <w:top w:w="60" w:type="dxa"/>
                  <w:left w:w="114" w:type="dxa"/>
                  <w:bottom w:w="60" w:type="dxa"/>
                  <w:right w:w="114" w:type="dxa"/>
                </w:tcMar>
                <w:vAlign w:val="center"/>
              </w:tcPr>
              <w:p w14:paraId="1321C62D" w14:textId="08446DF3" w:rsidR="007A212D" w:rsidRPr="00B57F38" w:rsidRDefault="007A212D" w:rsidP="00B57F38">
                <w:pPr>
                  <w:spacing w:before="0" w:line="240" w:lineRule="auto"/>
                  <w:jc w:val="left"/>
                  <w:rPr>
                    <w:rFonts w:eastAsia="Times New Roman" w:cs="Segoe UI"/>
                    <w:b/>
                    <w:bCs/>
                    <w:sz w:val="14"/>
                    <w:szCs w:val="14"/>
                    <w:lang w:val="en-GB" w:eastAsia="it-IT"/>
                  </w:rPr>
                </w:pPr>
                <w:r w:rsidRPr="00B57F38">
                  <w:rPr>
                    <w:rFonts w:cs="Segoe UI"/>
                    <w:b/>
                    <w:bCs/>
                    <w:sz w:val="14"/>
                    <w:szCs w:val="14"/>
                    <w:lang w:eastAsia="it-IT"/>
                  </w:rPr>
                  <w:t>B2.1</w:t>
                </w:r>
              </w:p>
            </w:tc>
            <w:tc>
              <w:tcPr>
                <w:tcW w:w="491" w:type="pct"/>
                <w:shd w:val="clear" w:color="auto" w:fill="FFFFFF" w:themeFill="background2"/>
                <w:tcMar>
                  <w:top w:w="60" w:type="dxa"/>
                  <w:left w:w="114" w:type="dxa"/>
                  <w:bottom w:w="60" w:type="dxa"/>
                  <w:right w:w="114" w:type="dxa"/>
                </w:tcMar>
                <w:vAlign w:val="center"/>
              </w:tcPr>
              <w:p w14:paraId="11BC570F" w14:textId="331731BD"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14,720</w:t>
                </w:r>
              </w:p>
            </w:tc>
            <w:tc>
              <w:tcPr>
                <w:tcW w:w="417" w:type="pct"/>
                <w:shd w:val="clear" w:color="auto" w:fill="FFFFFF" w:themeFill="background2"/>
                <w:tcMar>
                  <w:top w:w="60" w:type="dxa"/>
                  <w:left w:w="114" w:type="dxa"/>
                  <w:bottom w:w="60" w:type="dxa"/>
                  <w:right w:w="114" w:type="dxa"/>
                </w:tcMar>
                <w:vAlign w:val="center"/>
              </w:tcPr>
              <w:p w14:paraId="0164A276" w14:textId="1BDBE605"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225</w:t>
                </w:r>
              </w:p>
            </w:tc>
            <w:tc>
              <w:tcPr>
                <w:tcW w:w="417" w:type="pct"/>
                <w:shd w:val="clear" w:color="auto" w:fill="FFFFFF" w:themeFill="background2"/>
                <w:vAlign w:val="center"/>
              </w:tcPr>
              <w:p w14:paraId="0CB92B56" w14:textId="5E1416CC"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504</w:t>
                </w:r>
              </w:p>
            </w:tc>
            <w:tc>
              <w:tcPr>
                <w:tcW w:w="417" w:type="pct"/>
                <w:shd w:val="clear" w:color="auto" w:fill="FFFFFF" w:themeFill="background2"/>
                <w:vAlign w:val="center"/>
              </w:tcPr>
              <w:p w14:paraId="36C04B00" w14:textId="43BB66CD"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880</w:t>
                </w:r>
              </w:p>
            </w:tc>
            <w:tc>
              <w:tcPr>
                <w:tcW w:w="417" w:type="pct"/>
                <w:shd w:val="clear" w:color="auto" w:fill="FFFFFF" w:themeFill="background2"/>
                <w:vAlign w:val="center"/>
              </w:tcPr>
              <w:p w14:paraId="0A0A0C4B" w14:textId="0763A662"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1,409</w:t>
                </w:r>
              </w:p>
            </w:tc>
            <w:tc>
              <w:tcPr>
                <w:tcW w:w="417" w:type="pct"/>
                <w:shd w:val="clear" w:color="auto" w:fill="FFFFFF" w:themeFill="background2"/>
                <w:vAlign w:val="center"/>
              </w:tcPr>
              <w:p w14:paraId="3E864767" w14:textId="14F2C443"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1,670</w:t>
                </w:r>
              </w:p>
            </w:tc>
            <w:tc>
              <w:tcPr>
                <w:tcW w:w="417" w:type="pct"/>
                <w:shd w:val="clear" w:color="auto" w:fill="FFFFFF" w:themeFill="background2"/>
                <w:vAlign w:val="center"/>
              </w:tcPr>
              <w:p w14:paraId="406E1010" w14:textId="405FFCD5"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1.53%</w:t>
                </w:r>
              </w:p>
            </w:tc>
            <w:tc>
              <w:tcPr>
                <w:tcW w:w="417" w:type="pct"/>
                <w:shd w:val="clear" w:color="auto" w:fill="FFFFFF" w:themeFill="background2"/>
                <w:vAlign w:val="center"/>
              </w:tcPr>
              <w:p w14:paraId="1B4E3D15" w14:textId="3D733D96" w:rsidR="007A212D" w:rsidRPr="00B57F38" w:rsidRDefault="007A212D" w:rsidP="00B57F38">
                <w:pPr>
                  <w:spacing w:before="0" w:line="240" w:lineRule="auto"/>
                  <w:jc w:val="center"/>
                  <w:rPr>
                    <w:b/>
                    <w:color w:val="33A1AB" w:themeColor="accent2"/>
                    <w:sz w:val="14"/>
                    <w:szCs w:val="14"/>
                  </w:rPr>
                </w:pPr>
                <w:r w:rsidRPr="00B57F38">
                  <w:rPr>
                    <w:rFonts w:eastAsia="Times New Roman" w:cs="Segoe UI"/>
                    <w:sz w:val="14"/>
                    <w:szCs w:val="14"/>
                    <w:lang w:val="en-GB" w:eastAsia="it-IT"/>
                  </w:rPr>
                  <w:t>3.42%</w:t>
                </w:r>
              </w:p>
            </w:tc>
            <w:tc>
              <w:tcPr>
                <w:tcW w:w="417" w:type="pct"/>
                <w:shd w:val="clear" w:color="auto" w:fill="FFFFFF" w:themeFill="background2"/>
                <w:vAlign w:val="center"/>
              </w:tcPr>
              <w:p w14:paraId="238A11FE" w14:textId="090E84E7" w:rsidR="007A212D" w:rsidRPr="00B57F38" w:rsidRDefault="007A212D" w:rsidP="00B57F38">
                <w:pPr>
                  <w:spacing w:before="0" w:line="240" w:lineRule="auto"/>
                  <w:jc w:val="center"/>
                  <w:rPr>
                    <w:b/>
                    <w:color w:val="33A1AB" w:themeColor="accent2"/>
                    <w:sz w:val="14"/>
                    <w:szCs w:val="14"/>
                  </w:rPr>
                </w:pPr>
                <w:r w:rsidRPr="00B57F38">
                  <w:rPr>
                    <w:rFonts w:eastAsia="Times New Roman" w:cs="Segoe UI"/>
                    <w:sz w:val="14"/>
                    <w:szCs w:val="14"/>
                    <w:lang w:val="en-GB" w:eastAsia="it-IT"/>
                  </w:rPr>
                  <w:t>5.98%</w:t>
                </w:r>
              </w:p>
            </w:tc>
            <w:tc>
              <w:tcPr>
                <w:tcW w:w="417" w:type="pct"/>
                <w:shd w:val="clear" w:color="auto" w:fill="FFFFFF" w:themeFill="background2"/>
                <w:vAlign w:val="center"/>
              </w:tcPr>
              <w:p w14:paraId="02E0FC11" w14:textId="0D0D4A7E" w:rsidR="007A212D" w:rsidRPr="00B57F38" w:rsidRDefault="007A212D" w:rsidP="00B57F38">
                <w:pPr>
                  <w:spacing w:before="0" w:line="240" w:lineRule="auto"/>
                  <w:jc w:val="center"/>
                  <w:rPr>
                    <w:b/>
                    <w:color w:val="33A1AB" w:themeColor="accent2"/>
                    <w:sz w:val="14"/>
                    <w:szCs w:val="14"/>
                  </w:rPr>
                </w:pPr>
                <w:r w:rsidRPr="00B57F38">
                  <w:rPr>
                    <w:rFonts w:eastAsia="Times New Roman" w:cs="Segoe UI"/>
                    <w:sz w:val="14"/>
                    <w:szCs w:val="14"/>
                    <w:lang w:val="en-GB" w:eastAsia="it-IT"/>
                  </w:rPr>
                  <w:t>9.57%</w:t>
                </w:r>
              </w:p>
            </w:tc>
            <w:tc>
              <w:tcPr>
                <w:tcW w:w="413" w:type="pct"/>
                <w:shd w:val="clear" w:color="auto" w:fill="FFFFFF" w:themeFill="background2"/>
                <w:vAlign w:val="center"/>
              </w:tcPr>
              <w:p w14:paraId="0C32D3E6" w14:textId="51EF7C91" w:rsidR="007A212D" w:rsidRPr="00B57F38" w:rsidRDefault="007A212D" w:rsidP="00B57F38">
                <w:pPr>
                  <w:spacing w:before="0" w:line="240" w:lineRule="auto"/>
                  <w:jc w:val="center"/>
                  <w:rPr>
                    <w:b/>
                    <w:color w:val="33A1AB" w:themeColor="accent2"/>
                    <w:sz w:val="14"/>
                    <w:szCs w:val="14"/>
                  </w:rPr>
                </w:pPr>
                <w:r w:rsidRPr="00B57F38">
                  <w:rPr>
                    <w:rFonts w:eastAsia="Times New Roman" w:cs="Segoe UI"/>
                    <w:sz w:val="14"/>
                    <w:szCs w:val="14"/>
                    <w:lang w:val="en-GB" w:eastAsia="it-IT"/>
                  </w:rPr>
                  <w:t>11.35%</w:t>
                </w:r>
              </w:p>
            </w:tc>
          </w:tr>
          <w:tr w:rsidR="007A212D" w:rsidRPr="00B57F38" w14:paraId="68F8C790" w14:textId="5F27407D" w:rsidTr="00AC7D4E">
            <w:trPr>
              <w:trHeight w:val="227"/>
            </w:trPr>
            <w:tc>
              <w:tcPr>
                <w:tcW w:w="343" w:type="pct"/>
                <w:shd w:val="clear" w:color="auto" w:fill="FFFFFF" w:themeFill="background2"/>
                <w:tcMar>
                  <w:top w:w="60" w:type="dxa"/>
                  <w:left w:w="114" w:type="dxa"/>
                  <w:bottom w:w="60" w:type="dxa"/>
                  <w:right w:w="114" w:type="dxa"/>
                </w:tcMar>
                <w:vAlign w:val="center"/>
              </w:tcPr>
              <w:p w14:paraId="790E04D0" w14:textId="443AA8D1" w:rsidR="007A212D" w:rsidRPr="00B57F38" w:rsidRDefault="007A212D" w:rsidP="00B57F38">
                <w:pPr>
                  <w:spacing w:before="0" w:line="240" w:lineRule="auto"/>
                  <w:jc w:val="left"/>
                  <w:rPr>
                    <w:rFonts w:eastAsia="Times New Roman" w:cs="Segoe UI"/>
                    <w:b/>
                    <w:bCs/>
                    <w:sz w:val="14"/>
                    <w:szCs w:val="14"/>
                    <w:lang w:val="en-GB" w:eastAsia="it-IT"/>
                  </w:rPr>
                </w:pPr>
                <w:r w:rsidRPr="00B57F38">
                  <w:rPr>
                    <w:rFonts w:cs="Segoe UI"/>
                    <w:b/>
                    <w:bCs/>
                    <w:sz w:val="14"/>
                    <w:szCs w:val="14"/>
                    <w:lang w:eastAsia="it-IT"/>
                  </w:rPr>
                  <w:t>B2.2</w:t>
                </w:r>
              </w:p>
            </w:tc>
            <w:tc>
              <w:tcPr>
                <w:tcW w:w="491" w:type="pct"/>
                <w:shd w:val="clear" w:color="auto" w:fill="FFFFFF" w:themeFill="background2"/>
                <w:tcMar>
                  <w:top w:w="60" w:type="dxa"/>
                  <w:left w:w="114" w:type="dxa"/>
                  <w:bottom w:w="60" w:type="dxa"/>
                  <w:right w:w="114" w:type="dxa"/>
                </w:tcMar>
                <w:vAlign w:val="center"/>
              </w:tcPr>
              <w:p w14:paraId="29DBA589" w14:textId="6B8ABABD"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7,512</w:t>
                </w:r>
              </w:p>
            </w:tc>
            <w:tc>
              <w:tcPr>
                <w:tcW w:w="417" w:type="pct"/>
                <w:shd w:val="clear" w:color="auto" w:fill="FFFFFF" w:themeFill="background2"/>
                <w:tcMar>
                  <w:top w:w="60" w:type="dxa"/>
                  <w:left w:w="114" w:type="dxa"/>
                  <w:bottom w:w="60" w:type="dxa"/>
                  <w:right w:w="114" w:type="dxa"/>
                </w:tcMar>
                <w:vAlign w:val="center"/>
              </w:tcPr>
              <w:p w14:paraId="6A6A49EA" w14:textId="442ACC5C"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296</w:t>
                </w:r>
              </w:p>
            </w:tc>
            <w:tc>
              <w:tcPr>
                <w:tcW w:w="417" w:type="pct"/>
                <w:shd w:val="clear" w:color="auto" w:fill="FFFFFF" w:themeFill="background2"/>
                <w:vAlign w:val="center"/>
              </w:tcPr>
              <w:p w14:paraId="0AA28B59" w14:textId="38EECE3F"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551</w:t>
                </w:r>
              </w:p>
            </w:tc>
            <w:tc>
              <w:tcPr>
                <w:tcW w:w="417" w:type="pct"/>
                <w:shd w:val="clear" w:color="auto" w:fill="FFFFFF" w:themeFill="background2"/>
                <w:vAlign w:val="center"/>
              </w:tcPr>
              <w:p w14:paraId="18C89A0B" w14:textId="3C6B2526"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836</w:t>
                </w:r>
              </w:p>
            </w:tc>
            <w:tc>
              <w:tcPr>
                <w:tcW w:w="417" w:type="pct"/>
                <w:shd w:val="clear" w:color="auto" w:fill="FFFFFF" w:themeFill="background2"/>
                <w:vAlign w:val="center"/>
              </w:tcPr>
              <w:p w14:paraId="62CA6120" w14:textId="757CE99C"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1,196</w:t>
                </w:r>
              </w:p>
            </w:tc>
            <w:tc>
              <w:tcPr>
                <w:tcW w:w="417" w:type="pct"/>
                <w:shd w:val="clear" w:color="auto" w:fill="FFFFFF" w:themeFill="background2"/>
                <w:vAlign w:val="center"/>
              </w:tcPr>
              <w:p w14:paraId="08FCED42" w14:textId="541AF876"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1,359</w:t>
                </w:r>
              </w:p>
            </w:tc>
            <w:tc>
              <w:tcPr>
                <w:tcW w:w="417" w:type="pct"/>
                <w:shd w:val="clear" w:color="auto" w:fill="FFFFFF" w:themeFill="background2"/>
                <w:vAlign w:val="center"/>
              </w:tcPr>
              <w:p w14:paraId="6A26AE47" w14:textId="29BAAB33"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3.94%</w:t>
                </w:r>
              </w:p>
            </w:tc>
            <w:tc>
              <w:tcPr>
                <w:tcW w:w="417" w:type="pct"/>
                <w:shd w:val="clear" w:color="auto" w:fill="FFFFFF" w:themeFill="background2"/>
                <w:vAlign w:val="center"/>
              </w:tcPr>
              <w:p w14:paraId="7FE1D8CE" w14:textId="79467F51"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7.33%</w:t>
                </w:r>
              </w:p>
            </w:tc>
            <w:tc>
              <w:tcPr>
                <w:tcW w:w="417" w:type="pct"/>
                <w:shd w:val="clear" w:color="auto" w:fill="FFFFFF" w:themeFill="background2"/>
                <w:vAlign w:val="center"/>
              </w:tcPr>
              <w:p w14:paraId="16475F49" w14:textId="208F44AF"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11.13%</w:t>
                </w:r>
              </w:p>
            </w:tc>
            <w:tc>
              <w:tcPr>
                <w:tcW w:w="417" w:type="pct"/>
                <w:shd w:val="clear" w:color="auto" w:fill="FFFFFF" w:themeFill="background2"/>
                <w:vAlign w:val="center"/>
              </w:tcPr>
              <w:p w14:paraId="4B1F1E27" w14:textId="334AA399"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15.92%</w:t>
                </w:r>
              </w:p>
            </w:tc>
            <w:tc>
              <w:tcPr>
                <w:tcW w:w="413" w:type="pct"/>
                <w:shd w:val="clear" w:color="auto" w:fill="FFFFFF" w:themeFill="background2"/>
                <w:vAlign w:val="center"/>
              </w:tcPr>
              <w:p w14:paraId="03D4A593" w14:textId="5172FCFF"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18.09%</w:t>
                </w:r>
              </w:p>
            </w:tc>
          </w:tr>
          <w:tr w:rsidR="007A212D" w:rsidRPr="00B57F38" w14:paraId="600EB14F" w14:textId="36B07857" w:rsidTr="00AC7D4E">
            <w:trPr>
              <w:trHeight w:val="227"/>
            </w:trPr>
            <w:tc>
              <w:tcPr>
                <w:tcW w:w="343" w:type="pct"/>
                <w:shd w:val="clear" w:color="auto" w:fill="FFFFFF" w:themeFill="background2"/>
                <w:tcMar>
                  <w:top w:w="60" w:type="dxa"/>
                  <w:left w:w="114" w:type="dxa"/>
                  <w:bottom w:w="60" w:type="dxa"/>
                  <w:right w:w="114" w:type="dxa"/>
                </w:tcMar>
                <w:vAlign w:val="center"/>
              </w:tcPr>
              <w:p w14:paraId="2B0CBD20" w14:textId="196B33D8" w:rsidR="007A212D" w:rsidRPr="00B57F38" w:rsidRDefault="007A212D" w:rsidP="00B57F38">
                <w:pPr>
                  <w:spacing w:before="0" w:line="240" w:lineRule="auto"/>
                  <w:jc w:val="left"/>
                  <w:rPr>
                    <w:rFonts w:eastAsia="Times New Roman" w:cs="Segoe UI"/>
                    <w:b/>
                    <w:bCs/>
                    <w:sz w:val="14"/>
                    <w:szCs w:val="14"/>
                    <w:lang w:val="en-GB" w:eastAsia="it-IT"/>
                  </w:rPr>
                </w:pPr>
                <w:r w:rsidRPr="00B57F38">
                  <w:rPr>
                    <w:rFonts w:cs="Segoe UI"/>
                    <w:b/>
                    <w:bCs/>
                    <w:sz w:val="14"/>
                    <w:szCs w:val="14"/>
                    <w:lang w:eastAsia="it-IT"/>
                  </w:rPr>
                  <w:t>C1.1</w:t>
                </w:r>
              </w:p>
            </w:tc>
            <w:tc>
              <w:tcPr>
                <w:tcW w:w="491" w:type="pct"/>
                <w:shd w:val="clear" w:color="auto" w:fill="FFFFFF" w:themeFill="background2"/>
                <w:tcMar>
                  <w:top w:w="60" w:type="dxa"/>
                  <w:left w:w="114" w:type="dxa"/>
                  <w:bottom w:w="60" w:type="dxa"/>
                  <w:right w:w="114" w:type="dxa"/>
                </w:tcMar>
                <w:vAlign w:val="center"/>
              </w:tcPr>
              <w:p w14:paraId="22C037FD" w14:textId="706CD66F"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9,259</w:t>
                </w:r>
              </w:p>
            </w:tc>
            <w:tc>
              <w:tcPr>
                <w:tcW w:w="417" w:type="pct"/>
                <w:shd w:val="clear" w:color="auto" w:fill="FFFFFF" w:themeFill="background2"/>
                <w:tcMar>
                  <w:top w:w="60" w:type="dxa"/>
                  <w:left w:w="114" w:type="dxa"/>
                  <w:bottom w:w="60" w:type="dxa"/>
                  <w:right w:w="114" w:type="dxa"/>
                </w:tcMar>
                <w:vAlign w:val="center"/>
              </w:tcPr>
              <w:p w14:paraId="4330A3B3" w14:textId="1A6B5870"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690</w:t>
                </w:r>
              </w:p>
            </w:tc>
            <w:tc>
              <w:tcPr>
                <w:tcW w:w="417" w:type="pct"/>
                <w:shd w:val="clear" w:color="auto" w:fill="FFFFFF" w:themeFill="background2"/>
                <w:vAlign w:val="center"/>
              </w:tcPr>
              <w:p w14:paraId="3C04EC1C" w14:textId="232C7AC2"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1,309</w:t>
                </w:r>
              </w:p>
            </w:tc>
            <w:tc>
              <w:tcPr>
                <w:tcW w:w="417" w:type="pct"/>
                <w:shd w:val="clear" w:color="auto" w:fill="FFFFFF" w:themeFill="background2"/>
                <w:vAlign w:val="center"/>
              </w:tcPr>
              <w:p w14:paraId="23E2BF19" w14:textId="7C6E358C"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1,881</w:t>
                </w:r>
              </w:p>
            </w:tc>
            <w:tc>
              <w:tcPr>
                <w:tcW w:w="417" w:type="pct"/>
                <w:shd w:val="clear" w:color="auto" w:fill="FFFFFF" w:themeFill="background2"/>
                <w:vAlign w:val="center"/>
              </w:tcPr>
              <w:p w14:paraId="4CC9DC27" w14:textId="2B092A3B"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2,513</w:t>
                </w:r>
              </w:p>
            </w:tc>
            <w:tc>
              <w:tcPr>
                <w:tcW w:w="417" w:type="pct"/>
                <w:shd w:val="clear" w:color="auto" w:fill="FFFFFF" w:themeFill="background2"/>
                <w:vAlign w:val="center"/>
              </w:tcPr>
              <w:p w14:paraId="770F953D" w14:textId="19A5E257"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2,708</w:t>
                </w:r>
              </w:p>
            </w:tc>
            <w:tc>
              <w:tcPr>
                <w:tcW w:w="417" w:type="pct"/>
                <w:shd w:val="clear" w:color="auto" w:fill="FFFFFF" w:themeFill="background2"/>
                <w:vAlign w:val="center"/>
              </w:tcPr>
              <w:p w14:paraId="2BDD3388" w14:textId="0BE8F355"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7.45%</w:t>
                </w:r>
              </w:p>
            </w:tc>
            <w:tc>
              <w:tcPr>
                <w:tcW w:w="417" w:type="pct"/>
                <w:shd w:val="clear" w:color="auto" w:fill="FFFFFF" w:themeFill="background2"/>
                <w:vAlign w:val="center"/>
              </w:tcPr>
              <w:p w14:paraId="2B057C1F" w14:textId="02CBC18D"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14.14%</w:t>
                </w:r>
              </w:p>
            </w:tc>
            <w:tc>
              <w:tcPr>
                <w:tcW w:w="417" w:type="pct"/>
                <w:shd w:val="clear" w:color="auto" w:fill="FFFFFF" w:themeFill="background2"/>
                <w:vAlign w:val="center"/>
              </w:tcPr>
              <w:p w14:paraId="0C7774ED" w14:textId="5DCCDE24"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20.32%</w:t>
                </w:r>
              </w:p>
            </w:tc>
            <w:tc>
              <w:tcPr>
                <w:tcW w:w="417" w:type="pct"/>
                <w:shd w:val="clear" w:color="auto" w:fill="FFFFFF" w:themeFill="background2"/>
                <w:vAlign w:val="center"/>
              </w:tcPr>
              <w:p w14:paraId="5DCD5C65" w14:textId="1772F375"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27.14%</w:t>
                </w:r>
              </w:p>
            </w:tc>
            <w:tc>
              <w:tcPr>
                <w:tcW w:w="413" w:type="pct"/>
                <w:shd w:val="clear" w:color="auto" w:fill="FFFFFF" w:themeFill="background2"/>
                <w:vAlign w:val="center"/>
              </w:tcPr>
              <w:p w14:paraId="2A5E86A7" w14:textId="2FF29AF5"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29.25%</w:t>
                </w:r>
              </w:p>
            </w:tc>
          </w:tr>
          <w:tr w:rsidR="007A212D" w:rsidRPr="00B57F38" w14:paraId="56F83836" w14:textId="54DC0ADC" w:rsidTr="00AC7D4E">
            <w:trPr>
              <w:trHeight w:val="227"/>
            </w:trPr>
            <w:tc>
              <w:tcPr>
                <w:tcW w:w="343" w:type="pct"/>
                <w:shd w:val="clear" w:color="auto" w:fill="FFFFFF" w:themeFill="background2"/>
                <w:tcMar>
                  <w:top w:w="60" w:type="dxa"/>
                  <w:left w:w="114" w:type="dxa"/>
                  <w:bottom w:w="60" w:type="dxa"/>
                  <w:right w:w="114" w:type="dxa"/>
                </w:tcMar>
                <w:vAlign w:val="center"/>
              </w:tcPr>
              <w:p w14:paraId="2EB519CA" w14:textId="40B097BF" w:rsidR="007A212D" w:rsidRPr="00B57F38" w:rsidRDefault="007A212D" w:rsidP="00B57F38">
                <w:pPr>
                  <w:spacing w:before="0" w:line="240" w:lineRule="auto"/>
                  <w:jc w:val="left"/>
                  <w:rPr>
                    <w:rFonts w:eastAsia="Times New Roman" w:cs="Segoe UI"/>
                    <w:b/>
                    <w:bCs/>
                    <w:sz w:val="14"/>
                    <w:szCs w:val="14"/>
                    <w:lang w:val="en-GB" w:eastAsia="it-IT"/>
                  </w:rPr>
                </w:pPr>
                <w:r w:rsidRPr="00B57F38">
                  <w:rPr>
                    <w:rFonts w:cs="Segoe UI"/>
                    <w:b/>
                    <w:bCs/>
                    <w:sz w:val="14"/>
                    <w:szCs w:val="14"/>
                    <w:lang w:eastAsia="it-IT"/>
                  </w:rPr>
                  <w:t>C1.2</w:t>
                </w:r>
              </w:p>
            </w:tc>
            <w:tc>
              <w:tcPr>
                <w:tcW w:w="491" w:type="pct"/>
                <w:shd w:val="clear" w:color="auto" w:fill="FFFFFF" w:themeFill="background2"/>
                <w:tcMar>
                  <w:top w:w="60" w:type="dxa"/>
                  <w:left w:w="114" w:type="dxa"/>
                  <w:bottom w:w="60" w:type="dxa"/>
                  <w:right w:w="114" w:type="dxa"/>
                </w:tcMar>
                <w:vAlign w:val="center"/>
              </w:tcPr>
              <w:p w14:paraId="74AB180C" w14:textId="092F7F7A"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3,310</w:t>
                </w:r>
              </w:p>
            </w:tc>
            <w:tc>
              <w:tcPr>
                <w:tcW w:w="417" w:type="pct"/>
                <w:shd w:val="clear" w:color="auto" w:fill="FFFFFF" w:themeFill="background2"/>
                <w:tcMar>
                  <w:top w:w="60" w:type="dxa"/>
                  <w:left w:w="114" w:type="dxa"/>
                  <w:bottom w:w="60" w:type="dxa"/>
                  <w:right w:w="114" w:type="dxa"/>
                </w:tcMar>
                <w:vAlign w:val="center"/>
              </w:tcPr>
              <w:p w14:paraId="62C67101" w14:textId="7E3A0FF5"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607</w:t>
                </w:r>
              </w:p>
            </w:tc>
            <w:tc>
              <w:tcPr>
                <w:tcW w:w="417" w:type="pct"/>
                <w:shd w:val="clear" w:color="auto" w:fill="FFFFFF" w:themeFill="background2"/>
                <w:vAlign w:val="center"/>
              </w:tcPr>
              <w:p w14:paraId="71EA1BE3" w14:textId="14832364"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941</w:t>
                </w:r>
              </w:p>
            </w:tc>
            <w:tc>
              <w:tcPr>
                <w:tcW w:w="417" w:type="pct"/>
                <w:shd w:val="clear" w:color="auto" w:fill="FFFFFF" w:themeFill="background2"/>
                <w:vAlign w:val="center"/>
              </w:tcPr>
              <w:p w14:paraId="3D3CBC37" w14:textId="05F170B3"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1,230</w:t>
                </w:r>
              </w:p>
            </w:tc>
            <w:tc>
              <w:tcPr>
                <w:tcW w:w="417" w:type="pct"/>
                <w:shd w:val="clear" w:color="auto" w:fill="FFFFFF" w:themeFill="background2"/>
                <w:vAlign w:val="center"/>
              </w:tcPr>
              <w:p w14:paraId="5E0D616C" w14:textId="1A7D2D70"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1,465</w:t>
                </w:r>
              </w:p>
            </w:tc>
            <w:tc>
              <w:tcPr>
                <w:tcW w:w="417" w:type="pct"/>
                <w:shd w:val="clear" w:color="auto" w:fill="FFFFFF" w:themeFill="background2"/>
                <w:vAlign w:val="center"/>
              </w:tcPr>
              <w:p w14:paraId="425F4519" w14:textId="4F44F42F"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1,531</w:t>
                </w:r>
              </w:p>
            </w:tc>
            <w:tc>
              <w:tcPr>
                <w:tcW w:w="417" w:type="pct"/>
                <w:shd w:val="clear" w:color="auto" w:fill="FFFFFF" w:themeFill="background2"/>
                <w:vAlign w:val="center"/>
              </w:tcPr>
              <w:p w14:paraId="5BEABA41" w14:textId="23588864"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18.34%</w:t>
                </w:r>
              </w:p>
            </w:tc>
            <w:tc>
              <w:tcPr>
                <w:tcW w:w="417" w:type="pct"/>
                <w:shd w:val="clear" w:color="auto" w:fill="FFFFFF" w:themeFill="background2"/>
                <w:vAlign w:val="center"/>
              </w:tcPr>
              <w:p w14:paraId="189980E0" w14:textId="16752B96"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28.43%</w:t>
                </w:r>
              </w:p>
            </w:tc>
            <w:tc>
              <w:tcPr>
                <w:tcW w:w="417" w:type="pct"/>
                <w:shd w:val="clear" w:color="auto" w:fill="FFFFFF" w:themeFill="background2"/>
                <w:vAlign w:val="center"/>
              </w:tcPr>
              <w:p w14:paraId="53F1DAE1" w14:textId="2815E95E"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37.16%</w:t>
                </w:r>
              </w:p>
            </w:tc>
            <w:tc>
              <w:tcPr>
                <w:tcW w:w="417" w:type="pct"/>
                <w:shd w:val="clear" w:color="auto" w:fill="FFFFFF" w:themeFill="background2"/>
                <w:vAlign w:val="center"/>
              </w:tcPr>
              <w:p w14:paraId="0066CAD9" w14:textId="6BA686C0"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44.26%</w:t>
                </w:r>
              </w:p>
            </w:tc>
            <w:tc>
              <w:tcPr>
                <w:tcW w:w="413" w:type="pct"/>
                <w:shd w:val="clear" w:color="auto" w:fill="FFFFFF" w:themeFill="background2"/>
                <w:vAlign w:val="center"/>
              </w:tcPr>
              <w:p w14:paraId="0280A9E6" w14:textId="6E8C5827"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46.25%</w:t>
                </w:r>
              </w:p>
            </w:tc>
          </w:tr>
          <w:tr w:rsidR="007A212D" w:rsidRPr="00B57F38" w14:paraId="25977FA0" w14:textId="6E839582" w:rsidTr="00AC7D4E">
            <w:trPr>
              <w:trHeight w:val="227"/>
            </w:trPr>
            <w:tc>
              <w:tcPr>
                <w:tcW w:w="343" w:type="pct"/>
                <w:shd w:val="clear" w:color="auto" w:fill="FFFFFF" w:themeFill="background2"/>
                <w:tcMar>
                  <w:top w:w="60" w:type="dxa"/>
                  <w:left w:w="114" w:type="dxa"/>
                  <w:bottom w:w="60" w:type="dxa"/>
                  <w:right w:w="114" w:type="dxa"/>
                </w:tcMar>
                <w:vAlign w:val="center"/>
              </w:tcPr>
              <w:p w14:paraId="0B915F57" w14:textId="51BA4FA8" w:rsidR="007A212D" w:rsidRPr="00B57F38" w:rsidRDefault="007A212D" w:rsidP="00B57F38">
                <w:pPr>
                  <w:spacing w:before="0" w:line="240" w:lineRule="auto"/>
                  <w:jc w:val="left"/>
                  <w:rPr>
                    <w:rFonts w:eastAsia="Times New Roman" w:cs="Segoe UI"/>
                    <w:b/>
                    <w:bCs/>
                    <w:sz w:val="14"/>
                    <w:szCs w:val="14"/>
                    <w:lang w:val="en-GB" w:eastAsia="it-IT"/>
                  </w:rPr>
                </w:pPr>
                <w:r w:rsidRPr="00B57F38">
                  <w:rPr>
                    <w:rFonts w:cs="Segoe UI"/>
                    <w:b/>
                    <w:bCs/>
                    <w:sz w:val="14"/>
                    <w:szCs w:val="14"/>
                    <w:lang w:eastAsia="it-IT"/>
                  </w:rPr>
                  <w:t>C2.1</w:t>
                </w:r>
              </w:p>
            </w:tc>
            <w:tc>
              <w:tcPr>
                <w:tcW w:w="491" w:type="pct"/>
                <w:shd w:val="clear" w:color="auto" w:fill="FFFFFF" w:themeFill="background2"/>
                <w:tcMar>
                  <w:top w:w="60" w:type="dxa"/>
                  <w:left w:w="114" w:type="dxa"/>
                  <w:bottom w:w="60" w:type="dxa"/>
                  <w:right w:w="114" w:type="dxa"/>
                </w:tcMar>
                <w:vAlign w:val="center"/>
              </w:tcPr>
              <w:p w14:paraId="63033969" w14:textId="191EB94C"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2,569</w:t>
                </w:r>
              </w:p>
            </w:tc>
            <w:tc>
              <w:tcPr>
                <w:tcW w:w="417" w:type="pct"/>
                <w:shd w:val="clear" w:color="auto" w:fill="FFFFFF" w:themeFill="background2"/>
                <w:tcMar>
                  <w:top w:w="60" w:type="dxa"/>
                  <w:left w:w="114" w:type="dxa"/>
                  <w:bottom w:w="60" w:type="dxa"/>
                  <w:right w:w="114" w:type="dxa"/>
                </w:tcMar>
                <w:vAlign w:val="center"/>
              </w:tcPr>
              <w:p w14:paraId="0DBE62D0" w14:textId="4AB74617"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1,575</w:t>
                </w:r>
              </w:p>
            </w:tc>
            <w:tc>
              <w:tcPr>
                <w:tcW w:w="417" w:type="pct"/>
                <w:shd w:val="clear" w:color="auto" w:fill="FFFFFF" w:themeFill="background2"/>
                <w:vAlign w:val="center"/>
              </w:tcPr>
              <w:p w14:paraId="5BE18E17" w14:textId="7408C402"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1,751</w:t>
                </w:r>
              </w:p>
            </w:tc>
            <w:tc>
              <w:tcPr>
                <w:tcW w:w="417" w:type="pct"/>
                <w:shd w:val="clear" w:color="auto" w:fill="FFFFFF" w:themeFill="background2"/>
                <w:vAlign w:val="center"/>
              </w:tcPr>
              <w:p w14:paraId="771501F6" w14:textId="0F5470E6"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1,858</w:t>
                </w:r>
              </w:p>
            </w:tc>
            <w:tc>
              <w:tcPr>
                <w:tcW w:w="417" w:type="pct"/>
                <w:shd w:val="clear" w:color="auto" w:fill="FFFFFF" w:themeFill="background2"/>
                <w:vAlign w:val="center"/>
              </w:tcPr>
              <w:p w14:paraId="7BF93300" w14:textId="357BD7E2"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1,945</w:t>
                </w:r>
              </w:p>
            </w:tc>
            <w:tc>
              <w:tcPr>
                <w:tcW w:w="417" w:type="pct"/>
                <w:shd w:val="clear" w:color="auto" w:fill="FFFFFF" w:themeFill="background2"/>
                <w:vAlign w:val="center"/>
              </w:tcPr>
              <w:p w14:paraId="222671ED" w14:textId="6B15D902"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1,960</w:t>
                </w:r>
              </w:p>
            </w:tc>
            <w:tc>
              <w:tcPr>
                <w:tcW w:w="417" w:type="pct"/>
                <w:shd w:val="clear" w:color="auto" w:fill="FFFFFF" w:themeFill="background2"/>
                <w:vAlign w:val="center"/>
              </w:tcPr>
              <w:p w14:paraId="37ED4C5E" w14:textId="40330EBF"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61.31%</w:t>
                </w:r>
              </w:p>
            </w:tc>
            <w:tc>
              <w:tcPr>
                <w:tcW w:w="417" w:type="pct"/>
                <w:shd w:val="clear" w:color="auto" w:fill="FFFFFF" w:themeFill="background2"/>
                <w:vAlign w:val="center"/>
              </w:tcPr>
              <w:p w14:paraId="490B9067" w14:textId="01C99A52"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68.16%</w:t>
                </w:r>
              </w:p>
            </w:tc>
            <w:tc>
              <w:tcPr>
                <w:tcW w:w="417" w:type="pct"/>
                <w:shd w:val="clear" w:color="auto" w:fill="FFFFFF" w:themeFill="background2"/>
                <w:vAlign w:val="center"/>
              </w:tcPr>
              <w:p w14:paraId="5BAF9E80" w14:textId="2E31E29A"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72.32%</w:t>
                </w:r>
              </w:p>
            </w:tc>
            <w:tc>
              <w:tcPr>
                <w:tcW w:w="417" w:type="pct"/>
                <w:shd w:val="clear" w:color="auto" w:fill="FFFFFF" w:themeFill="background2"/>
                <w:vAlign w:val="center"/>
              </w:tcPr>
              <w:p w14:paraId="7B608198" w14:textId="4ACF0B3C"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75.71%</w:t>
                </w:r>
              </w:p>
            </w:tc>
            <w:tc>
              <w:tcPr>
                <w:tcW w:w="413" w:type="pct"/>
                <w:shd w:val="clear" w:color="auto" w:fill="FFFFFF" w:themeFill="background2"/>
                <w:vAlign w:val="center"/>
              </w:tcPr>
              <w:p w14:paraId="4058900A" w14:textId="03EECCC0"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76.29%</w:t>
                </w:r>
              </w:p>
            </w:tc>
          </w:tr>
          <w:tr w:rsidR="007A212D" w:rsidRPr="00B57F38" w14:paraId="0D3D242B" w14:textId="77777777" w:rsidTr="00AC7D4E">
            <w:trPr>
              <w:trHeight w:val="227"/>
            </w:trPr>
            <w:tc>
              <w:tcPr>
                <w:tcW w:w="343" w:type="pct"/>
                <w:shd w:val="clear" w:color="auto" w:fill="FFFFFF" w:themeFill="background2"/>
                <w:tcMar>
                  <w:top w:w="60" w:type="dxa"/>
                  <w:left w:w="114" w:type="dxa"/>
                  <w:bottom w:w="60" w:type="dxa"/>
                  <w:right w:w="114" w:type="dxa"/>
                </w:tcMar>
                <w:vAlign w:val="center"/>
              </w:tcPr>
              <w:p w14:paraId="1D211274" w14:textId="3262BACA" w:rsidR="007A212D" w:rsidRPr="00B57F38" w:rsidRDefault="007A212D" w:rsidP="00B57F38">
                <w:pPr>
                  <w:spacing w:before="0" w:line="240" w:lineRule="auto"/>
                  <w:jc w:val="center"/>
                  <w:rPr>
                    <w:rFonts w:cs="Segoe UI"/>
                    <w:b/>
                    <w:bCs/>
                    <w:sz w:val="14"/>
                    <w:szCs w:val="14"/>
                    <w:lang w:eastAsia="it-IT"/>
                  </w:rPr>
                </w:pPr>
                <w:r w:rsidRPr="00B57F38">
                  <w:rPr>
                    <w:rFonts w:cs="Segoe UI"/>
                    <w:b/>
                    <w:bCs/>
                    <w:sz w:val="14"/>
                    <w:szCs w:val="14"/>
                    <w:lang w:eastAsia="it-IT"/>
                  </w:rPr>
                  <w:t>TOTAL</w:t>
                </w:r>
              </w:p>
            </w:tc>
            <w:tc>
              <w:tcPr>
                <w:tcW w:w="491" w:type="pct"/>
                <w:shd w:val="clear" w:color="auto" w:fill="FFFFFF" w:themeFill="background2"/>
                <w:tcMar>
                  <w:top w:w="60" w:type="dxa"/>
                  <w:left w:w="114" w:type="dxa"/>
                  <w:bottom w:w="60" w:type="dxa"/>
                  <w:right w:w="114" w:type="dxa"/>
                </w:tcMar>
                <w:vAlign w:val="center"/>
              </w:tcPr>
              <w:p w14:paraId="18CDBFC3" w14:textId="7B318DF4"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b/>
                    <w:sz w:val="14"/>
                    <w:szCs w:val="14"/>
                    <w:lang w:val="en-GB" w:eastAsia="it-IT"/>
                  </w:rPr>
                  <w:t>64,770</w:t>
                </w:r>
              </w:p>
            </w:tc>
            <w:tc>
              <w:tcPr>
                <w:tcW w:w="417" w:type="pct"/>
                <w:shd w:val="clear" w:color="auto" w:fill="FFFFFF" w:themeFill="background2"/>
                <w:tcMar>
                  <w:top w:w="60" w:type="dxa"/>
                  <w:left w:w="114" w:type="dxa"/>
                  <w:bottom w:w="60" w:type="dxa"/>
                  <w:right w:w="114" w:type="dxa"/>
                </w:tcMar>
                <w:vAlign w:val="center"/>
              </w:tcPr>
              <w:p w14:paraId="28426A97" w14:textId="371FD04A"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b/>
                    <w:sz w:val="14"/>
                    <w:szCs w:val="14"/>
                    <w:lang w:val="en-GB" w:eastAsia="it-IT"/>
                  </w:rPr>
                  <w:t>3,495</w:t>
                </w:r>
              </w:p>
            </w:tc>
            <w:tc>
              <w:tcPr>
                <w:tcW w:w="417" w:type="pct"/>
                <w:shd w:val="clear" w:color="auto" w:fill="FFFFFF" w:themeFill="background2"/>
                <w:vAlign w:val="center"/>
              </w:tcPr>
              <w:p w14:paraId="16FFF907" w14:textId="5A866A18"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b/>
                    <w:sz w:val="14"/>
                    <w:szCs w:val="14"/>
                    <w:lang w:val="en-GB" w:eastAsia="it-IT"/>
                  </w:rPr>
                  <w:t>5,271</w:t>
                </w:r>
              </w:p>
            </w:tc>
            <w:tc>
              <w:tcPr>
                <w:tcW w:w="417" w:type="pct"/>
                <w:shd w:val="clear" w:color="auto" w:fill="FFFFFF" w:themeFill="background2"/>
                <w:vAlign w:val="center"/>
              </w:tcPr>
              <w:p w14:paraId="750130AC" w14:textId="71A0F1EF"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b/>
                    <w:sz w:val="14"/>
                    <w:szCs w:val="14"/>
                    <w:lang w:val="en-GB" w:eastAsia="it-IT"/>
                  </w:rPr>
                  <w:t>7,062</w:t>
                </w:r>
              </w:p>
            </w:tc>
            <w:tc>
              <w:tcPr>
                <w:tcW w:w="417" w:type="pct"/>
                <w:shd w:val="clear" w:color="auto" w:fill="FFFFFF" w:themeFill="background2"/>
                <w:vAlign w:val="center"/>
              </w:tcPr>
              <w:p w14:paraId="49B519FD" w14:textId="466E4826"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b/>
                    <w:sz w:val="14"/>
                    <w:szCs w:val="14"/>
                    <w:lang w:val="en-GB" w:eastAsia="it-IT"/>
                  </w:rPr>
                  <w:t>9,185</w:t>
                </w:r>
              </w:p>
            </w:tc>
            <w:tc>
              <w:tcPr>
                <w:tcW w:w="417" w:type="pct"/>
                <w:shd w:val="clear" w:color="auto" w:fill="FFFFFF" w:themeFill="background2"/>
                <w:vAlign w:val="center"/>
              </w:tcPr>
              <w:p w14:paraId="43B2E124" w14:textId="0FD2AA0E" w:rsidR="007A212D" w:rsidRPr="00B57F38" w:rsidRDefault="007A212D" w:rsidP="00B57F38">
                <w:pPr>
                  <w:spacing w:before="0" w:line="240" w:lineRule="auto"/>
                  <w:jc w:val="center"/>
                  <w:rPr>
                    <w:rFonts w:eastAsia="Times New Roman" w:cs="Segoe UI"/>
                    <w:sz w:val="14"/>
                    <w:szCs w:val="14"/>
                    <w:lang w:val="en-GB" w:eastAsia="it-IT"/>
                  </w:rPr>
                </w:pPr>
                <w:r w:rsidRPr="00B57F38">
                  <w:rPr>
                    <w:rFonts w:eastAsia="Times New Roman" w:cs="Segoe UI"/>
                    <w:b/>
                    <w:sz w:val="14"/>
                    <w:szCs w:val="14"/>
                    <w:lang w:val="en-GB" w:eastAsia="it-IT"/>
                  </w:rPr>
                  <w:t>10,055</w:t>
                </w:r>
              </w:p>
            </w:tc>
            <w:tc>
              <w:tcPr>
                <w:tcW w:w="417" w:type="pct"/>
                <w:shd w:val="clear" w:color="auto" w:fill="FFFFFF" w:themeFill="background2"/>
                <w:vAlign w:val="center"/>
              </w:tcPr>
              <w:p w14:paraId="407400F0" w14:textId="1FD2A32B"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b/>
                    <w:sz w:val="14"/>
                    <w:szCs w:val="14"/>
                    <w:lang w:val="en-GB" w:eastAsia="it-IT"/>
                  </w:rPr>
                  <w:t>5.40%</w:t>
                </w:r>
              </w:p>
            </w:tc>
            <w:tc>
              <w:tcPr>
                <w:tcW w:w="417" w:type="pct"/>
                <w:shd w:val="clear" w:color="auto" w:fill="FFFFFF" w:themeFill="background2"/>
                <w:vAlign w:val="center"/>
              </w:tcPr>
              <w:p w14:paraId="3D54CF61" w14:textId="6ECA786B"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b/>
                    <w:sz w:val="14"/>
                    <w:szCs w:val="14"/>
                    <w:lang w:val="en-GB" w:eastAsia="it-IT"/>
                  </w:rPr>
                  <w:t>8.14%</w:t>
                </w:r>
              </w:p>
            </w:tc>
            <w:tc>
              <w:tcPr>
                <w:tcW w:w="417" w:type="pct"/>
                <w:shd w:val="clear" w:color="auto" w:fill="FFFFFF" w:themeFill="background2"/>
                <w:vAlign w:val="center"/>
              </w:tcPr>
              <w:p w14:paraId="79A48E0F" w14:textId="687A8BDE"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b/>
                    <w:sz w:val="14"/>
                    <w:szCs w:val="14"/>
                    <w:lang w:val="en-GB" w:eastAsia="it-IT"/>
                  </w:rPr>
                  <w:t>10.90%</w:t>
                </w:r>
              </w:p>
            </w:tc>
            <w:tc>
              <w:tcPr>
                <w:tcW w:w="417" w:type="pct"/>
                <w:shd w:val="clear" w:color="auto" w:fill="FFFFFF" w:themeFill="background2"/>
                <w:vAlign w:val="center"/>
              </w:tcPr>
              <w:p w14:paraId="38EABCC7" w14:textId="4054AC2C"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b/>
                    <w:sz w:val="14"/>
                    <w:szCs w:val="14"/>
                    <w:lang w:val="en-GB" w:eastAsia="it-IT"/>
                  </w:rPr>
                  <w:t>14.18%</w:t>
                </w:r>
              </w:p>
            </w:tc>
            <w:tc>
              <w:tcPr>
                <w:tcW w:w="413" w:type="pct"/>
                <w:shd w:val="clear" w:color="auto" w:fill="FFFFFF" w:themeFill="background2"/>
                <w:vAlign w:val="center"/>
              </w:tcPr>
              <w:p w14:paraId="2058E45A" w14:textId="0B5DFCBD" w:rsidR="007A212D" w:rsidRPr="00B57F38" w:rsidRDefault="007A212D" w:rsidP="00B57F38">
                <w:pPr>
                  <w:spacing w:before="0" w:line="240" w:lineRule="auto"/>
                  <w:jc w:val="center"/>
                  <w:rPr>
                    <w:rFonts w:eastAsia="Times New Roman" w:cs="Segoe UI"/>
                    <w:b/>
                    <w:bCs/>
                    <w:sz w:val="14"/>
                    <w:szCs w:val="14"/>
                    <w:lang w:val="en-GB" w:eastAsia="it-IT"/>
                  </w:rPr>
                </w:pPr>
                <w:r w:rsidRPr="00B57F38">
                  <w:rPr>
                    <w:rFonts w:eastAsia="Times New Roman" w:cs="Segoe UI"/>
                    <w:b/>
                    <w:sz w:val="14"/>
                    <w:szCs w:val="14"/>
                    <w:lang w:val="en-GB" w:eastAsia="it-IT"/>
                  </w:rPr>
                  <w:t>15.52%</w:t>
                </w:r>
              </w:p>
            </w:tc>
          </w:tr>
        </w:tbl>
        <w:p w14:paraId="7A20A155" w14:textId="77777777" w:rsidR="004101BF" w:rsidRPr="0032337D" w:rsidRDefault="004101BF" w:rsidP="004101BF">
          <w:pPr>
            <w:spacing w:line="240" w:lineRule="auto"/>
            <w:rPr>
              <w:rFonts w:cs="Segoe UI"/>
              <w:b/>
              <w:bCs/>
              <w:i/>
              <w:color w:val="5080B8" w:themeColor="accent1"/>
              <w:sz w:val="14"/>
              <w:szCs w:val="18"/>
              <w:lang w:val="en-GB"/>
            </w:rPr>
          </w:pPr>
        </w:p>
        <w:p w14:paraId="6EBAD9A3" w14:textId="77777777" w:rsidR="00A875C2" w:rsidRDefault="00A875C2">
          <w:pPr>
            <w:spacing w:before="0" w:after="200" w:line="276" w:lineRule="auto"/>
            <w:jc w:val="left"/>
            <w:rPr>
              <w:rFonts w:ascii="Segoe UI" w:hAnsi="Segoe UI" w:cs="Segoe UI"/>
              <w:b/>
              <w:i/>
              <w:sz w:val="14"/>
              <w:lang w:val="en-GB"/>
            </w:rPr>
          </w:pPr>
          <w:bookmarkStart w:id="114" w:name="_Toc130806332"/>
          <w:r>
            <w:rPr>
              <w:rFonts w:ascii="Segoe UI" w:hAnsi="Segoe UI" w:cs="Segoe UI"/>
              <w:i/>
              <w:sz w:val="14"/>
              <w:lang w:val="en-GB"/>
            </w:rPr>
            <w:br w:type="page"/>
          </w:r>
        </w:p>
        <w:p w14:paraId="50DA2B9F" w14:textId="2E8034A8" w:rsidR="004101BF" w:rsidRDefault="004101BF" w:rsidP="004101BF">
          <w:pPr>
            <w:pStyle w:val="Didascalia"/>
            <w:rPr>
              <w:rFonts w:ascii="Segoe UI" w:hAnsi="Segoe UI" w:cs="Segoe UI"/>
              <w:i/>
              <w:sz w:val="14"/>
              <w:lang w:val="en-GB"/>
            </w:rPr>
          </w:pPr>
          <w:bookmarkStart w:id="115" w:name="_Toc166675672"/>
          <w:bookmarkStart w:id="116" w:name="_Toc167131799"/>
          <w:r w:rsidRPr="0032337D">
            <w:rPr>
              <w:rFonts w:ascii="Segoe UI" w:hAnsi="Segoe UI" w:cs="Segoe UI"/>
              <w:i/>
              <w:sz w:val="14"/>
              <w:lang w:val="en-GB"/>
            </w:rPr>
            <w:lastRenderedPageBreak/>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31</w:t>
          </w:r>
          <w:r>
            <w:rPr>
              <w:rFonts w:ascii="Segoe UI" w:hAnsi="Segoe UI" w:cs="Segoe UI"/>
              <w:i/>
              <w:sz w:val="14"/>
              <w:lang w:val="en-GB"/>
            </w:rPr>
            <w:fldChar w:fldCharType="end"/>
          </w:r>
          <w:r w:rsidRPr="0032337D">
            <w:rPr>
              <w:rFonts w:ascii="Segoe UI" w:hAnsi="Segoe UI" w:cs="Segoe UI"/>
              <w:i/>
              <w:sz w:val="14"/>
              <w:lang w:val="en-GB"/>
            </w:rPr>
            <w:t>: Static pool as of 31</w:t>
          </w:r>
          <w:r w:rsidRPr="0032337D">
            <w:rPr>
              <w:rFonts w:ascii="Segoe UI" w:hAnsi="Segoe UI" w:cs="Segoe UI"/>
              <w:i/>
              <w:sz w:val="14"/>
              <w:vertAlign w:val="superscript"/>
              <w:lang w:val="en-GB"/>
            </w:rPr>
            <w:t>st</w:t>
          </w:r>
          <w:r w:rsidRPr="0032337D">
            <w:rPr>
              <w:rFonts w:ascii="Segoe UI" w:hAnsi="Segoe UI" w:cs="Segoe UI"/>
              <w:i/>
              <w:sz w:val="14"/>
              <w:lang w:val="en-GB"/>
            </w:rPr>
            <w:t xml:space="preserve"> December 2009</w:t>
          </w:r>
          <w:bookmarkEnd w:id="114"/>
          <w:bookmarkEnd w:id="115"/>
          <w:bookmarkEnd w:id="116"/>
        </w:p>
        <w:tbl>
          <w:tblPr>
            <w:tblW w:w="5000" w:type="pct"/>
            <w:tblBorders>
              <w:top w:val="single" w:sz="4" w:space="0" w:color="AFAFB4" w:themeColor="accent4"/>
              <w:bottom w:val="single" w:sz="4" w:space="0" w:color="AFAFB4" w:themeColor="accent4"/>
              <w:insideH w:val="single" w:sz="4" w:space="0" w:color="AFAFB4" w:themeColor="accent4"/>
            </w:tblBorders>
            <w:shd w:val="clear" w:color="auto" w:fill="FFFFFF" w:themeFill="background2"/>
            <w:tblCellMar>
              <w:left w:w="0" w:type="dxa"/>
              <w:right w:w="0" w:type="dxa"/>
            </w:tblCellMar>
            <w:tblLook w:val="0620" w:firstRow="1" w:lastRow="0" w:firstColumn="0" w:lastColumn="0" w:noHBand="1" w:noVBand="1"/>
            <w:tblDescription w:val="{&quot;Ott&quot;:{&quot;FirstRow&quot;:{&quot;BackgroundColor&quot;:{&quot;Key&quot;:&quot;Light2&quot;},&quot;Font&quot;:{&quot;Name&quot;:&quot;Source Sans Pro&quot;,&quot;Size&quot;:14.0,&quot;Bold&quot;:false,&quot;Italic&quot;:false,&quot;Color&quot;:{&quot;Key&quot;:&quot;Dark2&quot;}},&quot;ExcelCellFormatting&quot;:&quot;General&quot;,&quot;Alignment&quot;:{&quot;Horizontal&quot;:&quot;Left&quot;,&quot;Vertical&quot;:&quot;Bottom&quot;},&quot;Borders&quot;:{&quot;Vertical&quot;:{&quot;Visible&quot;:false},&quot;Left&quot;:{&quot;Visible&quot;:false},&quot;Top&quot;:{&quot;Visible&quot;:false},&quot;Right&quot;:{&quot;Visible&quot;:false},&quot;Bottom&quot;:{&quot;Color&quot;:{&quot;Key&quot;:&quot;Accent4&quot;},&quot;BorderWeight&quot;:&quot;Pt1_5&quot;,&quot;Type&quot;:&quot;Solid&quot;,&quot;Visible&quot;:true}}},&quot;FitRowHeightPp&quot;:true,&quot;ZeroMarginsWord&quot;:true,&quot;BackgroundColor&quot;:{&quot;Key&quot;:&quot;Light2&quot;},&quot;Font&quot;:{&quot;Name&quot;:&quot;Source Sans Pro&quot;,&quot;Size&quot;:11.0,&quot;Bold&quot;:false,&quot;Italic&quot;:false,&quot;Color&quot;:{&quot;Key&quot;:&quot;Dark2&quot;}},&quot;LineSpacing&quot;:{&quot;Rule&quot;:&quot;Single&quot;},&quot;Alignment&quot;:{&quot;Horizontal&quot;:&quot;Left&quot;,&quot;Vertical&quot;:&quot;Top&quot;},&quot;Margin&quot;:{&quot;Left&quot;:5.7,&quot;Top&quot;:3.0,&quot;Right&quot;:5.7,&quot;Bottom&quot;:3.0},&quot;Borders&quot;:{&quot;Vertical&quot;:{&quot;Visible&quot;:false},&quot;Horizontal&quot;:{&quot;Color&quot;:{&quot;Key&quot;:&quot;Accent4&quot;},&quot;BorderWeight&quot;:&quot;Pt0_5&quot;,&quot;Type&quot;:&quot;Solid&quot;,&quot;Visible&quot;:true}},&quot;ParagraphSpacing&quot;:{&quot;SpaceBefore&quot;:2.0,&quot;SpaceAfter&quot;:2.0},&quot;ExcelWrapText&quot;:true},&quot;Ccs&quot;:{&quot;DarkBlue&quot;:&quot;0, 20, 55&quot;,&quot;Turquoise&quot;:&quot;0, 164, 230&quot;,&quot;Red&quot;:&quot;214, 70, 65&quot;,&quot;LightGrey&quot;:&quot;174, 174, 180&quot;,&quot;BlueGrey&quot;:&quot;77, 91, 115&quot;,&quot;IceBlue&quot;:&quot;178, 184, 195&quot;,&quot;Grey&quot;:&quot;145, 147, 153&quot;,&quot;Background&quot;:&quot;0, 0, 0, 0&quot;,&quot;White&quot;:&quot;White&quot;,&quot;Accent1&quot;:&quot;1, 1, 1, 1&quot;,&quot;Accent2&quot;:&quot;1, 1, 1, 2&quot;,&quot;Accent3&quot;:&quot;1, 1, 1, 3&quot;,&quot;Accent4&quot;:&quot;1, 1, 1, 4&quot;,&quot;Accent5&quot;:&quot;1, 1, 1, 5&quot;,&quot;Accent6&quot;:&quot;1, 1, 1, 6&quot;,&quot;Dark1&quot;:&quot;1, 1, 1, 7&quot;,&quot;Dark2&quot;:&quot;1, 1, 1, 9&quot;,&quot;Light1&quot;:&quot;1, 1, 1, 8&quot;,&quot;Light2&quot;:&quot;1, 1, 1, 10&quot;},&quot;Cop&quot;:{&quot;FirstRow&quot;:true,&quot;LastRow&quot;:false,&quot;FirstColumn&quot;:false,&quot;LastColumn&quot;:false,&quot;BandedRows&quot;:false,&quot;BandedColumns&quot;:false},&quot;Aaf&quot;:false}"/>
          </w:tblPr>
          <w:tblGrid>
            <w:gridCol w:w="710"/>
            <w:gridCol w:w="1016"/>
            <w:gridCol w:w="863"/>
            <w:gridCol w:w="863"/>
            <w:gridCol w:w="863"/>
            <w:gridCol w:w="863"/>
            <w:gridCol w:w="863"/>
            <w:gridCol w:w="863"/>
            <w:gridCol w:w="863"/>
            <w:gridCol w:w="863"/>
            <w:gridCol w:w="863"/>
            <w:gridCol w:w="855"/>
          </w:tblGrid>
          <w:tr w:rsidR="00707524" w:rsidRPr="00B57F38" w14:paraId="64C9B712" w14:textId="77777777" w:rsidTr="00AC7D4E">
            <w:trPr>
              <w:trHeight w:val="227"/>
              <w:tblHeader/>
            </w:trPr>
            <w:tc>
              <w:tcPr>
                <w:tcW w:w="343" w:type="pct"/>
                <w:vMerge w:val="restar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2C28D645" w14:textId="77777777" w:rsidR="00707524" w:rsidRPr="00B57F38" w:rsidRDefault="00707524" w:rsidP="00B57F38">
                <w:pPr>
                  <w:spacing w:before="0" w:line="240" w:lineRule="auto"/>
                  <w:jc w:val="center"/>
                  <w:rPr>
                    <w:b/>
                    <w:color w:val="33A1AB" w:themeColor="accent2"/>
                    <w:sz w:val="14"/>
                    <w:szCs w:val="14"/>
                  </w:rPr>
                </w:pPr>
                <w:r w:rsidRPr="00B57F38">
                  <w:rPr>
                    <w:b/>
                    <w:color w:val="33A1AB" w:themeColor="accent2"/>
                    <w:sz w:val="14"/>
                    <w:szCs w:val="14"/>
                  </w:rPr>
                  <w:t>Rating</w:t>
                </w:r>
              </w:p>
            </w:tc>
            <w:tc>
              <w:tcPr>
                <w:tcW w:w="491"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35B0D79B" w14:textId="77777777" w:rsidR="00707524" w:rsidRPr="00B57F38" w:rsidRDefault="00707524" w:rsidP="00B57F38">
                <w:pPr>
                  <w:spacing w:before="0" w:line="240" w:lineRule="auto"/>
                  <w:jc w:val="center"/>
                  <w:rPr>
                    <w:b/>
                    <w:color w:val="33A1AB" w:themeColor="accent2"/>
                    <w:sz w:val="14"/>
                    <w:szCs w:val="14"/>
                  </w:rPr>
                </w:pPr>
                <w:r w:rsidRPr="00B57F38">
                  <w:rPr>
                    <w:b/>
                    <w:color w:val="33A1AB" w:themeColor="accent2"/>
                    <w:sz w:val="14"/>
                    <w:szCs w:val="14"/>
                  </w:rPr>
                  <w:t>Static pool</w:t>
                </w:r>
              </w:p>
            </w:tc>
            <w:tc>
              <w:tcPr>
                <w:tcW w:w="2085" w:type="pct"/>
                <w:gridSpan w:val="5"/>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5C4C142C" w14:textId="75A32F4B" w:rsidR="00707524" w:rsidRPr="00B57F38" w:rsidRDefault="00707524" w:rsidP="00B57F38">
                <w:pPr>
                  <w:spacing w:before="0" w:line="240" w:lineRule="auto"/>
                  <w:jc w:val="center"/>
                  <w:rPr>
                    <w:b/>
                    <w:color w:val="33A1AB" w:themeColor="accent2"/>
                    <w:sz w:val="14"/>
                    <w:szCs w:val="14"/>
                  </w:rPr>
                </w:pPr>
                <w:r w:rsidRPr="00B57F38">
                  <w:rPr>
                    <w:b/>
                    <w:color w:val="33A1AB" w:themeColor="accent2"/>
                    <w:sz w:val="14"/>
                    <w:szCs w:val="14"/>
                  </w:rPr>
                  <w:t>Observed defaults by years since rating issuance</w:t>
                </w:r>
              </w:p>
            </w:tc>
            <w:tc>
              <w:tcPr>
                <w:tcW w:w="2081" w:type="pct"/>
                <w:gridSpan w:val="5"/>
                <w:tcBorders>
                  <w:top w:val="single" w:sz="12" w:space="0" w:color="AFAFB4" w:themeColor="accent4"/>
                </w:tcBorders>
                <w:shd w:val="clear" w:color="auto" w:fill="FFFFFF" w:themeFill="background2"/>
                <w:vAlign w:val="center"/>
              </w:tcPr>
              <w:p w14:paraId="6DAEC508" w14:textId="77777777" w:rsidR="00707524" w:rsidRPr="00B57F38" w:rsidRDefault="00707524" w:rsidP="00B57F38">
                <w:pPr>
                  <w:spacing w:before="0" w:line="240" w:lineRule="auto"/>
                  <w:jc w:val="center"/>
                  <w:rPr>
                    <w:b/>
                    <w:color w:val="33A1AB" w:themeColor="accent2"/>
                    <w:sz w:val="14"/>
                    <w:szCs w:val="14"/>
                  </w:rPr>
                </w:pPr>
                <w:r w:rsidRPr="00B57F38">
                  <w:rPr>
                    <w:b/>
                    <w:color w:val="33A1AB" w:themeColor="accent2"/>
                    <w:sz w:val="14"/>
                    <w:szCs w:val="14"/>
                  </w:rPr>
                  <w:t>Percentage of cumulative default rates</w:t>
                </w:r>
              </w:p>
            </w:tc>
          </w:tr>
          <w:tr w:rsidR="00EE3059" w:rsidRPr="00B57F38" w14:paraId="3A5E3CB9" w14:textId="77777777" w:rsidTr="00AC7D4E">
            <w:trPr>
              <w:trHeight w:val="227"/>
              <w:tblHeader/>
            </w:trPr>
            <w:tc>
              <w:tcPr>
                <w:tcW w:w="343" w:type="pct"/>
                <w:vMerge/>
                <w:shd w:val="clear" w:color="auto" w:fill="FFFFFF" w:themeFill="background2"/>
                <w:tcMar>
                  <w:top w:w="60" w:type="dxa"/>
                  <w:left w:w="114" w:type="dxa"/>
                  <w:bottom w:w="60" w:type="dxa"/>
                  <w:right w:w="114" w:type="dxa"/>
                </w:tcMar>
                <w:vAlign w:val="center"/>
              </w:tcPr>
              <w:p w14:paraId="29810E6C" w14:textId="77777777" w:rsidR="00EE3059" w:rsidRPr="00B57F38" w:rsidRDefault="00EE3059" w:rsidP="00B57F38">
                <w:pPr>
                  <w:spacing w:before="0" w:line="240" w:lineRule="auto"/>
                  <w:jc w:val="center"/>
                  <w:rPr>
                    <w:b/>
                    <w:color w:val="33A1AB" w:themeColor="accent2"/>
                    <w:sz w:val="14"/>
                    <w:szCs w:val="14"/>
                  </w:rPr>
                </w:pPr>
              </w:p>
            </w:tc>
            <w:tc>
              <w:tcPr>
                <w:tcW w:w="491"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571319C1" w14:textId="5E1C818C" w:rsidR="00EE3059" w:rsidRPr="00B57F38" w:rsidRDefault="00EE3059" w:rsidP="00B57F38">
                <w:pPr>
                  <w:spacing w:before="0" w:line="240" w:lineRule="auto"/>
                  <w:jc w:val="center"/>
                  <w:rPr>
                    <w:b/>
                    <w:color w:val="33A1AB" w:themeColor="accent2"/>
                    <w:sz w:val="14"/>
                    <w:szCs w:val="14"/>
                  </w:rPr>
                </w:pPr>
                <w:r w:rsidRPr="00B57F38">
                  <w:rPr>
                    <w:b/>
                    <w:color w:val="33A1AB" w:themeColor="accent2"/>
                    <w:sz w:val="14"/>
                    <w:szCs w:val="14"/>
                  </w:rPr>
                  <w:t>31 Dec 200</w:t>
                </w:r>
                <w:r w:rsidR="00CE6998" w:rsidRPr="00B57F38">
                  <w:rPr>
                    <w:b/>
                    <w:color w:val="33A1AB" w:themeColor="accent2"/>
                    <w:sz w:val="14"/>
                    <w:szCs w:val="14"/>
                  </w:rPr>
                  <w:t>9</w:t>
                </w:r>
              </w:p>
            </w:tc>
            <w:tc>
              <w:tcPr>
                <w:tcW w:w="417"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12CFD6C2" w14:textId="77777777" w:rsidR="00EE3059" w:rsidRPr="00B57F38" w:rsidRDefault="00EE3059" w:rsidP="00B57F38">
                <w:pPr>
                  <w:spacing w:before="0" w:line="240" w:lineRule="auto"/>
                  <w:jc w:val="center"/>
                  <w:rPr>
                    <w:b/>
                    <w:color w:val="33A1AB" w:themeColor="accent2"/>
                    <w:sz w:val="14"/>
                    <w:szCs w:val="14"/>
                  </w:rPr>
                </w:pPr>
                <w:r w:rsidRPr="00B57F38">
                  <w:rPr>
                    <w:b/>
                    <w:color w:val="33A1AB" w:themeColor="accent2"/>
                    <w:sz w:val="14"/>
                    <w:szCs w:val="14"/>
                  </w:rPr>
                  <w:t>1-Y DR</w:t>
                </w:r>
              </w:p>
            </w:tc>
            <w:tc>
              <w:tcPr>
                <w:tcW w:w="417" w:type="pct"/>
                <w:tcBorders>
                  <w:top w:val="single" w:sz="12" w:space="0" w:color="AFAFB4" w:themeColor="accent4"/>
                </w:tcBorders>
                <w:shd w:val="clear" w:color="auto" w:fill="FFFFFF" w:themeFill="background2"/>
                <w:vAlign w:val="center"/>
              </w:tcPr>
              <w:p w14:paraId="4A6E9B8E" w14:textId="77777777" w:rsidR="00EE3059" w:rsidRPr="00B57F38" w:rsidRDefault="00EE3059" w:rsidP="00B57F38">
                <w:pPr>
                  <w:spacing w:before="0" w:line="240" w:lineRule="auto"/>
                  <w:jc w:val="center"/>
                  <w:rPr>
                    <w:b/>
                    <w:color w:val="33A1AB" w:themeColor="accent2"/>
                    <w:sz w:val="14"/>
                    <w:szCs w:val="14"/>
                  </w:rPr>
                </w:pPr>
                <w:r w:rsidRPr="00B57F38">
                  <w:rPr>
                    <w:b/>
                    <w:color w:val="33A1AB" w:themeColor="accent2"/>
                    <w:sz w:val="14"/>
                    <w:szCs w:val="14"/>
                  </w:rPr>
                  <w:t>2-Y DR</w:t>
                </w:r>
              </w:p>
            </w:tc>
            <w:tc>
              <w:tcPr>
                <w:tcW w:w="417" w:type="pct"/>
                <w:tcBorders>
                  <w:top w:val="single" w:sz="12" w:space="0" w:color="AFAFB4" w:themeColor="accent4"/>
                </w:tcBorders>
                <w:shd w:val="clear" w:color="auto" w:fill="FFFFFF" w:themeFill="background2"/>
                <w:vAlign w:val="center"/>
              </w:tcPr>
              <w:p w14:paraId="10527094" w14:textId="77777777" w:rsidR="00EE3059" w:rsidRPr="00B57F38" w:rsidRDefault="00EE3059" w:rsidP="00B57F38">
                <w:pPr>
                  <w:spacing w:before="0" w:line="240" w:lineRule="auto"/>
                  <w:jc w:val="center"/>
                  <w:rPr>
                    <w:b/>
                    <w:color w:val="33A1AB" w:themeColor="accent2"/>
                    <w:sz w:val="14"/>
                    <w:szCs w:val="14"/>
                  </w:rPr>
                </w:pPr>
                <w:r w:rsidRPr="00B57F38">
                  <w:rPr>
                    <w:b/>
                    <w:color w:val="33A1AB" w:themeColor="accent2"/>
                    <w:sz w:val="14"/>
                    <w:szCs w:val="14"/>
                  </w:rPr>
                  <w:t>3-Y DR</w:t>
                </w:r>
              </w:p>
            </w:tc>
            <w:tc>
              <w:tcPr>
                <w:tcW w:w="417" w:type="pct"/>
                <w:tcBorders>
                  <w:top w:val="single" w:sz="12" w:space="0" w:color="AFAFB4" w:themeColor="accent4"/>
                </w:tcBorders>
                <w:shd w:val="clear" w:color="auto" w:fill="FFFFFF" w:themeFill="background2"/>
                <w:vAlign w:val="center"/>
              </w:tcPr>
              <w:p w14:paraId="45B59703" w14:textId="77777777" w:rsidR="00EE3059" w:rsidRPr="00B57F38" w:rsidRDefault="00EE3059" w:rsidP="00B57F38">
                <w:pPr>
                  <w:spacing w:before="0" w:line="240" w:lineRule="auto"/>
                  <w:jc w:val="center"/>
                  <w:rPr>
                    <w:b/>
                    <w:color w:val="33A1AB" w:themeColor="accent2"/>
                    <w:sz w:val="14"/>
                    <w:szCs w:val="14"/>
                  </w:rPr>
                </w:pPr>
                <w:r w:rsidRPr="00B57F38">
                  <w:rPr>
                    <w:b/>
                    <w:color w:val="33A1AB" w:themeColor="accent2"/>
                    <w:sz w:val="14"/>
                    <w:szCs w:val="14"/>
                  </w:rPr>
                  <w:t>4-Y DR</w:t>
                </w:r>
              </w:p>
            </w:tc>
            <w:tc>
              <w:tcPr>
                <w:tcW w:w="417" w:type="pct"/>
                <w:tcBorders>
                  <w:top w:val="single" w:sz="12" w:space="0" w:color="AFAFB4" w:themeColor="accent4"/>
                </w:tcBorders>
                <w:shd w:val="clear" w:color="auto" w:fill="FFFFFF" w:themeFill="background2"/>
                <w:vAlign w:val="center"/>
              </w:tcPr>
              <w:p w14:paraId="626F1F3C" w14:textId="77777777" w:rsidR="00EE3059" w:rsidRPr="00B57F38" w:rsidRDefault="00EE3059" w:rsidP="00B57F38">
                <w:pPr>
                  <w:spacing w:before="0" w:line="240" w:lineRule="auto"/>
                  <w:jc w:val="center"/>
                  <w:rPr>
                    <w:b/>
                    <w:color w:val="33A1AB" w:themeColor="accent2"/>
                    <w:sz w:val="14"/>
                    <w:szCs w:val="14"/>
                  </w:rPr>
                </w:pPr>
                <w:r w:rsidRPr="00B57F38">
                  <w:rPr>
                    <w:b/>
                    <w:color w:val="33A1AB" w:themeColor="accent2"/>
                    <w:sz w:val="14"/>
                    <w:szCs w:val="14"/>
                  </w:rPr>
                  <w:t>5-Y DR</w:t>
                </w:r>
              </w:p>
            </w:tc>
            <w:tc>
              <w:tcPr>
                <w:tcW w:w="417" w:type="pct"/>
                <w:tcBorders>
                  <w:top w:val="single" w:sz="12" w:space="0" w:color="AFAFB4" w:themeColor="accent4"/>
                </w:tcBorders>
                <w:shd w:val="clear" w:color="auto" w:fill="FFFFFF" w:themeFill="background2"/>
                <w:vAlign w:val="center"/>
              </w:tcPr>
              <w:p w14:paraId="5C0E3622" w14:textId="77777777" w:rsidR="00EE3059" w:rsidRPr="00B57F38" w:rsidRDefault="00EE3059" w:rsidP="00B57F38">
                <w:pPr>
                  <w:spacing w:before="0" w:line="240" w:lineRule="auto"/>
                  <w:jc w:val="center"/>
                  <w:rPr>
                    <w:b/>
                    <w:color w:val="33A1AB" w:themeColor="accent2"/>
                    <w:sz w:val="14"/>
                    <w:szCs w:val="14"/>
                  </w:rPr>
                </w:pPr>
                <w:r w:rsidRPr="00B57F38">
                  <w:rPr>
                    <w:b/>
                    <w:color w:val="33A1AB" w:themeColor="accent2"/>
                    <w:sz w:val="14"/>
                    <w:szCs w:val="14"/>
                  </w:rPr>
                  <w:t>1-Y DR</w:t>
                </w:r>
              </w:p>
            </w:tc>
            <w:tc>
              <w:tcPr>
                <w:tcW w:w="417" w:type="pct"/>
                <w:tcBorders>
                  <w:top w:val="single" w:sz="12" w:space="0" w:color="AFAFB4" w:themeColor="accent4"/>
                </w:tcBorders>
                <w:shd w:val="clear" w:color="auto" w:fill="FFFFFF" w:themeFill="background2"/>
                <w:vAlign w:val="center"/>
              </w:tcPr>
              <w:p w14:paraId="283FA16D" w14:textId="77777777" w:rsidR="00EE3059" w:rsidRPr="00B57F38" w:rsidRDefault="00EE3059" w:rsidP="00B57F38">
                <w:pPr>
                  <w:spacing w:before="0" w:line="240" w:lineRule="auto"/>
                  <w:jc w:val="center"/>
                  <w:rPr>
                    <w:b/>
                    <w:color w:val="33A1AB" w:themeColor="accent2"/>
                    <w:sz w:val="14"/>
                    <w:szCs w:val="14"/>
                  </w:rPr>
                </w:pPr>
                <w:r w:rsidRPr="00B57F38">
                  <w:rPr>
                    <w:b/>
                    <w:color w:val="33A1AB" w:themeColor="accent2"/>
                    <w:sz w:val="14"/>
                    <w:szCs w:val="14"/>
                  </w:rPr>
                  <w:t>2-Y DR</w:t>
                </w:r>
              </w:p>
            </w:tc>
            <w:tc>
              <w:tcPr>
                <w:tcW w:w="417" w:type="pct"/>
                <w:tcBorders>
                  <w:top w:val="single" w:sz="12" w:space="0" w:color="AFAFB4" w:themeColor="accent4"/>
                </w:tcBorders>
                <w:shd w:val="clear" w:color="auto" w:fill="FFFFFF" w:themeFill="background2"/>
                <w:vAlign w:val="center"/>
              </w:tcPr>
              <w:p w14:paraId="2C209BBB" w14:textId="77777777" w:rsidR="00EE3059" w:rsidRPr="00B57F38" w:rsidRDefault="00EE3059" w:rsidP="00B57F38">
                <w:pPr>
                  <w:spacing w:before="0" w:line="240" w:lineRule="auto"/>
                  <w:jc w:val="center"/>
                  <w:rPr>
                    <w:b/>
                    <w:color w:val="33A1AB" w:themeColor="accent2"/>
                    <w:sz w:val="14"/>
                    <w:szCs w:val="14"/>
                  </w:rPr>
                </w:pPr>
                <w:r w:rsidRPr="00B57F38">
                  <w:rPr>
                    <w:b/>
                    <w:color w:val="33A1AB" w:themeColor="accent2"/>
                    <w:sz w:val="14"/>
                    <w:szCs w:val="14"/>
                  </w:rPr>
                  <w:t>3-Y DR</w:t>
                </w:r>
              </w:p>
            </w:tc>
            <w:tc>
              <w:tcPr>
                <w:tcW w:w="417" w:type="pct"/>
                <w:tcBorders>
                  <w:top w:val="single" w:sz="12" w:space="0" w:color="AFAFB4" w:themeColor="accent4"/>
                </w:tcBorders>
                <w:shd w:val="clear" w:color="auto" w:fill="FFFFFF" w:themeFill="background2"/>
                <w:vAlign w:val="center"/>
              </w:tcPr>
              <w:p w14:paraId="7A031332" w14:textId="77777777" w:rsidR="00EE3059" w:rsidRPr="00B57F38" w:rsidRDefault="00EE3059" w:rsidP="00B57F38">
                <w:pPr>
                  <w:spacing w:before="0" w:line="240" w:lineRule="auto"/>
                  <w:jc w:val="center"/>
                  <w:rPr>
                    <w:b/>
                    <w:color w:val="33A1AB" w:themeColor="accent2"/>
                    <w:sz w:val="14"/>
                    <w:szCs w:val="14"/>
                  </w:rPr>
                </w:pPr>
                <w:r w:rsidRPr="00B57F38">
                  <w:rPr>
                    <w:b/>
                    <w:color w:val="33A1AB" w:themeColor="accent2"/>
                    <w:sz w:val="14"/>
                    <w:szCs w:val="14"/>
                  </w:rPr>
                  <w:t>4-Y DR</w:t>
                </w:r>
              </w:p>
            </w:tc>
            <w:tc>
              <w:tcPr>
                <w:tcW w:w="413" w:type="pct"/>
                <w:tcBorders>
                  <w:top w:val="single" w:sz="12" w:space="0" w:color="AFAFB4" w:themeColor="accent4"/>
                </w:tcBorders>
                <w:shd w:val="clear" w:color="auto" w:fill="FFFFFF" w:themeFill="background2"/>
                <w:vAlign w:val="center"/>
              </w:tcPr>
              <w:p w14:paraId="63046331" w14:textId="77777777" w:rsidR="00EE3059" w:rsidRPr="00B57F38" w:rsidRDefault="00EE3059" w:rsidP="00B57F38">
                <w:pPr>
                  <w:spacing w:before="0" w:line="240" w:lineRule="auto"/>
                  <w:jc w:val="center"/>
                  <w:rPr>
                    <w:b/>
                    <w:color w:val="33A1AB" w:themeColor="accent2"/>
                    <w:sz w:val="14"/>
                    <w:szCs w:val="14"/>
                  </w:rPr>
                </w:pPr>
                <w:r w:rsidRPr="00B57F38">
                  <w:rPr>
                    <w:b/>
                    <w:color w:val="33A1AB" w:themeColor="accent2"/>
                    <w:sz w:val="14"/>
                    <w:szCs w:val="14"/>
                  </w:rPr>
                  <w:t>5-Y DR</w:t>
                </w:r>
              </w:p>
            </w:tc>
          </w:tr>
          <w:tr w:rsidR="00CE6998" w:rsidRPr="00B57F38" w14:paraId="5A983570" w14:textId="77777777" w:rsidTr="00AC7D4E">
            <w:trPr>
              <w:trHeight w:val="227"/>
            </w:trPr>
            <w:tc>
              <w:tcPr>
                <w:tcW w:w="343" w:type="pct"/>
                <w:shd w:val="clear" w:color="auto" w:fill="FFFFFF" w:themeFill="background2"/>
                <w:tcMar>
                  <w:top w:w="60" w:type="dxa"/>
                  <w:left w:w="114" w:type="dxa"/>
                  <w:bottom w:w="60" w:type="dxa"/>
                  <w:right w:w="114" w:type="dxa"/>
                </w:tcMar>
                <w:vAlign w:val="center"/>
              </w:tcPr>
              <w:p w14:paraId="4C4C4A97" w14:textId="77777777" w:rsidR="00CE6998" w:rsidRPr="00B57F38" w:rsidRDefault="00CE6998" w:rsidP="008A3D29">
                <w:pPr>
                  <w:spacing w:before="0" w:line="240" w:lineRule="auto"/>
                  <w:jc w:val="left"/>
                  <w:rPr>
                    <w:rFonts w:eastAsia="Times New Roman" w:cs="Segoe UI"/>
                    <w:b/>
                    <w:bCs/>
                    <w:sz w:val="14"/>
                    <w:szCs w:val="14"/>
                    <w:lang w:val="en-GB" w:eastAsia="it-IT"/>
                  </w:rPr>
                </w:pPr>
                <w:r w:rsidRPr="00B57F38">
                  <w:rPr>
                    <w:rFonts w:cs="Segoe UI"/>
                    <w:b/>
                    <w:bCs/>
                    <w:sz w:val="14"/>
                    <w:szCs w:val="14"/>
                    <w:lang w:eastAsia="it-IT"/>
                  </w:rPr>
                  <w:t>A1.1</w:t>
                </w:r>
              </w:p>
            </w:tc>
            <w:tc>
              <w:tcPr>
                <w:tcW w:w="491" w:type="pct"/>
                <w:shd w:val="clear" w:color="auto" w:fill="FFFFFF" w:themeFill="background2"/>
                <w:tcMar>
                  <w:top w:w="60" w:type="dxa"/>
                  <w:left w:w="114" w:type="dxa"/>
                  <w:bottom w:w="60" w:type="dxa"/>
                  <w:right w:w="114" w:type="dxa"/>
                </w:tcMar>
                <w:vAlign w:val="center"/>
              </w:tcPr>
              <w:p w14:paraId="25D66457" w14:textId="522D13FA"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0</w:t>
                </w:r>
              </w:p>
            </w:tc>
            <w:tc>
              <w:tcPr>
                <w:tcW w:w="417" w:type="pct"/>
                <w:shd w:val="clear" w:color="auto" w:fill="FFFFFF" w:themeFill="background2"/>
                <w:tcMar>
                  <w:top w:w="60" w:type="dxa"/>
                  <w:left w:w="114" w:type="dxa"/>
                  <w:bottom w:w="60" w:type="dxa"/>
                  <w:right w:w="114" w:type="dxa"/>
                </w:tcMar>
                <w:vAlign w:val="center"/>
              </w:tcPr>
              <w:p w14:paraId="2CD41D25" w14:textId="26643AA9"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0</w:t>
                </w:r>
              </w:p>
            </w:tc>
            <w:tc>
              <w:tcPr>
                <w:tcW w:w="417" w:type="pct"/>
                <w:shd w:val="clear" w:color="auto" w:fill="FFFFFF" w:themeFill="background2"/>
                <w:vAlign w:val="center"/>
              </w:tcPr>
              <w:p w14:paraId="606EEF7A" w14:textId="6E2B1AE4"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0</w:t>
                </w:r>
              </w:p>
            </w:tc>
            <w:tc>
              <w:tcPr>
                <w:tcW w:w="417" w:type="pct"/>
                <w:shd w:val="clear" w:color="auto" w:fill="FFFFFF" w:themeFill="background2"/>
                <w:vAlign w:val="center"/>
              </w:tcPr>
              <w:p w14:paraId="1AE60FC3" w14:textId="06B39132"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0</w:t>
                </w:r>
              </w:p>
            </w:tc>
            <w:tc>
              <w:tcPr>
                <w:tcW w:w="417" w:type="pct"/>
                <w:shd w:val="clear" w:color="auto" w:fill="FFFFFF" w:themeFill="background2"/>
                <w:vAlign w:val="center"/>
              </w:tcPr>
              <w:p w14:paraId="06F769A9" w14:textId="31D5E216"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0</w:t>
                </w:r>
              </w:p>
            </w:tc>
            <w:tc>
              <w:tcPr>
                <w:tcW w:w="417" w:type="pct"/>
                <w:shd w:val="clear" w:color="auto" w:fill="FFFFFF" w:themeFill="background2"/>
                <w:vAlign w:val="center"/>
              </w:tcPr>
              <w:p w14:paraId="5C9D2640" w14:textId="754F454C"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0</w:t>
                </w:r>
              </w:p>
            </w:tc>
            <w:tc>
              <w:tcPr>
                <w:tcW w:w="417" w:type="pct"/>
                <w:shd w:val="clear" w:color="auto" w:fill="FFFFFF" w:themeFill="background2"/>
                <w:vAlign w:val="center"/>
              </w:tcPr>
              <w:p w14:paraId="13D14563" w14:textId="7D22769B"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0.00%</w:t>
                </w:r>
              </w:p>
            </w:tc>
            <w:tc>
              <w:tcPr>
                <w:tcW w:w="417" w:type="pct"/>
                <w:shd w:val="clear" w:color="auto" w:fill="FFFFFF" w:themeFill="background2"/>
                <w:vAlign w:val="center"/>
              </w:tcPr>
              <w:p w14:paraId="5E5F9C2A" w14:textId="2E2D1E35"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0.00%</w:t>
                </w:r>
              </w:p>
            </w:tc>
            <w:tc>
              <w:tcPr>
                <w:tcW w:w="417" w:type="pct"/>
                <w:shd w:val="clear" w:color="auto" w:fill="FFFFFF" w:themeFill="background2"/>
                <w:vAlign w:val="center"/>
              </w:tcPr>
              <w:p w14:paraId="14F6CFC0" w14:textId="13ECA183"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0.00%</w:t>
                </w:r>
              </w:p>
            </w:tc>
            <w:tc>
              <w:tcPr>
                <w:tcW w:w="417" w:type="pct"/>
                <w:shd w:val="clear" w:color="auto" w:fill="FFFFFF" w:themeFill="background2"/>
                <w:vAlign w:val="center"/>
              </w:tcPr>
              <w:p w14:paraId="5B8CC015" w14:textId="77FCD24A"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0.00%</w:t>
                </w:r>
              </w:p>
            </w:tc>
            <w:tc>
              <w:tcPr>
                <w:tcW w:w="413" w:type="pct"/>
                <w:shd w:val="clear" w:color="auto" w:fill="FFFFFF" w:themeFill="background2"/>
                <w:vAlign w:val="center"/>
              </w:tcPr>
              <w:p w14:paraId="41B1BC79" w14:textId="391C4776"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0.00%</w:t>
                </w:r>
              </w:p>
            </w:tc>
          </w:tr>
          <w:tr w:rsidR="00CE6998" w:rsidRPr="00B57F38" w14:paraId="29B2014E" w14:textId="77777777" w:rsidTr="00AC7D4E">
            <w:trPr>
              <w:trHeight w:val="227"/>
            </w:trPr>
            <w:tc>
              <w:tcPr>
                <w:tcW w:w="343" w:type="pct"/>
                <w:shd w:val="clear" w:color="auto" w:fill="FFFFFF" w:themeFill="background2"/>
                <w:tcMar>
                  <w:top w:w="60" w:type="dxa"/>
                  <w:left w:w="114" w:type="dxa"/>
                  <w:bottom w:w="60" w:type="dxa"/>
                  <w:right w:w="114" w:type="dxa"/>
                </w:tcMar>
                <w:vAlign w:val="center"/>
              </w:tcPr>
              <w:p w14:paraId="1C46EE78" w14:textId="77777777" w:rsidR="00CE6998" w:rsidRPr="00B57F38" w:rsidRDefault="00CE6998" w:rsidP="008A3D29">
                <w:pPr>
                  <w:spacing w:before="0" w:line="240" w:lineRule="auto"/>
                  <w:jc w:val="left"/>
                  <w:rPr>
                    <w:rFonts w:eastAsia="Times New Roman" w:cs="Segoe UI"/>
                    <w:b/>
                    <w:bCs/>
                    <w:sz w:val="14"/>
                    <w:szCs w:val="14"/>
                    <w:lang w:val="en-GB" w:eastAsia="it-IT"/>
                  </w:rPr>
                </w:pPr>
                <w:r w:rsidRPr="00B57F38">
                  <w:rPr>
                    <w:rFonts w:cs="Segoe UI"/>
                    <w:b/>
                    <w:bCs/>
                    <w:sz w:val="14"/>
                    <w:szCs w:val="14"/>
                    <w:lang w:eastAsia="it-IT"/>
                  </w:rPr>
                  <w:t>A1.2</w:t>
                </w:r>
              </w:p>
            </w:tc>
            <w:tc>
              <w:tcPr>
                <w:tcW w:w="491" w:type="pct"/>
                <w:shd w:val="clear" w:color="auto" w:fill="FFFFFF" w:themeFill="background2"/>
                <w:tcMar>
                  <w:top w:w="60" w:type="dxa"/>
                  <w:left w:w="114" w:type="dxa"/>
                  <w:bottom w:w="60" w:type="dxa"/>
                  <w:right w:w="114" w:type="dxa"/>
                </w:tcMar>
                <w:vAlign w:val="center"/>
              </w:tcPr>
              <w:p w14:paraId="683730D5" w14:textId="0CEE46F9"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46</w:t>
                </w:r>
              </w:p>
            </w:tc>
            <w:tc>
              <w:tcPr>
                <w:tcW w:w="417" w:type="pct"/>
                <w:shd w:val="clear" w:color="auto" w:fill="FFFFFF" w:themeFill="background2"/>
                <w:tcMar>
                  <w:top w:w="60" w:type="dxa"/>
                  <w:left w:w="114" w:type="dxa"/>
                  <w:bottom w:w="60" w:type="dxa"/>
                  <w:right w:w="114" w:type="dxa"/>
                </w:tcMar>
                <w:vAlign w:val="center"/>
              </w:tcPr>
              <w:p w14:paraId="285940E9" w14:textId="2C256E6A"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0</w:t>
                </w:r>
              </w:p>
            </w:tc>
            <w:tc>
              <w:tcPr>
                <w:tcW w:w="417" w:type="pct"/>
                <w:shd w:val="clear" w:color="auto" w:fill="FFFFFF" w:themeFill="background2"/>
                <w:vAlign w:val="center"/>
              </w:tcPr>
              <w:p w14:paraId="031BE2D8" w14:textId="33099593"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0</w:t>
                </w:r>
              </w:p>
            </w:tc>
            <w:tc>
              <w:tcPr>
                <w:tcW w:w="417" w:type="pct"/>
                <w:shd w:val="clear" w:color="auto" w:fill="FFFFFF" w:themeFill="background2"/>
                <w:vAlign w:val="center"/>
              </w:tcPr>
              <w:p w14:paraId="5FDA34C9" w14:textId="11BC03AB"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0</w:t>
                </w:r>
              </w:p>
            </w:tc>
            <w:tc>
              <w:tcPr>
                <w:tcW w:w="417" w:type="pct"/>
                <w:shd w:val="clear" w:color="auto" w:fill="FFFFFF" w:themeFill="background2"/>
                <w:vAlign w:val="center"/>
              </w:tcPr>
              <w:p w14:paraId="5127E554" w14:textId="74E573BC"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0</w:t>
                </w:r>
              </w:p>
            </w:tc>
            <w:tc>
              <w:tcPr>
                <w:tcW w:w="417" w:type="pct"/>
                <w:shd w:val="clear" w:color="auto" w:fill="FFFFFF" w:themeFill="background2"/>
                <w:vAlign w:val="center"/>
              </w:tcPr>
              <w:p w14:paraId="02959DFD" w14:textId="2195F17A"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0</w:t>
                </w:r>
              </w:p>
            </w:tc>
            <w:tc>
              <w:tcPr>
                <w:tcW w:w="417" w:type="pct"/>
                <w:shd w:val="clear" w:color="auto" w:fill="FFFFFF" w:themeFill="background2"/>
                <w:vAlign w:val="center"/>
              </w:tcPr>
              <w:p w14:paraId="40DA978D" w14:textId="105DAAAB"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0.00%</w:t>
                </w:r>
              </w:p>
            </w:tc>
            <w:tc>
              <w:tcPr>
                <w:tcW w:w="417" w:type="pct"/>
                <w:shd w:val="clear" w:color="auto" w:fill="FFFFFF" w:themeFill="background2"/>
                <w:vAlign w:val="center"/>
              </w:tcPr>
              <w:p w14:paraId="1CF4CF3F" w14:textId="74691153"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0.00%</w:t>
                </w:r>
              </w:p>
            </w:tc>
            <w:tc>
              <w:tcPr>
                <w:tcW w:w="417" w:type="pct"/>
                <w:shd w:val="clear" w:color="auto" w:fill="FFFFFF" w:themeFill="background2"/>
                <w:vAlign w:val="center"/>
              </w:tcPr>
              <w:p w14:paraId="76BF7841" w14:textId="7DCA879F"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0.00%</w:t>
                </w:r>
              </w:p>
            </w:tc>
            <w:tc>
              <w:tcPr>
                <w:tcW w:w="417" w:type="pct"/>
                <w:shd w:val="clear" w:color="auto" w:fill="FFFFFF" w:themeFill="background2"/>
                <w:vAlign w:val="center"/>
              </w:tcPr>
              <w:p w14:paraId="2A7543AF" w14:textId="5DC1E34F"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0.00%</w:t>
                </w:r>
              </w:p>
            </w:tc>
            <w:tc>
              <w:tcPr>
                <w:tcW w:w="413" w:type="pct"/>
                <w:shd w:val="clear" w:color="auto" w:fill="FFFFFF" w:themeFill="background2"/>
                <w:vAlign w:val="center"/>
              </w:tcPr>
              <w:p w14:paraId="6FB263F8" w14:textId="723A33F9"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0.00%</w:t>
                </w:r>
              </w:p>
            </w:tc>
          </w:tr>
          <w:tr w:rsidR="00CE6998" w:rsidRPr="00B57F38" w14:paraId="3CF0C7D1" w14:textId="77777777" w:rsidTr="00AC7D4E">
            <w:trPr>
              <w:trHeight w:val="227"/>
            </w:trPr>
            <w:tc>
              <w:tcPr>
                <w:tcW w:w="343" w:type="pct"/>
                <w:shd w:val="clear" w:color="auto" w:fill="FFFFFF" w:themeFill="background2"/>
                <w:tcMar>
                  <w:top w:w="60" w:type="dxa"/>
                  <w:left w:w="114" w:type="dxa"/>
                  <w:bottom w:w="60" w:type="dxa"/>
                  <w:right w:w="114" w:type="dxa"/>
                </w:tcMar>
                <w:vAlign w:val="center"/>
              </w:tcPr>
              <w:p w14:paraId="2CE8C981" w14:textId="77777777" w:rsidR="00CE6998" w:rsidRPr="00B57F38" w:rsidRDefault="00CE6998" w:rsidP="008A3D29">
                <w:pPr>
                  <w:spacing w:before="0" w:line="240" w:lineRule="auto"/>
                  <w:jc w:val="left"/>
                  <w:rPr>
                    <w:rFonts w:eastAsia="Times New Roman" w:cs="Segoe UI"/>
                    <w:b/>
                    <w:bCs/>
                    <w:sz w:val="14"/>
                    <w:szCs w:val="14"/>
                    <w:lang w:val="en-GB" w:eastAsia="it-IT"/>
                  </w:rPr>
                </w:pPr>
                <w:r w:rsidRPr="00B57F38">
                  <w:rPr>
                    <w:rFonts w:cs="Segoe UI"/>
                    <w:b/>
                    <w:bCs/>
                    <w:sz w:val="14"/>
                    <w:szCs w:val="14"/>
                    <w:lang w:eastAsia="it-IT"/>
                  </w:rPr>
                  <w:t>A1.3</w:t>
                </w:r>
              </w:p>
            </w:tc>
            <w:tc>
              <w:tcPr>
                <w:tcW w:w="491" w:type="pct"/>
                <w:shd w:val="clear" w:color="auto" w:fill="FFFFFF" w:themeFill="background2"/>
                <w:tcMar>
                  <w:top w:w="60" w:type="dxa"/>
                  <w:left w:w="114" w:type="dxa"/>
                  <w:bottom w:w="60" w:type="dxa"/>
                  <w:right w:w="114" w:type="dxa"/>
                </w:tcMar>
                <w:vAlign w:val="center"/>
              </w:tcPr>
              <w:p w14:paraId="79872E3B" w14:textId="3DE8D556"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68</w:t>
                </w:r>
              </w:p>
            </w:tc>
            <w:tc>
              <w:tcPr>
                <w:tcW w:w="417" w:type="pct"/>
                <w:shd w:val="clear" w:color="auto" w:fill="FFFFFF" w:themeFill="background2"/>
                <w:tcMar>
                  <w:top w:w="60" w:type="dxa"/>
                  <w:left w:w="114" w:type="dxa"/>
                  <w:bottom w:w="60" w:type="dxa"/>
                  <w:right w:w="114" w:type="dxa"/>
                </w:tcMar>
                <w:vAlign w:val="center"/>
              </w:tcPr>
              <w:p w14:paraId="52057B81" w14:textId="284D2414"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0</w:t>
                </w:r>
              </w:p>
            </w:tc>
            <w:tc>
              <w:tcPr>
                <w:tcW w:w="417" w:type="pct"/>
                <w:shd w:val="clear" w:color="auto" w:fill="FFFFFF" w:themeFill="background2"/>
                <w:vAlign w:val="center"/>
              </w:tcPr>
              <w:p w14:paraId="375FD742" w14:textId="326DD2F5"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0</w:t>
                </w:r>
              </w:p>
            </w:tc>
            <w:tc>
              <w:tcPr>
                <w:tcW w:w="417" w:type="pct"/>
                <w:shd w:val="clear" w:color="auto" w:fill="FFFFFF" w:themeFill="background2"/>
                <w:vAlign w:val="center"/>
              </w:tcPr>
              <w:p w14:paraId="72D1DF2F" w14:textId="3A42C39E"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0</w:t>
                </w:r>
              </w:p>
            </w:tc>
            <w:tc>
              <w:tcPr>
                <w:tcW w:w="417" w:type="pct"/>
                <w:shd w:val="clear" w:color="auto" w:fill="FFFFFF" w:themeFill="background2"/>
                <w:vAlign w:val="center"/>
              </w:tcPr>
              <w:p w14:paraId="786BF09A" w14:textId="2E574A3C"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0</w:t>
                </w:r>
              </w:p>
            </w:tc>
            <w:tc>
              <w:tcPr>
                <w:tcW w:w="417" w:type="pct"/>
                <w:shd w:val="clear" w:color="auto" w:fill="FFFFFF" w:themeFill="background2"/>
                <w:vAlign w:val="center"/>
              </w:tcPr>
              <w:p w14:paraId="5FFA3EC0" w14:textId="65C79E5C"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0</w:t>
                </w:r>
              </w:p>
            </w:tc>
            <w:tc>
              <w:tcPr>
                <w:tcW w:w="417" w:type="pct"/>
                <w:shd w:val="clear" w:color="auto" w:fill="FFFFFF" w:themeFill="background2"/>
                <w:vAlign w:val="center"/>
              </w:tcPr>
              <w:p w14:paraId="1E4640DE" w14:textId="361322F6"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0.00%</w:t>
                </w:r>
              </w:p>
            </w:tc>
            <w:tc>
              <w:tcPr>
                <w:tcW w:w="417" w:type="pct"/>
                <w:shd w:val="clear" w:color="auto" w:fill="FFFFFF" w:themeFill="background2"/>
                <w:vAlign w:val="center"/>
              </w:tcPr>
              <w:p w14:paraId="08333475" w14:textId="173114A8"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0.00%</w:t>
                </w:r>
              </w:p>
            </w:tc>
            <w:tc>
              <w:tcPr>
                <w:tcW w:w="417" w:type="pct"/>
                <w:shd w:val="clear" w:color="auto" w:fill="FFFFFF" w:themeFill="background2"/>
                <w:vAlign w:val="center"/>
              </w:tcPr>
              <w:p w14:paraId="2F701BA3" w14:textId="50F229FA"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0.00%</w:t>
                </w:r>
              </w:p>
            </w:tc>
            <w:tc>
              <w:tcPr>
                <w:tcW w:w="417" w:type="pct"/>
                <w:shd w:val="clear" w:color="auto" w:fill="FFFFFF" w:themeFill="background2"/>
                <w:vAlign w:val="center"/>
              </w:tcPr>
              <w:p w14:paraId="7AE0F95A" w14:textId="75413774"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0.00%</w:t>
                </w:r>
              </w:p>
            </w:tc>
            <w:tc>
              <w:tcPr>
                <w:tcW w:w="413" w:type="pct"/>
                <w:shd w:val="clear" w:color="auto" w:fill="FFFFFF" w:themeFill="background2"/>
                <w:vAlign w:val="center"/>
              </w:tcPr>
              <w:p w14:paraId="23CAFA4B" w14:textId="61F962F6"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0.00%</w:t>
                </w:r>
              </w:p>
            </w:tc>
          </w:tr>
          <w:tr w:rsidR="00CE6998" w:rsidRPr="00B57F38" w14:paraId="37E59D79" w14:textId="77777777" w:rsidTr="00AC7D4E">
            <w:trPr>
              <w:trHeight w:val="227"/>
            </w:trPr>
            <w:tc>
              <w:tcPr>
                <w:tcW w:w="343" w:type="pct"/>
                <w:shd w:val="clear" w:color="auto" w:fill="FFFFFF" w:themeFill="background2"/>
                <w:tcMar>
                  <w:top w:w="60" w:type="dxa"/>
                  <w:left w:w="114" w:type="dxa"/>
                  <w:bottom w:w="60" w:type="dxa"/>
                  <w:right w:w="114" w:type="dxa"/>
                </w:tcMar>
                <w:vAlign w:val="center"/>
              </w:tcPr>
              <w:p w14:paraId="7C2E7C15" w14:textId="77777777" w:rsidR="00CE6998" w:rsidRPr="00B57F38" w:rsidRDefault="00CE6998" w:rsidP="008A3D29">
                <w:pPr>
                  <w:spacing w:before="0" w:line="240" w:lineRule="auto"/>
                  <w:jc w:val="left"/>
                  <w:rPr>
                    <w:rFonts w:eastAsia="Times New Roman" w:cs="Segoe UI"/>
                    <w:b/>
                    <w:bCs/>
                    <w:sz w:val="14"/>
                    <w:szCs w:val="14"/>
                    <w:lang w:val="en-GB" w:eastAsia="it-IT"/>
                  </w:rPr>
                </w:pPr>
                <w:r w:rsidRPr="00B57F38">
                  <w:rPr>
                    <w:rFonts w:cs="Segoe UI"/>
                    <w:b/>
                    <w:bCs/>
                    <w:sz w:val="14"/>
                    <w:szCs w:val="14"/>
                    <w:lang w:eastAsia="it-IT"/>
                  </w:rPr>
                  <w:t>A2.1</w:t>
                </w:r>
              </w:p>
            </w:tc>
            <w:tc>
              <w:tcPr>
                <w:tcW w:w="491" w:type="pct"/>
                <w:shd w:val="clear" w:color="auto" w:fill="FFFFFF" w:themeFill="background2"/>
                <w:tcMar>
                  <w:top w:w="60" w:type="dxa"/>
                  <w:left w:w="114" w:type="dxa"/>
                  <w:bottom w:w="60" w:type="dxa"/>
                  <w:right w:w="114" w:type="dxa"/>
                </w:tcMar>
                <w:vAlign w:val="center"/>
              </w:tcPr>
              <w:p w14:paraId="1E5B25B2" w14:textId="37566118"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458</w:t>
                </w:r>
              </w:p>
            </w:tc>
            <w:tc>
              <w:tcPr>
                <w:tcW w:w="417" w:type="pct"/>
                <w:shd w:val="clear" w:color="auto" w:fill="FFFFFF" w:themeFill="background2"/>
                <w:tcMar>
                  <w:top w:w="60" w:type="dxa"/>
                  <w:left w:w="114" w:type="dxa"/>
                  <w:bottom w:w="60" w:type="dxa"/>
                  <w:right w:w="114" w:type="dxa"/>
                </w:tcMar>
                <w:vAlign w:val="center"/>
              </w:tcPr>
              <w:p w14:paraId="29C1DF14" w14:textId="07D79483"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0</w:t>
                </w:r>
              </w:p>
            </w:tc>
            <w:tc>
              <w:tcPr>
                <w:tcW w:w="417" w:type="pct"/>
                <w:shd w:val="clear" w:color="auto" w:fill="FFFFFF" w:themeFill="background2"/>
                <w:vAlign w:val="center"/>
              </w:tcPr>
              <w:p w14:paraId="0D97CBB3" w14:textId="7469214E"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0</w:t>
                </w:r>
              </w:p>
            </w:tc>
            <w:tc>
              <w:tcPr>
                <w:tcW w:w="417" w:type="pct"/>
                <w:shd w:val="clear" w:color="auto" w:fill="FFFFFF" w:themeFill="background2"/>
                <w:vAlign w:val="center"/>
              </w:tcPr>
              <w:p w14:paraId="136E45CE" w14:textId="002FA4A0"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w:t>
                </w:r>
              </w:p>
            </w:tc>
            <w:tc>
              <w:tcPr>
                <w:tcW w:w="417" w:type="pct"/>
                <w:shd w:val="clear" w:color="auto" w:fill="FFFFFF" w:themeFill="background2"/>
                <w:vAlign w:val="center"/>
              </w:tcPr>
              <w:p w14:paraId="0878B706" w14:textId="3ECB4832"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w:t>
                </w:r>
              </w:p>
            </w:tc>
            <w:tc>
              <w:tcPr>
                <w:tcW w:w="417" w:type="pct"/>
                <w:shd w:val="clear" w:color="auto" w:fill="FFFFFF" w:themeFill="background2"/>
                <w:vAlign w:val="center"/>
              </w:tcPr>
              <w:p w14:paraId="1A1203B9" w14:textId="179D773E"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2</w:t>
                </w:r>
              </w:p>
            </w:tc>
            <w:tc>
              <w:tcPr>
                <w:tcW w:w="417" w:type="pct"/>
                <w:shd w:val="clear" w:color="auto" w:fill="FFFFFF" w:themeFill="background2"/>
                <w:vAlign w:val="center"/>
              </w:tcPr>
              <w:p w14:paraId="40259FEE" w14:textId="0EF4358E"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0.00%</w:t>
                </w:r>
              </w:p>
            </w:tc>
            <w:tc>
              <w:tcPr>
                <w:tcW w:w="417" w:type="pct"/>
                <w:shd w:val="clear" w:color="auto" w:fill="FFFFFF" w:themeFill="background2"/>
                <w:vAlign w:val="center"/>
              </w:tcPr>
              <w:p w14:paraId="7E75517D" w14:textId="49B74C9F"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0.00%</w:t>
                </w:r>
              </w:p>
            </w:tc>
            <w:tc>
              <w:tcPr>
                <w:tcW w:w="417" w:type="pct"/>
                <w:shd w:val="clear" w:color="auto" w:fill="FFFFFF" w:themeFill="background2"/>
                <w:vAlign w:val="center"/>
              </w:tcPr>
              <w:p w14:paraId="75C4150E" w14:textId="180346E8"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0.22%</w:t>
                </w:r>
              </w:p>
            </w:tc>
            <w:tc>
              <w:tcPr>
                <w:tcW w:w="417" w:type="pct"/>
                <w:shd w:val="clear" w:color="auto" w:fill="FFFFFF" w:themeFill="background2"/>
                <w:vAlign w:val="center"/>
              </w:tcPr>
              <w:p w14:paraId="7E68A29C" w14:textId="50C3EF46"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0.22%</w:t>
                </w:r>
              </w:p>
            </w:tc>
            <w:tc>
              <w:tcPr>
                <w:tcW w:w="413" w:type="pct"/>
                <w:shd w:val="clear" w:color="auto" w:fill="FFFFFF" w:themeFill="background2"/>
                <w:vAlign w:val="center"/>
              </w:tcPr>
              <w:p w14:paraId="0F332380" w14:textId="07BF24BA"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0.44%</w:t>
                </w:r>
              </w:p>
            </w:tc>
          </w:tr>
          <w:tr w:rsidR="00CE6998" w:rsidRPr="00B57F38" w14:paraId="58511C2C" w14:textId="77777777" w:rsidTr="00AC7D4E">
            <w:trPr>
              <w:trHeight w:val="227"/>
            </w:trPr>
            <w:tc>
              <w:tcPr>
                <w:tcW w:w="343" w:type="pct"/>
                <w:shd w:val="clear" w:color="auto" w:fill="FFFFFF" w:themeFill="background2"/>
                <w:tcMar>
                  <w:top w:w="60" w:type="dxa"/>
                  <w:left w:w="114" w:type="dxa"/>
                  <w:bottom w:w="60" w:type="dxa"/>
                  <w:right w:w="114" w:type="dxa"/>
                </w:tcMar>
                <w:vAlign w:val="center"/>
              </w:tcPr>
              <w:p w14:paraId="7ED6F8BB" w14:textId="77777777" w:rsidR="00CE6998" w:rsidRPr="00B57F38" w:rsidRDefault="00CE6998" w:rsidP="008A3D29">
                <w:pPr>
                  <w:spacing w:before="0" w:line="240" w:lineRule="auto"/>
                  <w:jc w:val="left"/>
                  <w:rPr>
                    <w:rFonts w:eastAsia="Times New Roman" w:cs="Segoe UI"/>
                    <w:b/>
                    <w:bCs/>
                    <w:sz w:val="14"/>
                    <w:szCs w:val="14"/>
                    <w:lang w:val="en-GB" w:eastAsia="it-IT"/>
                  </w:rPr>
                </w:pPr>
                <w:r w:rsidRPr="00B57F38">
                  <w:rPr>
                    <w:rFonts w:cs="Segoe UI"/>
                    <w:b/>
                    <w:bCs/>
                    <w:sz w:val="14"/>
                    <w:szCs w:val="14"/>
                    <w:lang w:eastAsia="it-IT"/>
                  </w:rPr>
                  <w:t>A2.2</w:t>
                </w:r>
              </w:p>
            </w:tc>
            <w:tc>
              <w:tcPr>
                <w:tcW w:w="491" w:type="pct"/>
                <w:shd w:val="clear" w:color="auto" w:fill="FFFFFF" w:themeFill="background2"/>
                <w:tcMar>
                  <w:top w:w="60" w:type="dxa"/>
                  <w:left w:w="114" w:type="dxa"/>
                  <w:bottom w:w="60" w:type="dxa"/>
                  <w:right w:w="114" w:type="dxa"/>
                </w:tcMar>
                <w:vAlign w:val="center"/>
              </w:tcPr>
              <w:p w14:paraId="18110C9B" w14:textId="4AF0B44F"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2,986</w:t>
                </w:r>
              </w:p>
            </w:tc>
            <w:tc>
              <w:tcPr>
                <w:tcW w:w="417" w:type="pct"/>
                <w:shd w:val="clear" w:color="auto" w:fill="FFFFFF" w:themeFill="background2"/>
                <w:tcMar>
                  <w:top w:w="60" w:type="dxa"/>
                  <w:left w:w="114" w:type="dxa"/>
                  <w:bottom w:w="60" w:type="dxa"/>
                  <w:right w:w="114" w:type="dxa"/>
                </w:tcMar>
                <w:vAlign w:val="center"/>
              </w:tcPr>
              <w:p w14:paraId="611D54B9" w14:textId="0F421225"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w:t>
                </w:r>
              </w:p>
            </w:tc>
            <w:tc>
              <w:tcPr>
                <w:tcW w:w="417" w:type="pct"/>
                <w:shd w:val="clear" w:color="auto" w:fill="FFFFFF" w:themeFill="background2"/>
                <w:vAlign w:val="center"/>
              </w:tcPr>
              <w:p w14:paraId="3D4822CF" w14:textId="74BEC7F1"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2</w:t>
                </w:r>
              </w:p>
            </w:tc>
            <w:tc>
              <w:tcPr>
                <w:tcW w:w="417" w:type="pct"/>
                <w:shd w:val="clear" w:color="auto" w:fill="FFFFFF" w:themeFill="background2"/>
                <w:vAlign w:val="center"/>
              </w:tcPr>
              <w:p w14:paraId="136C44BB" w14:textId="560952B9"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5</w:t>
                </w:r>
              </w:p>
            </w:tc>
            <w:tc>
              <w:tcPr>
                <w:tcW w:w="417" w:type="pct"/>
                <w:shd w:val="clear" w:color="auto" w:fill="FFFFFF" w:themeFill="background2"/>
                <w:vAlign w:val="center"/>
              </w:tcPr>
              <w:p w14:paraId="3B957221" w14:textId="3EB76BE2"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9</w:t>
                </w:r>
              </w:p>
            </w:tc>
            <w:tc>
              <w:tcPr>
                <w:tcW w:w="417" w:type="pct"/>
                <w:shd w:val="clear" w:color="auto" w:fill="FFFFFF" w:themeFill="background2"/>
                <w:vAlign w:val="center"/>
              </w:tcPr>
              <w:p w14:paraId="6F483EAB" w14:textId="1DB28D6D"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16</w:t>
                </w:r>
              </w:p>
            </w:tc>
            <w:tc>
              <w:tcPr>
                <w:tcW w:w="417" w:type="pct"/>
                <w:shd w:val="clear" w:color="auto" w:fill="FFFFFF" w:themeFill="background2"/>
                <w:vAlign w:val="center"/>
              </w:tcPr>
              <w:p w14:paraId="4199086D" w14:textId="65E85DA5"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0.03%</w:t>
                </w:r>
              </w:p>
            </w:tc>
            <w:tc>
              <w:tcPr>
                <w:tcW w:w="417" w:type="pct"/>
                <w:shd w:val="clear" w:color="auto" w:fill="FFFFFF" w:themeFill="background2"/>
                <w:vAlign w:val="center"/>
              </w:tcPr>
              <w:p w14:paraId="26E5236D" w14:textId="1E5D74FC"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0.07%</w:t>
                </w:r>
              </w:p>
            </w:tc>
            <w:tc>
              <w:tcPr>
                <w:tcW w:w="417" w:type="pct"/>
                <w:shd w:val="clear" w:color="auto" w:fill="FFFFFF" w:themeFill="background2"/>
                <w:vAlign w:val="center"/>
              </w:tcPr>
              <w:p w14:paraId="3F8CE0AB" w14:textId="025DAC8F"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0.17%</w:t>
                </w:r>
              </w:p>
            </w:tc>
            <w:tc>
              <w:tcPr>
                <w:tcW w:w="417" w:type="pct"/>
                <w:shd w:val="clear" w:color="auto" w:fill="FFFFFF" w:themeFill="background2"/>
                <w:vAlign w:val="center"/>
              </w:tcPr>
              <w:p w14:paraId="1A93D252" w14:textId="5EB1A896"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0.30%</w:t>
                </w:r>
              </w:p>
            </w:tc>
            <w:tc>
              <w:tcPr>
                <w:tcW w:w="413" w:type="pct"/>
                <w:shd w:val="clear" w:color="auto" w:fill="FFFFFF" w:themeFill="background2"/>
                <w:vAlign w:val="center"/>
              </w:tcPr>
              <w:p w14:paraId="33F8513B" w14:textId="609D7D00"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0.54%</w:t>
                </w:r>
              </w:p>
            </w:tc>
          </w:tr>
          <w:tr w:rsidR="00CE6998" w:rsidRPr="00B57F38" w14:paraId="24014D87" w14:textId="77777777" w:rsidTr="00AC7D4E">
            <w:trPr>
              <w:trHeight w:val="227"/>
            </w:trPr>
            <w:tc>
              <w:tcPr>
                <w:tcW w:w="343" w:type="pct"/>
                <w:shd w:val="clear" w:color="auto" w:fill="FFFFFF" w:themeFill="background2"/>
                <w:tcMar>
                  <w:top w:w="60" w:type="dxa"/>
                  <w:left w:w="114" w:type="dxa"/>
                  <w:bottom w:w="60" w:type="dxa"/>
                  <w:right w:w="114" w:type="dxa"/>
                </w:tcMar>
                <w:vAlign w:val="center"/>
              </w:tcPr>
              <w:p w14:paraId="3AB2B8B9" w14:textId="77777777" w:rsidR="00CE6998" w:rsidRPr="00B57F38" w:rsidRDefault="00CE6998" w:rsidP="008A3D29">
                <w:pPr>
                  <w:spacing w:before="0" w:line="240" w:lineRule="auto"/>
                  <w:jc w:val="left"/>
                  <w:rPr>
                    <w:rFonts w:eastAsia="Times New Roman" w:cs="Segoe UI"/>
                    <w:b/>
                    <w:bCs/>
                    <w:sz w:val="14"/>
                    <w:szCs w:val="14"/>
                    <w:lang w:val="en-GB" w:eastAsia="it-IT"/>
                  </w:rPr>
                </w:pPr>
                <w:r w:rsidRPr="00B57F38">
                  <w:rPr>
                    <w:rFonts w:cs="Segoe UI"/>
                    <w:b/>
                    <w:bCs/>
                    <w:sz w:val="14"/>
                    <w:szCs w:val="14"/>
                    <w:lang w:eastAsia="it-IT"/>
                  </w:rPr>
                  <w:t>A3.1</w:t>
                </w:r>
              </w:p>
            </w:tc>
            <w:tc>
              <w:tcPr>
                <w:tcW w:w="491" w:type="pct"/>
                <w:shd w:val="clear" w:color="auto" w:fill="FFFFFF" w:themeFill="background2"/>
                <w:tcMar>
                  <w:top w:w="60" w:type="dxa"/>
                  <w:left w:w="114" w:type="dxa"/>
                  <w:bottom w:w="60" w:type="dxa"/>
                  <w:right w:w="114" w:type="dxa"/>
                </w:tcMar>
                <w:vAlign w:val="center"/>
              </w:tcPr>
              <w:p w14:paraId="75656AE5" w14:textId="14D1592C"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7,762</w:t>
                </w:r>
              </w:p>
            </w:tc>
            <w:tc>
              <w:tcPr>
                <w:tcW w:w="417" w:type="pct"/>
                <w:shd w:val="clear" w:color="auto" w:fill="FFFFFF" w:themeFill="background2"/>
                <w:tcMar>
                  <w:top w:w="60" w:type="dxa"/>
                  <w:left w:w="114" w:type="dxa"/>
                  <w:bottom w:w="60" w:type="dxa"/>
                  <w:right w:w="114" w:type="dxa"/>
                </w:tcMar>
                <w:vAlign w:val="center"/>
              </w:tcPr>
              <w:p w14:paraId="4EC2BD4A" w14:textId="3E569D3D"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5</w:t>
                </w:r>
              </w:p>
            </w:tc>
            <w:tc>
              <w:tcPr>
                <w:tcW w:w="417" w:type="pct"/>
                <w:shd w:val="clear" w:color="auto" w:fill="FFFFFF" w:themeFill="background2"/>
                <w:vAlign w:val="center"/>
              </w:tcPr>
              <w:p w14:paraId="1FE4A184" w14:textId="1BDB061A"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13</w:t>
                </w:r>
              </w:p>
            </w:tc>
            <w:tc>
              <w:tcPr>
                <w:tcW w:w="417" w:type="pct"/>
                <w:shd w:val="clear" w:color="auto" w:fill="FFFFFF" w:themeFill="background2"/>
                <w:vAlign w:val="center"/>
              </w:tcPr>
              <w:p w14:paraId="2115126E" w14:textId="3C85DE39"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30</w:t>
                </w:r>
              </w:p>
            </w:tc>
            <w:tc>
              <w:tcPr>
                <w:tcW w:w="417" w:type="pct"/>
                <w:shd w:val="clear" w:color="auto" w:fill="FFFFFF" w:themeFill="background2"/>
                <w:vAlign w:val="center"/>
              </w:tcPr>
              <w:p w14:paraId="4070D8C2" w14:textId="76AB152F"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50</w:t>
                </w:r>
              </w:p>
            </w:tc>
            <w:tc>
              <w:tcPr>
                <w:tcW w:w="417" w:type="pct"/>
                <w:shd w:val="clear" w:color="auto" w:fill="FFFFFF" w:themeFill="background2"/>
                <w:vAlign w:val="center"/>
              </w:tcPr>
              <w:p w14:paraId="4438594D" w14:textId="1C589C2B"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103</w:t>
                </w:r>
              </w:p>
            </w:tc>
            <w:tc>
              <w:tcPr>
                <w:tcW w:w="417" w:type="pct"/>
                <w:shd w:val="clear" w:color="auto" w:fill="FFFFFF" w:themeFill="background2"/>
                <w:vAlign w:val="center"/>
              </w:tcPr>
              <w:p w14:paraId="40C6BC1C" w14:textId="0E6BED46"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0.06%</w:t>
                </w:r>
              </w:p>
            </w:tc>
            <w:tc>
              <w:tcPr>
                <w:tcW w:w="417" w:type="pct"/>
                <w:shd w:val="clear" w:color="auto" w:fill="FFFFFF" w:themeFill="background2"/>
                <w:vAlign w:val="center"/>
              </w:tcPr>
              <w:p w14:paraId="232B4F8C" w14:textId="5D7A4D20"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0.17%</w:t>
                </w:r>
              </w:p>
            </w:tc>
            <w:tc>
              <w:tcPr>
                <w:tcW w:w="417" w:type="pct"/>
                <w:shd w:val="clear" w:color="auto" w:fill="FFFFFF" w:themeFill="background2"/>
                <w:vAlign w:val="center"/>
              </w:tcPr>
              <w:p w14:paraId="4F976B60" w14:textId="37EDB565"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0.39%</w:t>
                </w:r>
              </w:p>
            </w:tc>
            <w:tc>
              <w:tcPr>
                <w:tcW w:w="417" w:type="pct"/>
                <w:shd w:val="clear" w:color="auto" w:fill="FFFFFF" w:themeFill="background2"/>
                <w:vAlign w:val="center"/>
              </w:tcPr>
              <w:p w14:paraId="7EFF2095" w14:textId="3554A554"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0.64%</w:t>
                </w:r>
              </w:p>
            </w:tc>
            <w:tc>
              <w:tcPr>
                <w:tcW w:w="413" w:type="pct"/>
                <w:shd w:val="clear" w:color="auto" w:fill="FFFFFF" w:themeFill="background2"/>
                <w:vAlign w:val="center"/>
              </w:tcPr>
              <w:p w14:paraId="1C91E4C0" w14:textId="0B5765DB"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1.33%</w:t>
                </w:r>
              </w:p>
            </w:tc>
          </w:tr>
          <w:tr w:rsidR="00CE6998" w:rsidRPr="00B57F38" w14:paraId="789FD7BF" w14:textId="77777777" w:rsidTr="00AC7D4E">
            <w:trPr>
              <w:trHeight w:val="227"/>
            </w:trPr>
            <w:tc>
              <w:tcPr>
                <w:tcW w:w="343" w:type="pct"/>
                <w:shd w:val="clear" w:color="auto" w:fill="FFFFFF" w:themeFill="background2"/>
                <w:tcMar>
                  <w:top w:w="60" w:type="dxa"/>
                  <w:left w:w="114" w:type="dxa"/>
                  <w:bottom w:w="60" w:type="dxa"/>
                  <w:right w:w="114" w:type="dxa"/>
                </w:tcMar>
                <w:vAlign w:val="center"/>
              </w:tcPr>
              <w:p w14:paraId="6107FB39" w14:textId="77777777" w:rsidR="00CE6998" w:rsidRPr="00B57F38" w:rsidRDefault="00CE6998" w:rsidP="008A3D29">
                <w:pPr>
                  <w:spacing w:before="0" w:line="240" w:lineRule="auto"/>
                  <w:jc w:val="left"/>
                  <w:rPr>
                    <w:rFonts w:eastAsia="Times New Roman" w:cs="Segoe UI"/>
                    <w:b/>
                    <w:bCs/>
                    <w:sz w:val="14"/>
                    <w:szCs w:val="14"/>
                    <w:lang w:val="en-GB" w:eastAsia="it-IT"/>
                  </w:rPr>
                </w:pPr>
                <w:r w:rsidRPr="00B57F38">
                  <w:rPr>
                    <w:rFonts w:cs="Segoe UI"/>
                    <w:b/>
                    <w:bCs/>
                    <w:sz w:val="14"/>
                    <w:szCs w:val="14"/>
                    <w:lang w:eastAsia="it-IT"/>
                  </w:rPr>
                  <w:t>B1.1</w:t>
                </w:r>
              </w:p>
            </w:tc>
            <w:tc>
              <w:tcPr>
                <w:tcW w:w="491" w:type="pct"/>
                <w:shd w:val="clear" w:color="auto" w:fill="FFFFFF" w:themeFill="background2"/>
                <w:tcMar>
                  <w:top w:w="60" w:type="dxa"/>
                  <w:left w:w="114" w:type="dxa"/>
                  <w:bottom w:w="60" w:type="dxa"/>
                  <w:right w:w="114" w:type="dxa"/>
                </w:tcMar>
                <w:vAlign w:val="center"/>
              </w:tcPr>
              <w:p w14:paraId="0A3DA8FB" w14:textId="32EB29F9"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10,959</w:t>
                </w:r>
              </w:p>
            </w:tc>
            <w:tc>
              <w:tcPr>
                <w:tcW w:w="417" w:type="pct"/>
                <w:shd w:val="clear" w:color="auto" w:fill="FFFFFF" w:themeFill="background2"/>
                <w:tcMar>
                  <w:top w:w="60" w:type="dxa"/>
                  <w:left w:w="114" w:type="dxa"/>
                  <w:bottom w:w="60" w:type="dxa"/>
                  <w:right w:w="114" w:type="dxa"/>
                </w:tcMar>
                <w:vAlign w:val="center"/>
              </w:tcPr>
              <w:p w14:paraId="7A884E8A" w14:textId="02B5FDC4"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18</w:t>
                </w:r>
              </w:p>
            </w:tc>
            <w:tc>
              <w:tcPr>
                <w:tcW w:w="417" w:type="pct"/>
                <w:shd w:val="clear" w:color="auto" w:fill="FFFFFF" w:themeFill="background2"/>
                <w:vAlign w:val="center"/>
              </w:tcPr>
              <w:p w14:paraId="5A3A0E86" w14:textId="1AD5068C"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50</w:t>
                </w:r>
              </w:p>
            </w:tc>
            <w:tc>
              <w:tcPr>
                <w:tcW w:w="417" w:type="pct"/>
                <w:shd w:val="clear" w:color="auto" w:fill="FFFFFF" w:themeFill="background2"/>
                <w:vAlign w:val="center"/>
              </w:tcPr>
              <w:p w14:paraId="004C1768" w14:textId="7968E121"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117</w:t>
                </w:r>
              </w:p>
            </w:tc>
            <w:tc>
              <w:tcPr>
                <w:tcW w:w="417" w:type="pct"/>
                <w:shd w:val="clear" w:color="auto" w:fill="FFFFFF" w:themeFill="background2"/>
                <w:vAlign w:val="center"/>
              </w:tcPr>
              <w:p w14:paraId="022A9367" w14:textId="4791AFA4"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157</w:t>
                </w:r>
              </w:p>
            </w:tc>
            <w:tc>
              <w:tcPr>
                <w:tcW w:w="417" w:type="pct"/>
                <w:shd w:val="clear" w:color="auto" w:fill="FFFFFF" w:themeFill="background2"/>
                <w:vAlign w:val="center"/>
              </w:tcPr>
              <w:p w14:paraId="366586C0" w14:textId="3B0BFBC6"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270</w:t>
                </w:r>
              </w:p>
            </w:tc>
            <w:tc>
              <w:tcPr>
                <w:tcW w:w="417" w:type="pct"/>
                <w:shd w:val="clear" w:color="auto" w:fill="FFFFFF" w:themeFill="background2"/>
                <w:vAlign w:val="center"/>
              </w:tcPr>
              <w:p w14:paraId="6FEF3BAB" w14:textId="55C6A28F"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0.16%</w:t>
                </w:r>
              </w:p>
            </w:tc>
            <w:tc>
              <w:tcPr>
                <w:tcW w:w="417" w:type="pct"/>
                <w:shd w:val="clear" w:color="auto" w:fill="FFFFFF" w:themeFill="background2"/>
                <w:vAlign w:val="center"/>
              </w:tcPr>
              <w:p w14:paraId="47D0F76C" w14:textId="40573AAA"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0.46%</w:t>
                </w:r>
              </w:p>
            </w:tc>
            <w:tc>
              <w:tcPr>
                <w:tcW w:w="417" w:type="pct"/>
                <w:shd w:val="clear" w:color="auto" w:fill="FFFFFF" w:themeFill="background2"/>
                <w:vAlign w:val="center"/>
              </w:tcPr>
              <w:p w14:paraId="36B0BE14" w14:textId="6D72691E"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1.07%</w:t>
                </w:r>
              </w:p>
            </w:tc>
            <w:tc>
              <w:tcPr>
                <w:tcW w:w="417" w:type="pct"/>
                <w:shd w:val="clear" w:color="auto" w:fill="FFFFFF" w:themeFill="background2"/>
                <w:vAlign w:val="center"/>
              </w:tcPr>
              <w:p w14:paraId="3578E8EC" w14:textId="59378A2D"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1.43%</w:t>
                </w:r>
              </w:p>
            </w:tc>
            <w:tc>
              <w:tcPr>
                <w:tcW w:w="413" w:type="pct"/>
                <w:shd w:val="clear" w:color="auto" w:fill="FFFFFF" w:themeFill="background2"/>
                <w:vAlign w:val="center"/>
              </w:tcPr>
              <w:p w14:paraId="7A8C6F89" w14:textId="42BCB7F0"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2.46%</w:t>
                </w:r>
              </w:p>
            </w:tc>
          </w:tr>
          <w:tr w:rsidR="00CE6998" w:rsidRPr="00B57F38" w14:paraId="1C82461A" w14:textId="77777777" w:rsidTr="00AC7D4E">
            <w:trPr>
              <w:trHeight w:val="227"/>
            </w:trPr>
            <w:tc>
              <w:tcPr>
                <w:tcW w:w="343" w:type="pct"/>
                <w:shd w:val="clear" w:color="auto" w:fill="FFFFFF" w:themeFill="background2"/>
                <w:tcMar>
                  <w:top w:w="60" w:type="dxa"/>
                  <w:left w:w="114" w:type="dxa"/>
                  <w:bottom w:w="60" w:type="dxa"/>
                  <w:right w:w="114" w:type="dxa"/>
                </w:tcMar>
                <w:vAlign w:val="center"/>
              </w:tcPr>
              <w:p w14:paraId="2724B9B1" w14:textId="77777777" w:rsidR="00CE6998" w:rsidRPr="00B57F38" w:rsidRDefault="00CE6998" w:rsidP="008A3D29">
                <w:pPr>
                  <w:spacing w:before="0" w:line="240" w:lineRule="auto"/>
                  <w:jc w:val="left"/>
                  <w:rPr>
                    <w:rFonts w:eastAsia="Times New Roman" w:cs="Segoe UI"/>
                    <w:b/>
                    <w:bCs/>
                    <w:sz w:val="14"/>
                    <w:szCs w:val="14"/>
                    <w:lang w:val="en-GB" w:eastAsia="it-IT"/>
                  </w:rPr>
                </w:pPr>
                <w:r w:rsidRPr="00B57F38">
                  <w:rPr>
                    <w:rFonts w:cs="Segoe UI"/>
                    <w:b/>
                    <w:bCs/>
                    <w:sz w:val="14"/>
                    <w:szCs w:val="14"/>
                    <w:lang w:eastAsia="it-IT"/>
                  </w:rPr>
                  <w:t>B1.2</w:t>
                </w:r>
              </w:p>
            </w:tc>
            <w:tc>
              <w:tcPr>
                <w:tcW w:w="491" w:type="pct"/>
                <w:shd w:val="clear" w:color="auto" w:fill="FFFFFF" w:themeFill="background2"/>
                <w:tcMar>
                  <w:top w:w="60" w:type="dxa"/>
                  <w:left w:w="114" w:type="dxa"/>
                  <w:bottom w:w="60" w:type="dxa"/>
                  <w:right w:w="114" w:type="dxa"/>
                </w:tcMar>
                <w:vAlign w:val="center"/>
              </w:tcPr>
              <w:p w14:paraId="46F48627" w14:textId="5CE958FD"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16,334</w:t>
                </w:r>
              </w:p>
            </w:tc>
            <w:tc>
              <w:tcPr>
                <w:tcW w:w="417" w:type="pct"/>
                <w:shd w:val="clear" w:color="auto" w:fill="FFFFFF" w:themeFill="background2"/>
                <w:tcMar>
                  <w:top w:w="60" w:type="dxa"/>
                  <w:left w:w="114" w:type="dxa"/>
                  <w:bottom w:w="60" w:type="dxa"/>
                  <w:right w:w="114" w:type="dxa"/>
                </w:tcMar>
                <w:vAlign w:val="center"/>
              </w:tcPr>
              <w:p w14:paraId="2DCB719E" w14:textId="7F07C3D7"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79</w:t>
                </w:r>
              </w:p>
            </w:tc>
            <w:tc>
              <w:tcPr>
                <w:tcW w:w="417" w:type="pct"/>
                <w:shd w:val="clear" w:color="auto" w:fill="FFFFFF" w:themeFill="background2"/>
                <w:vAlign w:val="center"/>
              </w:tcPr>
              <w:p w14:paraId="70D28001" w14:textId="67F0F874"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210</w:t>
                </w:r>
              </w:p>
            </w:tc>
            <w:tc>
              <w:tcPr>
                <w:tcW w:w="417" w:type="pct"/>
                <w:shd w:val="clear" w:color="auto" w:fill="FFFFFF" w:themeFill="background2"/>
                <w:vAlign w:val="center"/>
              </w:tcPr>
              <w:p w14:paraId="56859CC0" w14:textId="227862F8"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437</w:t>
                </w:r>
              </w:p>
            </w:tc>
            <w:tc>
              <w:tcPr>
                <w:tcW w:w="417" w:type="pct"/>
                <w:shd w:val="clear" w:color="auto" w:fill="FFFFFF" w:themeFill="background2"/>
                <w:vAlign w:val="center"/>
              </w:tcPr>
              <w:p w14:paraId="5EDB4B4A" w14:textId="7F797BFD"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562</w:t>
                </w:r>
              </w:p>
            </w:tc>
            <w:tc>
              <w:tcPr>
                <w:tcW w:w="417" w:type="pct"/>
                <w:shd w:val="clear" w:color="auto" w:fill="FFFFFF" w:themeFill="background2"/>
                <w:vAlign w:val="center"/>
              </w:tcPr>
              <w:p w14:paraId="1DE4320C" w14:textId="72968614"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895</w:t>
                </w:r>
              </w:p>
            </w:tc>
            <w:tc>
              <w:tcPr>
                <w:tcW w:w="417" w:type="pct"/>
                <w:shd w:val="clear" w:color="auto" w:fill="FFFFFF" w:themeFill="background2"/>
                <w:vAlign w:val="center"/>
              </w:tcPr>
              <w:p w14:paraId="5660B9DE" w14:textId="13A2A022"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0.48%</w:t>
                </w:r>
              </w:p>
            </w:tc>
            <w:tc>
              <w:tcPr>
                <w:tcW w:w="417" w:type="pct"/>
                <w:shd w:val="clear" w:color="auto" w:fill="FFFFFF" w:themeFill="background2"/>
                <w:vAlign w:val="center"/>
              </w:tcPr>
              <w:p w14:paraId="57C76CBD" w14:textId="60E5FD5C"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1.29%</w:t>
                </w:r>
              </w:p>
            </w:tc>
            <w:tc>
              <w:tcPr>
                <w:tcW w:w="417" w:type="pct"/>
                <w:shd w:val="clear" w:color="auto" w:fill="FFFFFF" w:themeFill="background2"/>
                <w:vAlign w:val="center"/>
              </w:tcPr>
              <w:p w14:paraId="18A36880" w14:textId="7235976C"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2.68%</w:t>
                </w:r>
              </w:p>
            </w:tc>
            <w:tc>
              <w:tcPr>
                <w:tcW w:w="417" w:type="pct"/>
                <w:shd w:val="clear" w:color="auto" w:fill="FFFFFF" w:themeFill="background2"/>
                <w:vAlign w:val="center"/>
              </w:tcPr>
              <w:p w14:paraId="4FECC82C" w14:textId="0CFF04BF"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3.44%</w:t>
                </w:r>
              </w:p>
            </w:tc>
            <w:tc>
              <w:tcPr>
                <w:tcW w:w="413" w:type="pct"/>
                <w:shd w:val="clear" w:color="auto" w:fill="FFFFFF" w:themeFill="background2"/>
                <w:vAlign w:val="center"/>
              </w:tcPr>
              <w:p w14:paraId="49C81960" w14:textId="2E65C644"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5.48%</w:t>
                </w:r>
              </w:p>
            </w:tc>
          </w:tr>
          <w:tr w:rsidR="00CE6998" w:rsidRPr="00B57F38" w14:paraId="021DDC3F" w14:textId="77777777" w:rsidTr="00AC7D4E">
            <w:trPr>
              <w:trHeight w:val="227"/>
            </w:trPr>
            <w:tc>
              <w:tcPr>
                <w:tcW w:w="343" w:type="pct"/>
                <w:shd w:val="clear" w:color="auto" w:fill="FFFFFF" w:themeFill="background2"/>
                <w:tcMar>
                  <w:top w:w="60" w:type="dxa"/>
                  <w:left w:w="114" w:type="dxa"/>
                  <w:bottom w:w="60" w:type="dxa"/>
                  <w:right w:w="114" w:type="dxa"/>
                </w:tcMar>
                <w:vAlign w:val="center"/>
              </w:tcPr>
              <w:p w14:paraId="4CC81F33" w14:textId="77777777" w:rsidR="00CE6998" w:rsidRPr="00B57F38" w:rsidRDefault="00CE6998" w:rsidP="008A3D29">
                <w:pPr>
                  <w:spacing w:before="0" w:line="240" w:lineRule="auto"/>
                  <w:jc w:val="left"/>
                  <w:rPr>
                    <w:rFonts w:eastAsia="Times New Roman" w:cs="Segoe UI"/>
                    <w:b/>
                    <w:bCs/>
                    <w:sz w:val="14"/>
                    <w:szCs w:val="14"/>
                    <w:lang w:val="en-GB" w:eastAsia="it-IT"/>
                  </w:rPr>
                </w:pPr>
                <w:r w:rsidRPr="00B57F38">
                  <w:rPr>
                    <w:rFonts w:cs="Segoe UI"/>
                    <w:b/>
                    <w:bCs/>
                    <w:sz w:val="14"/>
                    <w:szCs w:val="14"/>
                    <w:lang w:eastAsia="it-IT"/>
                  </w:rPr>
                  <w:t>B2.1</w:t>
                </w:r>
              </w:p>
            </w:tc>
            <w:tc>
              <w:tcPr>
                <w:tcW w:w="491" w:type="pct"/>
                <w:shd w:val="clear" w:color="auto" w:fill="FFFFFF" w:themeFill="background2"/>
                <w:tcMar>
                  <w:top w:w="60" w:type="dxa"/>
                  <w:left w:w="114" w:type="dxa"/>
                  <w:bottom w:w="60" w:type="dxa"/>
                  <w:right w:w="114" w:type="dxa"/>
                </w:tcMar>
                <w:vAlign w:val="center"/>
              </w:tcPr>
              <w:p w14:paraId="3461B381" w14:textId="1173DEFF"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19,033</w:t>
                </w:r>
              </w:p>
            </w:tc>
            <w:tc>
              <w:tcPr>
                <w:tcW w:w="417" w:type="pct"/>
                <w:shd w:val="clear" w:color="auto" w:fill="FFFFFF" w:themeFill="background2"/>
                <w:tcMar>
                  <w:top w:w="60" w:type="dxa"/>
                  <w:left w:w="114" w:type="dxa"/>
                  <w:bottom w:w="60" w:type="dxa"/>
                  <w:right w:w="114" w:type="dxa"/>
                </w:tcMar>
                <w:vAlign w:val="center"/>
              </w:tcPr>
              <w:p w14:paraId="23303CBF" w14:textId="253E8A45"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267</w:t>
                </w:r>
              </w:p>
            </w:tc>
            <w:tc>
              <w:tcPr>
                <w:tcW w:w="417" w:type="pct"/>
                <w:shd w:val="clear" w:color="auto" w:fill="FFFFFF" w:themeFill="background2"/>
                <w:vAlign w:val="center"/>
              </w:tcPr>
              <w:p w14:paraId="0C973FE9" w14:textId="6B4B444B"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617</w:t>
                </w:r>
              </w:p>
            </w:tc>
            <w:tc>
              <w:tcPr>
                <w:tcW w:w="417" w:type="pct"/>
                <w:shd w:val="clear" w:color="auto" w:fill="FFFFFF" w:themeFill="background2"/>
                <w:vAlign w:val="center"/>
              </w:tcPr>
              <w:p w14:paraId="217B7CED" w14:textId="4187D92C"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1,155</w:t>
                </w:r>
              </w:p>
            </w:tc>
            <w:tc>
              <w:tcPr>
                <w:tcW w:w="417" w:type="pct"/>
                <w:shd w:val="clear" w:color="auto" w:fill="FFFFFF" w:themeFill="background2"/>
                <w:vAlign w:val="center"/>
              </w:tcPr>
              <w:p w14:paraId="19745B2E" w14:textId="13A3446E"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1,404</w:t>
                </w:r>
              </w:p>
            </w:tc>
            <w:tc>
              <w:tcPr>
                <w:tcW w:w="417" w:type="pct"/>
                <w:shd w:val="clear" w:color="auto" w:fill="FFFFFF" w:themeFill="background2"/>
                <w:vAlign w:val="center"/>
              </w:tcPr>
              <w:p w14:paraId="1FDAA757" w14:textId="7984E276"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2,070</w:t>
                </w:r>
              </w:p>
            </w:tc>
            <w:tc>
              <w:tcPr>
                <w:tcW w:w="417" w:type="pct"/>
                <w:shd w:val="clear" w:color="auto" w:fill="FFFFFF" w:themeFill="background2"/>
                <w:vAlign w:val="center"/>
              </w:tcPr>
              <w:p w14:paraId="22526DDA" w14:textId="79F0B30A"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1.40%</w:t>
                </w:r>
              </w:p>
            </w:tc>
            <w:tc>
              <w:tcPr>
                <w:tcW w:w="417" w:type="pct"/>
                <w:shd w:val="clear" w:color="auto" w:fill="FFFFFF" w:themeFill="background2"/>
                <w:vAlign w:val="center"/>
              </w:tcPr>
              <w:p w14:paraId="4F4D1558" w14:textId="22116F4F" w:rsidR="00CE6998" w:rsidRPr="00B57F38" w:rsidRDefault="00CE6998" w:rsidP="00B57F38">
                <w:pPr>
                  <w:spacing w:before="0" w:line="240" w:lineRule="auto"/>
                  <w:jc w:val="center"/>
                  <w:rPr>
                    <w:b/>
                    <w:color w:val="33A1AB" w:themeColor="accent2"/>
                    <w:sz w:val="14"/>
                    <w:szCs w:val="14"/>
                  </w:rPr>
                </w:pPr>
                <w:r w:rsidRPr="00B57F38">
                  <w:rPr>
                    <w:rFonts w:eastAsia="Times New Roman" w:cs="Segoe UI"/>
                    <w:sz w:val="14"/>
                    <w:szCs w:val="14"/>
                    <w:lang w:val="en-GB" w:eastAsia="it-IT"/>
                  </w:rPr>
                  <w:t>3.24%</w:t>
                </w:r>
              </w:p>
            </w:tc>
            <w:tc>
              <w:tcPr>
                <w:tcW w:w="417" w:type="pct"/>
                <w:shd w:val="clear" w:color="auto" w:fill="FFFFFF" w:themeFill="background2"/>
                <w:vAlign w:val="center"/>
              </w:tcPr>
              <w:p w14:paraId="5B389FF1" w14:textId="11E7FA1A" w:rsidR="00CE6998" w:rsidRPr="00B57F38" w:rsidRDefault="00CE6998" w:rsidP="00B57F38">
                <w:pPr>
                  <w:spacing w:before="0" w:line="240" w:lineRule="auto"/>
                  <w:jc w:val="center"/>
                  <w:rPr>
                    <w:b/>
                    <w:color w:val="33A1AB" w:themeColor="accent2"/>
                    <w:sz w:val="14"/>
                    <w:szCs w:val="14"/>
                  </w:rPr>
                </w:pPr>
                <w:r w:rsidRPr="00B57F38">
                  <w:rPr>
                    <w:rFonts w:eastAsia="Times New Roman" w:cs="Segoe UI"/>
                    <w:sz w:val="14"/>
                    <w:szCs w:val="14"/>
                    <w:lang w:val="en-GB" w:eastAsia="it-IT"/>
                  </w:rPr>
                  <w:t>6.07%</w:t>
                </w:r>
              </w:p>
            </w:tc>
            <w:tc>
              <w:tcPr>
                <w:tcW w:w="417" w:type="pct"/>
                <w:shd w:val="clear" w:color="auto" w:fill="FFFFFF" w:themeFill="background2"/>
                <w:vAlign w:val="center"/>
              </w:tcPr>
              <w:p w14:paraId="265CCBA0" w14:textId="0B72671A" w:rsidR="00CE6998" w:rsidRPr="00B57F38" w:rsidRDefault="00CE6998" w:rsidP="00B57F38">
                <w:pPr>
                  <w:spacing w:before="0" w:line="240" w:lineRule="auto"/>
                  <w:jc w:val="center"/>
                  <w:rPr>
                    <w:b/>
                    <w:color w:val="33A1AB" w:themeColor="accent2"/>
                    <w:sz w:val="14"/>
                    <w:szCs w:val="14"/>
                  </w:rPr>
                </w:pPr>
                <w:r w:rsidRPr="00B57F38">
                  <w:rPr>
                    <w:rFonts w:eastAsia="Times New Roman" w:cs="Segoe UI"/>
                    <w:sz w:val="14"/>
                    <w:szCs w:val="14"/>
                    <w:lang w:val="en-GB" w:eastAsia="it-IT"/>
                  </w:rPr>
                  <w:t>7.38%</w:t>
                </w:r>
              </w:p>
            </w:tc>
            <w:tc>
              <w:tcPr>
                <w:tcW w:w="413" w:type="pct"/>
                <w:shd w:val="clear" w:color="auto" w:fill="FFFFFF" w:themeFill="background2"/>
                <w:vAlign w:val="center"/>
              </w:tcPr>
              <w:p w14:paraId="50FC8241" w14:textId="3EEA1801" w:rsidR="00CE6998" w:rsidRPr="00B57F38" w:rsidRDefault="00CE6998" w:rsidP="00B57F38">
                <w:pPr>
                  <w:spacing w:before="0" w:line="240" w:lineRule="auto"/>
                  <w:jc w:val="center"/>
                  <w:rPr>
                    <w:b/>
                    <w:color w:val="33A1AB" w:themeColor="accent2"/>
                    <w:sz w:val="14"/>
                    <w:szCs w:val="14"/>
                  </w:rPr>
                </w:pPr>
                <w:r w:rsidRPr="00B57F38">
                  <w:rPr>
                    <w:rFonts w:eastAsia="Times New Roman" w:cs="Segoe UI"/>
                    <w:sz w:val="14"/>
                    <w:szCs w:val="14"/>
                    <w:lang w:val="en-GB" w:eastAsia="it-IT"/>
                  </w:rPr>
                  <w:t>10.88%</w:t>
                </w:r>
              </w:p>
            </w:tc>
          </w:tr>
          <w:tr w:rsidR="00CE6998" w:rsidRPr="00B57F38" w14:paraId="162D84A3" w14:textId="77777777" w:rsidTr="00AC7D4E">
            <w:trPr>
              <w:trHeight w:val="227"/>
            </w:trPr>
            <w:tc>
              <w:tcPr>
                <w:tcW w:w="343" w:type="pct"/>
                <w:shd w:val="clear" w:color="auto" w:fill="FFFFFF" w:themeFill="background2"/>
                <w:tcMar>
                  <w:top w:w="60" w:type="dxa"/>
                  <w:left w:w="114" w:type="dxa"/>
                  <w:bottom w:w="60" w:type="dxa"/>
                  <w:right w:w="114" w:type="dxa"/>
                </w:tcMar>
                <w:vAlign w:val="center"/>
              </w:tcPr>
              <w:p w14:paraId="4E970E30" w14:textId="77777777" w:rsidR="00CE6998" w:rsidRPr="00B57F38" w:rsidRDefault="00CE6998" w:rsidP="008A3D29">
                <w:pPr>
                  <w:spacing w:before="0" w:line="240" w:lineRule="auto"/>
                  <w:jc w:val="left"/>
                  <w:rPr>
                    <w:rFonts w:eastAsia="Times New Roman" w:cs="Segoe UI"/>
                    <w:b/>
                    <w:bCs/>
                    <w:sz w:val="14"/>
                    <w:szCs w:val="14"/>
                    <w:lang w:val="en-GB" w:eastAsia="it-IT"/>
                  </w:rPr>
                </w:pPr>
                <w:r w:rsidRPr="00B57F38">
                  <w:rPr>
                    <w:rFonts w:cs="Segoe UI"/>
                    <w:b/>
                    <w:bCs/>
                    <w:sz w:val="14"/>
                    <w:szCs w:val="14"/>
                    <w:lang w:eastAsia="it-IT"/>
                  </w:rPr>
                  <w:t>B2.2</w:t>
                </w:r>
              </w:p>
            </w:tc>
            <w:tc>
              <w:tcPr>
                <w:tcW w:w="491" w:type="pct"/>
                <w:shd w:val="clear" w:color="auto" w:fill="FFFFFF" w:themeFill="background2"/>
                <w:tcMar>
                  <w:top w:w="60" w:type="dxa"/>
                  <w:left w:w="114" w:type="dxa"/>
                  <w:bottom w:w="60" w:type="dxa"/>
                  <w:right w:w="114" w:type="dxa"/>
                </w:tcMar>
                <w:vAlign w:val="center"/>
              </w:tcPr>
              <w:p w14:paraId="14083536" w14:textId="35A7A3BF"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9,153</w:t>
                </w:r>
              </w:p>
            </w:tc>
            <w:tc>
              <w:tcPr>
                <w:tcW w:w="417" w:type="pct"/>
                <w:shd w:val="clear" w:color="auto" w:fill="FFFFFF" w:themeFill="background2"/>
                <w:tcMar>
                  <w:top w:w="60" w:type="dxa"/>
                  <w:left w:w="114" w:type="dxa"/>
                  <w:bottom w:w="60" w:type="dxa"/>
                  <w:right w:w="114" w:type="dxa"/>
                </w:tcMar>
                <w:vAlign w:val="center"/>
              </w:tcPr>
              <w:p w14:paraId="19EE2712" w14:textId="7B41B7DD"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264</w:t>
                </w:r>
              </w:p>
            </w:tc>
            <w:tc>
              <w:tcPr>
                <w:tcW w:w="417" w:type="pct"/>
                <w:shd w:val="clear" w:color="auto" w:fill="FFFFFF" w:themeFill="background2"/>
                <w:vAlign w:val="center"/>
              </w:tcPr>
              <w:p w14:paraId="605D97D5" w14:textId="2337A58E"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578</w:t>
                </w:r>
              </w:p>
            </w:tc>
            <w:tc>
              <w:tcPr>
                <w:tcW w:w="417" w:type="pct"/>
                <w:shd w:val="clear" w:color="auto" w:fill="FFFFFF" w:themeFill="background2"/>
                <w:vAlign w:val="center"/>
              </w:tcPr>
              <w:p w14:paraId="0196AC5C" w14:textId="28D6ED43"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1,054</w:t>
                </w:r>
              </w:p>
            </w:tc>
            <w:tc>
              <w:tcPr>
                <w:tcW w:w="417" w:type="pct"/>
                <w:shd w:val="clear" w:color="auto" w:fill="FFFFFF" w:themeFill="background2"/>
                <w:vAlign w:val="center"/>
              </w:tcPr>
              <w:p w14:paraId="0C5F0111" w14:textId="5858F16A"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1,246</w:t>
                </w:r>
              </w:p>
            </w:tc>
            <w:tc>
              <w:tcPr>
                <w:tcW w:w="417" w:type="pct"/>
                <w:shd w:val="clear" w:color="auto" w:fill="FFFFFF" w:themeFill="background2"/>
                <w:vAlign w:val="center"/>
              </w:tcPr>
              <w:p w14:paraId="33B8B322" w14:textId="673253AF"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1,704</w:t>
                </w:r>
              </w:p>
            </w:tc>
            <w:tc>
              <w:tcPr>
                <w:tcW w:w="417" w:type="pct"/>
                <w:shd w:val="clear" w:color="auto" w:fill="FFFFFF" w:themeFill="background2"/>
                <w:vAlign w:val="center"/>
              </w:tcPr>
              <w:p w14:paraId="4FBCE90B" w14:textId="10C15B29"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2.88%</w:t>
                </w:r>
              </w:p>
            </w:tc>
            <w:tc>
              <w:tcPr>
                <w:tcW w:w="417" w:type="pct"/>
                <w:shd w:val="clear" w:color="auto" w:fill="FFFFFF" w:themeFill="background2"/>
                <w:vAlign w:val="center"/>
              </w:tcPr>
              <w:p w14:paraId="1D452A58" w14:textId="64D2EDAA"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6.31%</w:t>
                </w:r>
              </w:p>
            </w:tc>
            <w:tc>
              <w:tcPr>
                <w:tcW w:w="417" w:type="pct"/>
                <w:shd w:val="clear" w:color="auto" w:fill="FFFFFF" w:themeFill="background2"/>
                <w:vAlign w:val="center"/>
              </w:tcPr>
              <w:p w14:paraId="01763DF3" w14:textId="0AF46E53"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11.52%</w:t>
                </w:r>
              </w:p>
            </w:tc>
            <w:tc>
              <w:tcPr>
                <w:tcW w:w="417" w:type="pct"/>
                <w:shd w:val="clear" w:color="auto" w:fill="FFFFFF" w:themeFill="background2"/>
                <w:vAlign w:val="center"/>
              </w:tcPr>
              <w:p w14:paraId="30334DCC" w14:textId="5E391847"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13.61%</w:t>
                </w:r>
              </w:p>
            </w:tc>
            <w:tc>
              <w:tcPr>
                <w:tcW w:w="413" w:type="pct"/>
                <w:shd w:val="clear" w:color="auto" w:fill="FFFFFF" w:themeFill="background2"/>
                <w:vAlign w:val="center"/>
              </w:tcPr>
              <w:p w14:paraId="3B3C5FA1" w14:textId="4F65497D"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18.62%</w:t>
                </w:r>
              </w:p>
            </w:tc>
          </w:tr>
          <w:tr w:rsidR="00CE6998" w:rsidRPr="00B57F38" w14:paraId="18808D23" w14:textId="77777777" w:rsidTr="00AC7D4E">
            <w:trPr>
              <w:trHeight w:val="227"/>
            </w:trPr>
            <w:tc>
              <w:tcPr>
                <w:tcW w:w="343" w:type="pct"/>
                <w:shd w:val="clear" w:color="auto" w:fill="FFFFFF" w:themeFill="background2"/>
                <w:tcMar>
                  <w:top w:w="60" w:type="dxa"/>
                  <w:left w:w="114" w:type="dxa"/>
                  <w:bottom w:w="60" w:type="dxa"/>
                  <w:right w:w="114" w:type="dxa"/>
                </w:tcMar>
                <w:vAlign w:val="center"/>
              </w:tcPr>
              <w:p w14:paraId="6B46149D" w14:textId="77777777" w:rsidR="00CE6998" w:rsidRPr="00B57F38" w:rsidRDefault="00CE6998" w:rsidP="008A3D29">
                <w:pPr>
                  <w:spacing w:before="0" w:line="240" w:lineRule="auto"/>
                  <w:jc w:val="left"/>
                  <w:rPr>
                    <w:rFonts w:eastAsia="Times New Roman" w:cs="Segoe UI"/>
                    <w:b/>
                    <w:bCs/>
                    <w:sz w:val="14"/>
                    <w:szCs w:val="14"/>
                    <w:lang w:val="en-GB" w:eastAsia="it-IT"/>
                  </w:rPr>
                </w:pPr>
                <w:r w:rsidRPr="00B57F38">
                  <w:rPr>
                    <w:rFonts w:cs="Segoe UI"/>
                    <w:b/>
                    <w:bCs/>
                    <w:sz w:val="14"/>
                    <w:szCs w:val="14"/>
                    <w:lang w:eastAsia="it-IT"/>
                  </w:rPr>
                  <w:t>C1.1</w:t>
                </w:r>
              </w:p>
            </w:tc>
            <w:tc>
              <w:tcPr>
                <w:tcW w:w="491" w:type="pct"/>
                <w:shd w:val="clear" w:color="auto" w:fill="FFFFFF" w:themeFill="background2"/>
                <w:tcMar>
                  <w:top w:w="60" w:type="dxa"/>
                  <w:left w:w="114" w:type="dxa"/>
                  <w:bottom w:w="60" w:type="dxa"/>
                  <w:right w:w="114" w:type="dxa"/>
                </w:tcMar>
                <w:vAlign w:val="center"/>
              </w:tcPr>
              <w:p w14:paraId="7A91BC19" w14:textId="7BC11740"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10,049</w:t>
                </w:r>
              </w:p>
            </w:tc>
            <w:tc>
              <w:tcPr>
                <w:tcW w:w="417" w:type="pct"/>
                <w:shd w:val="clear" w:color="auto" w:fill="FFFFFF" w:themeFill="background2"/>
                <w:tcMar>
                  <w:top w:w="60" w:type="dxa"/>
                  <w:left w:w="114" w:type="dxa"/>
                  <w:bottom w:w="60" w:type="dxa"/>
                  <w:right w:w="114" w:type="dxa"/>
                </w:tcMar>
                <w:vAlign w:val="center"/>
              </w:tcPr>
              <w:p w14:paraId="43EA0F08" w14:textId="39A5E018"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590</w:t>
                </w:r>
              </w:p>
            </w:tc>
            <w:tc>
              <w:tcPr>
                <w:tcW w:w="417" w:type="pct"/>
                <w:shd w:val="clear" w:color="auto" w:fill="FFFFFF" w:themeFill="background2"/>
                <w:vAlign w:val="center"/>
              </w:tcPr>
              <w:p w14:paraId="054F7ACE" w14:textId="2B92DDA6"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1,168</w:t>
                </w:r>
              </w:p>
            </w:tc>
            <w:tc>
              <w:tcPr>
                <w:tcW w:w="417" w:type="pct"/>
                <w:shd w:val="clear" w:color="auto" w:fill="FFFFFF" w:themeFill="background2"/>
                <w:vAlign w:val="center"/>
              </w:tcPr>
              <w:p w14:paraId="5526DC98" w14:textId="3C4DF67B"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1,860</w:t>
                </w:r>
              </w:p>
            </w:tc>
            <w:tc>
              <w:tcPr>
                <w:tcW w:w="417" w:type="pct"/>
                <w:shd w:val="clear" w:color="auto" w:fill="FFFFFF" w:themeFill="background2"/>
                <w:vAlign w:val="center"/>
              </w:tcPr>
              <w:p w14:paraId="4EE9900E" w14:textId="15F5A9F9"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2,085</w:t>
                </w:r>
              </w:p>
            </w:tc>
            <w:tc>
              <w:tcPr>
                <w:tcW w:w="417" w:type="pct"/>
                <w:shd w:val="clear" w:color="auto" w:fill="FFFFFF" w:themeFill="background2"/>
                <w:vAlign w:val="center"/>
              </w:tcPr>
              <w:p w14:paraId="714844F2" w14:textId="0C866E68"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2,688</w:t>
                </w:r>
              </w:p>
            </w:tc>
            <w:tc>
              <w:tcPr>
                <w:tcW w:w="417" w:type="pct"/>
                <w:shd w:val="clear" w:color="auto" w:fill="FFFFFF" w:themeFill="background2"/>
                <w:vAlign w:val="center"/>
              </w:tcPr>
              <w:p w14:paraId="7C89EC46" w14:textId="1C46410F"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5.87%</w:t>
                </w:r>
              </w:p>
            </w:tc>
            <w:tc>
              <w:tcPr>
                <w:tcW w:w="417" w:type="pct"/>
                <w:shd w:val="clear" w:color="auto" w:fill="FFFFFF" w:themeFill="background2"/>
                <w:vAlign w:val="center"/>
              </w:tcPr>
              <w:p w14:paraId="523A3D14" w14:textId="4E3A958B"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11.62%</w:t>
                </w:r>
              </w:p>
            </w:tc>
            <w:tc>
              <w:tcPr>
                <w:tcW w:w="417" w:type="pct"/>
                <w:shd w:val="clear" w:color="auto" w:fill="FFFFFF" w:themeFill="background2"/>
                <w:vAlign w:val="center"/>
              </w:tcPr>
              <w:p w14:paraId="1F4607A7" w14:textId="3887DF12"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18.51%</w:t>
                </w:r>
              </w:p>
            </w:tc>
            <w:tc>
              <w:tcPr>
                <w:tcW w:w="417" w:type="pct"/>
                <w:shd w:val="clear" w:color="auto" w:fill="FFFFFF" w:themeFill="background2"/>
                <w:vAlign w:val="center"/>
              </w:tcPr>
              <w:p w14:paraId="5CA04DE9" w14:textId="4F858CC1"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20.75%</w:t>
                </w:r>
              </w:p>
            </w:tc>
            <w:tc>
              <w:tcPr>
                <w:tcW w:w="413" w:type="pct"/>
                <w:shd w:val="clear" w:color="auto" w:fill="FFFFFF" w:themeFill="background2"/>
                <w:vAlign w:val="center"/>
              </w:tcPr>
              <w:p w14:paraId="0CD9BEFC" w14:textId="5175B270"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26.75%</w:t>
                </w:r>
              </w:p>
            </w:tc>
          </w:tr>
          <w:tr w:rsidR="00CE6998" w:rsidRPr="00B57F38" w14:paraId="7958FB26" w14:textId="77777777" w:rsidTr="00AC7D4E">
            <w:trPr>
              <w:trHeight w:val="227"/>
            </w:trPr>
            <w:tc>
              <w:tcPr>
                <w:tcW w:w="343" w:type="pct"/>
                <w:shd w:val="clear" w:color="auto" w:fill="FFFFFF" w:themeFill="background2"/>
                <w:tcMar>
                  <w:top w:w="60" w:type="dxa"/>
                  <w:left w:w="114" w:type="dxa"/>
                  <w:bottom w:w="60" w:type="dxa"/>
                  <w:right w:w="114" w:type="dxa"/>
                </w:tcMar>
                <w:vAlign w:val="center"/>
              </w:tcPr>
              <w:p w14:paraId="16B3250D" w14:textId="77777777" w:rsidR="00CE6998" w:rsidRPr="00B57F38" w:rsidRDefault="00CE6998" w:rsidP="008A3D29">
                <w:pPr>
                  <w:spacing w:before="0" w:line="240" w:lineRule="auto"/>
                  <w:jc w:val="left"/>
                  <w:rPr>
                    <w:rFonts w:eastAsia="Times New Roman" w:cs="Segoe UI"/>
                    <w:b/>
                    <w:bCs/>
                    <w:sz w:val="14"/>
                    <w:szCs w:val="14"/>
                    <w:lang w:val="en-GB" w:eastAsia="it-IT"/>
                  </w:rPr>
                </w:pPr>
                <w:r w:rsidRPr="00B57F38">
                  <w:rPr>
                    <w:rFonts w:cs="Segoe UI"/>
                    <w:b/>
                    <w:bCs/>
                    <w:sz w:val="14"/>
                    <w:szCs w:val="14"/>
                    <w:lang w:eastAsia="it-IT"/>
                  </w:rPr>
                  <w:t>C1.2</w:t>
                </w:r>
              </w:p>
            </w:tc>
            <w:tc>
              <w:tcPr>
                <w:tcW w:w="491" w:type="pct"/>
                <w:shd w:val="clear" w:color="auto" w:fill="FFFFFF" w:themeFill="background2"/>
                <w:tcMar>
                  <w:top w:w="60" w:type="dxa"/>
                  <w:left w:w="114" w:type="dxa"/>
                  <w:bottom w:w="60" w:type="dxa"/>
                  <w:right w:w="114" w:type="dxa"/>
                </w:tcMar>
                <w:vAlign w:val="center"/>
              </w:tcPr>
              <w:p w14:paraId="71A11313" w14:textId="2B4B42DD"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3,996</w:t>
                </w:r>
              </w:p>
            </w:tc>
            <w:tc>
              <w:tcPr>
                <w:tcW w:w="417" w:type="pct"/>
                <w:shd w:val="clear" w:color="auto" w:fill="FFFFFF" w:themeFill="background2"/>
                <w:tcMar>
                  <w:top w:w="60" w:type="dxa"/>
                  <w:left w:w="114" w:type="dxa"/>
                  <w:bottom w:w="60" w:type="dxa"/>
                  <w:right w:w="114" w:type="dxa"/>
                </w:tcMar>
                <w:vAlign w:val="center"/>
              </w:tcPr>
              <w:p w14:paraId="4B65B850" w14:textId="0150D967"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643</w:t>
                </w:r>
              </w:p>
            </w:tc>
            <w:tc>
              <w:tcPr>
                <w:tcW w:w="417" w:type="pct"/>
                <w:shd w:val="clear" w:color="auto" w:fill="FFFFFF" w:themeFill="background2"/>
                <w:vAlign w:val="center"/>
              </w:tcPr>
              <w:p w14:paraId="185CAB02" w14:textId="15B0F1FA"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1,019</w:t>
                </w:r>
              </w:p>
            </w:tc>
            <w:tc>
              <w:tcPr>
                <w:tcW w:w="417" w:type="pct"/>
                <w:shd w:val="clear" w:color="auto" w:fill="FFFFFF" w:themeFill="background2"/>
                <w:vAlign w:val="center"/>
              </w:tcPr>
              <w:p w14:paraId="36192C51" w14:textId="403FC815"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1,387</w:t>
                </w:r>
              </w:p>
            </w:tc>
            <w:tc>
              <w:tcPr>
                <w:tcW w:w="417" w:type="pct"/>
                <w:shd w:val="clear" w:color="auto" w:fill="FFFFFF" w:themeFill="background2"/>
                <w:vAlign w:val="center"/>
              </w:tcPr>
              <w:p w14:paraId="7EC5E8ED" w14:textId="69EB9ED0"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1,467</w:t>
                </w:r>
              </w:p>
            </w:tc>
            <w:tc>
              <w:tcPr>
                <w:tcW w:w="417" w:type="pct"/>
                <w:shd w:val="clear" w:color="auto" w:fill="FFFFFF" w:themeFill="background2"/>
                <w:vAlign w:val="center"/>
              </w:tcPr>
              <w:p w14:paraId="0985D392" w14:textId="0F38772B"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1,714</w:t>
                </w:r>
              </w:p>
            </w:tc>
            <w:tc>
              <w:tcPr>
                <w:tcW w:w="417" w:type="pct"/>
                <w:shd w:val="clear" w:color="auto" w:fill="FFFFFF" w:themeFill="background2"/>
                <w:vAlign w:val="center"/>
              </w:tcPr>
              <w:p w14:paraId="6E124B19" w14:textId="04406BCA"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16.09%</w:t>
                </w:r>
              </w:p>
            </w:tc>
            <w:tc>
              <w:tcPr>
                <w:tcW w:w="417" w:type="pct"/>
                <w:shd w:val="clear" w:color="auto" w:fill="FFFFFF" w:themeFill="background2"/>
                <w:vAlign w:val="center"/>
              </w:tcPr>
              <w:p w14:paraId="4ED7EDBA" w14:textId="3673DC94"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25.50%</w:t>
                </w:r>
              </w:p>
            </w:tc>
            <w:tc>
              <w:tcPr>
                <w:tcW w:w="417" w:type="pct"/>
                <w:shd w:val="clear" w:color="auto" w:fill="FFFFFF" w:themeFill="background2"/>
                <w:vAlign w:val="center"/>
              </w:tcPr>
              <w:p w14:paraId="4CC7C4EC" w14:textId="15E1FC73"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34.71%</w:t>
                </w:r>
              </w:p>
            </w:tc>
            <w:tc>
              <w:tcPr>
                <w:tcW w:w="417" w:type="pct"/>
                <w:shd w:val="clear" w:color="auto" w:fill="FFFFFF" w:themeFill="background2"/>
                <w:vAlign w:val="center"/>
              </w:tcPr>
              <w:p w14:paraId="26DA6F19" w14:textId="199E83B9"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36.71%</w:t>
                </w:r>
              </w:p>
            </w:tc>
            <w:tc>
              <w:tcPr>
                <w:tcW w:w="413" w:type="pct"/>
                <w:shd w:val="clear" w:color="auto" w:fill="FFFFFF" w:themeFill="background2"/>
                <w:vAlign w:val="center"/>
              </w:tcPr>
              <w:p w14:paraId="24E4D1FF" w14:textId="71300FAB"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42.89%</w:t>
                </w:r>
              </w:p>
            </w:tc>
          </w:tr>
          <w:tr w:rsidR="00CE6998" w:rsidRPr="00B57F38" w14:paraId="150B58E5" w14:textId="77777777" w:rsidTr="00AC7D4E">
            <w:trPr>
              <w:trHeight w:val="227"/>
            </w:trPr>
            <w:tc>
              <w:tcPr>
                <w:tcW w:w="343" w:type="pct"/>
                <w:shd w:val="clear" w:color="auto" w:fill="FFFFFF" w:themeFill="background2"/>
                <w:tcMar>
                  <w:top w:w="60" w:type="dxa"/>
                  <w:left w:w="114" w:type="dxa"/>
                  <w:bottom w:w="60" w:type="dxa"/>
                  <w:right w:w="114" w:type="dxa"/>
                </w:tcMar>
                <w:vAlign w:val="center"/>
              </w:tcPr>
              <w:p w14:paraId="65A7E700" w14:textId="77777777" w:rsidR="00CE6998" w:rsidRPr="00B57F38" w:rsidRDefault="00CE6998" w:rsidP="008A3D29">
                <w:pPr>
                  <w:spacing w:before="0" w:line="240" w:lineRule="auto"/>
                  <w:jc w:val="left"/>
                  <w:rPr>
                    <w:rFonts w:eastAsia="Times New Roman" w:cs="Segoe UI"/>
                    <w:b/>
                    <w:bCs/>
                    <w:sz w:val="14"/>
                    <w:szCs w:val="14"/>
                    <w:lang w:val="en-GB" w:eastAsia="it-IT"/>
                  </w:rPr>
                </w:pPr>
                <w:r w:rsidRPr="00B57F38">
                  <w:rPr>
                    <w:rFonts w:cs="Segoe UI"/>
                    <w:b/>
                    <w:bCs/>
                    <w:sz w:val="14"/>
                    <w:szCs w:val="14"/>
                    <w:lang w:eastAsia="it-IT"/>
                  </w:rPr>
                  <w:t>C2.1</w:t>
                </w:r>
              </w:p>
            </w:tc>
            <w:tc>
              <w:tcPr>
                <w:tcW w:w="491" w:type="pct"/>
                <w:shd w:val="clear" w:color="auto" w:fill="FFFFFF" w:themeFill="background2"/>
                <w:tcMar>
                  <w:top w:w="60" w:type="dxa"/>
                  <w:left w:w="114" w:type="dxa"/>
                  <w:bottom w:w="60" w:type="dxa"/>
                  <w:right w:w="114" w:type="dxa"/>
                </w:tcMar>
                <w:vAlign w:val="center"/>
              </w:tcPr>
              <w:p w14:paraId="7555D120" w14:textId="5BD60D8D"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3,458</w:t>
                </w:r>
              </w:p>
            </w:tc>
            <w:tc>
              <w:tcPr>
                <w:tcW w:w="417" w:type="pct"/>
                <w:shd w:val="clear" w:color="auto" w:fill="FFFFFF" w:themeFill="background2"/>
                <w:tcMar>
                  <w:top w:w="60" w:type="dxa"/>
                  <w:left w:w="114" w:type="dxa"/>
                  <w:bottom w:w="60" w:type="dxa"/>
                  <w:right w:w="114" w:type="dxa"/>
                </w:tcMar>
                <w:vAlign w:val="center"/>
              </w:tcPr>
              <w:p w14:paraId="7844A891" w14:textId="3DD2D2EF"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1,860</w:t>
                </w:r>
              </w:p>
            </w:tc>
            <w:tc>
              <w:tcPr>
                <w:tcW w:w="417" w:type="pct"/>
                <w:shd w:val="clear" w:color="auto" w:fill="FFFFFF" w:themeFill="background2"/>
                <w:vAlign w:val="center"/>
              </w:tcPr>
              <w:p w14:paraId="7D03AAE6" w14:textId="5BF2E633"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2,136</w:t>
                </w:r>
              </w:p>
            </w:tc>
            <w:tc>
              <w:tcPr>
                <w:tcW w:w="417" w:type="pct"/>
                <w:shd w:val="clear" w:color="auto" w:fill="FFFFFF" w:themeFill="background2"/>
                <w:vAlign w:val="center"/>
              </w:tcPr>
              <w:p w14:paraId="10C02CDF" w14:textId="10762865"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2,300</w:t>
                </w:r>
              </w:p>
            </w:tc>
            <w:tc>
              <w:tcPr>
                <w:tcW w:w="417" w:type="pct"/>
                <w:shd w:val="clear" w:color="auto" w:fill="FFFFFF" w:themeFill="background2"/>
                <w:vAlign w:val="center"/>
              </w:tcPr>
              <w:p w14:paraId="37862F78" w14:textId="1FF85374"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2,322</w:t>
                </w:r>
              </w:p>
            </w:tc>
            <w:tc>
              <w:tcPr>
                <w:tcW w:w="417" w:type="pct"/>
                <w:shd w:val="clear" w:color="auto" w:fill="FFFFFF" w:themeFill="background2"/>
                <w:vAlign w:val="center"/>
              </w:tcPr>
              <w:p w14:paraId="31D7DADF" w14:textId="14A65BCA"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sz w:val="14"/>
                    <w:szCs w:val="14"/>
                    <w:lang w:val="en-GB" w:eastAsia="it-IT"/>
                  </w:rPr>
                  <w:t>2,410</w:t>
                </w:r>
              </w:p>
            </w:tc>
            <w:tc>
              <w:tcPr>
                <w:tcW w:w="417" w:type="pct"/>
                <w:shd w:val="clear" w:color="auto" w:fill="FFFFFF" w:themeFill="background2"/>
                <w:vAlign w:val="center"/>
              </w:tcPr>
              <w:p w14:paraId="40F47368" w14:textId="4D1C1545"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53.79%</w:t>
                </w:r>
              </w:p>
            </w:tc>
            <w:tc>
              <w:tcPr>
                <w:tcW w:w="417" w:type="pct"/>
                <w:shd w:val="clear" w:color="auto" w:fill="FFFFFF" w:themeFill="background2"/>
                <w:vAlign w:val="center"/>
              </w:tcPr>
              <w:p w14:paraId="7CFC20D0" w14:textId="4968DD72"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61.77%</w:t>
                </w:r>
              </w:p>
            </w:tc>
            <w:tc>
              <w:tcPr>
                <w:tcW w:w="417" w:type="pct"/>
                <w:shd w:val="clear" w:color="auto" w:fill="FFFFFF" w:themeFill="background2"/>
                <w:vAlign w:val="center"/>
              </w:tcPr>
              <w:p w14:paraId="6F83C911" w14:textId="57042F09"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66.51%</w:t>
                </w:r>
              </w:p>
            </w:tc>
            <w:tc>
              <w:tcPr>
                <w:tcW w:w="417" w:type="pct"/>
                <w:shd w:val="clear" w:color="auto" w:fill="FFFFFF" w:themeFill="background2"/>
                <w:vAlign w:val="center"/>
              </w:tcPr>
              <w:p w14:paraId="2DC5749B" w14:textId="568D5731"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67.15%</w:t>
                </w:r>
              </w:p>
            </w:tc>
            <w:tc>
              <w:tcPr>
                <w:tcW w:w="413" w:type="pct"/>
                <w:shd w:val="clear" w:color="auto" w:fill="FFFFFF" w:themeFill="background2"/>
                <w:vAlign w:val="center"/>
              </w:tcPr>
              <w:p w14:paraId="0B1739A6" w14:textId="0756D45C"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sz w:val="14"/>
                    <w:szCs w:val="14"/>
                    <w:lang w:val="en-GB" w:eastAsia="it-IT"/>
                  </w:rPr>
                  <w:t>69.69%</w:t>
                </w:r>
              </w:p>
            </w:tc>
          </w:tr>
          <w:tr w:rsidR="00CE6998" w:rsidRPr="00B57F38" w14:paraId="318B9CA2" w14:textId="77777777" w:rsidTr="00AC7D4E">
            <w:trPr>
              <w:trHeight w:val="227"/>
            </w:trPr>
            <w:tc>
              <w:tcPr>
                <w:tcW w:w="343" w:type="pct"/>
                <w:shd w:val="clear" w:color="auto" w:fill="FFFFFF" w:themeFill="background2"/>
                <w:tcMar>
                  <w:top w:w="60" w:type="dxa"/>
                  <w:left w:w="114" w:type="dxa"/>
                  <w:bottom w:w="60" w:type="dxa"/>
                  <w:right w:w="114" w:type="dxa"/>
                </w:tcMar>
                <w:vAlign w:val="center"/>
              </w:tcPr>
              <w:p w14:paraId="6F5DF685" w14:textId="77777777" w:rsidR="00CE6998" w:rsidRPr="00B57F38" w:rsidRDefault="00CE6998" w:rsidP="00B57F38">
                <w:pPr>
                  <w:spacing w:before="0" w:line="240" w:lineRule="auto"/>
                  <w:jc w:val="center"/>
                  <w:rPr>
                    <w:rFonts w:cs="Segoe UI"/>
                    <w:b/>
                    <w:bCs/>
                    <w:sz w:val="14"/>
                    <w:szCs w:val="14"/>
                    <w:lang w:eastAsia="it-IT"/>
                  </w:rPr>
                </w:pPr>
                <w:r w:rsidRPr="00B57F38">
                  <w:rPr>
                    <w:rFonts w:cs="Segoe UI"/>
                    <w:b/>
                    <w:bCs/>
                    <w:sz w:val="14"/>
                    <w:szCs w:val="14"/>
                    <w:lang w:eastAsia="it-IT"/>
                  </w:rPr>
                  <w:t>TOTAL</w:t>
                </w:r>
              </w:p>
            </w:tc>
            <w:tc>
              <w:tcPr>
                <w:tcW w:w="491" w:type="pct"/>
                <w:shd w:val="clear" w:color="auto" w:fill="FFFFFF" w:themeFill="background2"/>
                <w:tcMar>
                  <w:top w:w="60" w:type="dxa"/>
                  <w:left w:w="114" w:type="dxa"/>
                  <w:bottom w:w="60" w:type="dxa"/>
                  <w:right w:w="114" w:type="dxa"/>
                </w:tcMar>
                <w:vAlign w:val="center"/>
              </w:tcPr>
              <w:p w14:paraId="02C74867" w14:textId="291D93EE"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b/>
                    <w:sz w:val="14"/>
                    <w:szCs w:val="14"/>
                    <w:lang w:val="en-GB" w:eastAsia="it-IT"/>
                  </w:rPr>
                  <w:t>84,302</w:t>
                </w:r>
              </w:p>
            </w:tc>
            <w:tc>
              <w:tcPr>
                <w:tcW w:w="417" w:type="pct"/>
                <w:shd w:val="clear" w:color="auto" w:fill="FFFFFF" w:themeFill="background2"/>
                <w:tcMar>
                  <w:top w:w="60" w:type="dxa"/>
                  <w:left w:w="114" w:type="dxa"/>
                  <w:bottom w:w="60" w:type="dxa"/>
                  <w:right w:w="114" w:type="dxa"/>
                </w:tcMar>
                <w:vAlign w:val="center"/>
              </w:tcPr>
              <w:p w14:paraId="3231431A" w14:textId="6EC0E860"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b/>
                    <w:sz w:val="14"/>
                    <w:szCs w:val="14"/>
                    <w:lang w:val="en-GB" w:eastAsia="it-IT"/>
                  </w:rPr>
                  <w:t>3,727</w:t>
                </w:r>
              </w:p>
            </w:tc>
            <w:tc>
              <w:tcPr>
                <w:tcW w:w="417" w:type="pct"/>
                <w:shd w:val="clear" w:color="auto" w:fill="FFFFFF" w:themeFill="background2"/>
                <w:vAlign w:val="center"/>
              </w:tcPr>
              <w:p w14:paraId="26E81251" w14:textId="799F9FAF"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b/>
                    <w:sz w:val="14"/>
                    <w:szCs w:val="14"/>
                    <w:lang w:val="en-GB" w:eastAsia="it-IT"/>
                  </w:rPr>
                  <w:t>5,793</w:t>
                </w:r>
              </w:p>
            </w:tc>
            <w:tc>
              <w:tcPr>
                <w:tcW w:w="417" w:type="pct"/>
                <w:shd w:val="clear" w:color="auto" w:fill="FFFFFF" w:themeFill="background2"/>
                <w:vAlign w:val="center"/>
              </w:tcPr>
              <w:p w14:paraId="30137E0D" w14:textId="7BBE03AB"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b/>
                    <w:sz w:val="14"/>
                    <w:szCs w:val="14"/>
                    <w:lang w:val="en-GB" w:eastAsia="it-IT"/>
                  </w:rPr>
                  <w:t>8,346</w:t>
                </w:r>
              </w:p>
            </w:tc>
            <w:tc>
              <w:tcPr>
                <w:tcW w:w="417" w:type="pct"/>
                <w:shd w:val="clear" w:color="auto" w:fill="FFFFFF" w:themeFill="background2"/>
                <w:vAlign w:val="center"/>
              </w:tcPr>
              <w:p w14:paraId="76D77D47" w14:textId="439FA424"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b/>
                    <w:sz w:val="14"/>
                    <w:szCs w:val="14"/>
                    <w:lang w:val="en-GB" w:eastAsia="it-IT"/>
                  </w:rPr>
                  <w:t>9,303</w:t>
                </w:r>
              </w:p>
            </w:tc>
            <w:tc>
              <w:tcPr>
                <w:tcW w:w="417" w:type="pct"/>
                <w:shd w:val="clear" w:color="auto" w:fill="FFFFFF" w:themeFill="background2"/>
                <w:vAlign w:val="center"/>
              </w:tcPr>
              <w:p w14:paraId="43EE14B7" w14:textId="5E68DE01" w:rsidR="00CE6998" w:rsidRPr="00B57F38" w:rsidRDefault="00CE6998" w:rsidP="00B57F38">
                <w:pPr>
                  <w:spacing w:before="0" w:line="240" w:lineRule="auto"/>
                  <w:jc w:val="center"/>
                  <w:rPr>
                    <w:rFonts w:eastAsia="Times New Roman" w:cs="Segoe UI"/>
                    <w:sz w:val="14"/>
                    <w:szCs w:val="14"/>
                    <w:lang w:val="en-GB" w:eastAsia="it-IT"/>
                  </w:rPr>
                </w:pPr>
                <w:r w:rsidRPr="00B57F38">
                  <w:rPr>
                    <w:rFonts w:eastAsia="Times New Roman" w:cs="Segoe UI"/>
                    <w:b/>
                    <w:sz w:val="14"/>
                    <w:szCs w:val="14"/>
                    <w:lang w:val="en-GB" w:eastAsia="it-IT"/>
                  </w:rPr>
                  <w:t>11,872</w:t>
                </w:r>
              </w:p>
            </w:tc>
            <w:tc>
              <w:tcPr>
                <w:tcW w:w="417" w:type="pct"/>
                <w:shd w:val="clear" w:color="auto" w:fill="FFFFFF" w:themeFill="background2"/>
                <w:vAlign w:val="center"/>
              </w:tcPr>
              <w:p w14:paraId="1F9D7724" w14:textId="7819BFE6"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b/>
                    <w:sz w:val="14"/>
                    <w:szCs w:val="14"/>
                    <w:lang w:val="en-GB" w:eastAsia="it-IT"/>
                  </w:rPr>
                  <w:t>4.42%</w:t>
                </w:r>
              </w:p>
            </w:tc>
            <w:tc>
              <w:tcPr>
                <w:tcW w:w="417" w:type="pct"/>
                <w:shd w:val="clear" w:color="auto" w:fill="FFFFFF" w:themeFill="background2"/>
                <w:vAlign w:val="center"/>
              </w:tcPr>
              <w:p w14:paraId="76F05E91" w14:textId="0EE3DE35"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b/>
                    <w:sz w:val="14"/>
                    <w:szCs w:val="14"/>
                    <w:lang w:val="en-GB" w:eastAsia="it-IT"/>
                  </w:rPr>
                  <w:t>6.87%</w:t>
                </w:r>
              </w:p>
            </w:tc>
            <w:tc>
              <w:tcPr>
                <w:tcW w:w="417" w:type="pct"/>
                <w:shd w:val="clear" w:color="auto" w:fill="FFFFFF" w:themeFill="background2"/>
                <w:vAlign w:val="center"/>
              </w:tcPr>
              <w:p w14:paraId="7E68CD3E" w14:textId="56D05046"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b/>
                    <w:sz w:val="14"/>
                    <w:szCs w:val="14"/>
                    <w:lang w:val="en-GB" w:eastAsia="it-IT"/>
                  </w:rPr>
                  <w:t>9.90%</w:t>
                </w:r>
              </w:p>
            </w:tc>
            <w:tc>
              <w:tcPr>
                <w:tcW w:w="417" w:type="pct"/>
                <w:shd w:val="clear" w:color="auto" w:fill="FFFFFF" w:themeFill="background2"/>
                <w:vAlign w:val="center"/>
              </w:tcPr>
              <w:p w14:paraId="1596CB5F" w14:textId="10A4700A"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b/>
                    <w:sz w:val="14"/>
                    <w:szCs w:val="14"/>
                    <w:lang w:val="en-GB" w:eastAsia="it-IT"/>
                  </w:rPr>
                  <w:t>11.04%</w:t>
                </w:r>
              </w:p>
            </w:tc>
            <w:tc>
              <w:tcPr>
                <w:tcW w:w="413" w:type="pct"/>
                <w:shd w:val="clear" w:color="auto" w:fill="FFFFFF" w:themeFill="background2"/>
                <w:vAlign w:val="center"/>
              </w:tcPr>
              <w:p w14:paraId="5504BB20" w14:textId="0F6AE49C" w:rsidR="00CE6998" w:rsidRPr="00B57F38" w:rsidRDefault="00CE6998" w:rsidP="00B57F38">
                <w:pPr>
                  <w:spacing w:before="0" w:line="240" w:lineRule="auto"/>
                  <w:jc w:val="center"/>
                  <w:rPr>
                    <w:rFonts w:eastAsia="Times New Roman" w:cs="Segoe UI"/>
                    <w:b/>
                    <w:bCs/>
                    <w:sz w:val="14"/>
                    <w:szCs w:val="14"/>
                    <w:lang w:val="en-GB" w:eastAsia="it-IT"/>
                  </w:rPr>
                </w:pPr>
                <w:r w:rsidRPr="00B57F38">
                  <w:rPr>
                    <w:rFonts w:eastAsia="Times New Roman" w:cs="Segoe UI"/>
                    <w:b/>
                    <w:sz w:val="14"/>
                    <w:szCs w:val="14"/>
                    <w:lang w:val="en-GB" w:eastAsia="it-IT"/>
                  </w:rPr>
                  <w:t>14.08%</w:t>
                </w:r>
              </w:p>
            </w:tc>
          </w:tr>
        </w:tbl>
        <w:p w14:paraId="7A1270BA" w14:textId="77777777" w:rsidR="00EE3059" w:rsidRPr="00EE3059" w:rsidRDefault="00EE3059" w:rsidP="00EE3059">
          <w:pPr>
            <w:rPr>
              <w:lang w:val="en-GB"/>
            </w:rPr>
          </w:pPr>
        </w:p>
        <w:p w14:paraId="6C502C02" w14:textId="3B97D2CE" w:rsidR="004101BF" w:rsidRDefault="004101BF" w:rsidP="004101BF">
          <w:pPr>
            <w:pStyle w:val="Didascalia"/>
            <w:rPr>
              <w:rFonts w:ascii="Segoe UI" w:hAnsi="Segoe UI" w:cs="Segoe UI"/>
              <w:i/>
              <w:sz w:val="14"/>
              <w:lang w:val="en-GB"/>
            </w:rPr>
          </w:pPr>
          <w:bookmarkStart w:id="117" w:name="_Toc130806333"/>
          <w:bookmarkStart w:id="118" w:name="_Toc166675673"/>
          <w:bookmarkStart w:id="119" w:name="_Toc167131800"/>
          <w:r w:rsidRPr="0032337D">
            <w:rPr>
              <w:rFonts w:ascii="Segoe UI" w:hAnsi="Segoe UI" w:cs="Segoe UI"/>
              <w:i/>
              <w:sz w:val="14"/>
              <w:lang w:val="en-GB"/>
            </w:rPr>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32</w:t>
          </w:r>
          <w:r>
            <w:rPr>
              <w:rFonts w:ascii="Segoe UI" w:hAnsi="Segoe UI" w:cs="Segoe UI"/>
              <w:i/>
              <w:sz w:val="14"/>
              <w:lang w:val="en-GB"/>
            </w:rPr>
            <w:fldChar w:fldCharType="end"/>
          </w:r>
          <w:r w:rsidRPr="0032337D">
            <w:rPr>
              <w:rFonts w:ascii="Segoe UI" w:hAnsi="Segoe UI" w:cs="Segoe UI"/>
              <w:i/>
              <w:sz w:val="14"/>
              <w:lang w:val="en-GB"/>
            </w:rPr>
            <w:t>: Static pool as of 31</w:t>
          </w:r>
          <w:r w:rsidRPr="0032337D">
            <w:rPr>
              <w:rFonts w:ascii="Segoe UI" w:hAnsi="Segoe UI" w:cs="Segoe UI"/>
              <w:i/>
              <w:sz w:val="14"/>
              <w:vertAlign w:val="superscript"/>
              <w:lang w:val="en-GB"/>
            </w:rPr>
            <w:t>st</w:t>
          </w:r>
          <w:r w:rsidRPr="0032337D">
            <w:rPr>
              <w:rFonts w:ascii="Segoe UI" w:hAnsi="Segoe UI" w:cs="Segoe UI"/>
              <w:i/>
              <w:sz w:val="14"/>
              <w:lang w:val="en-GB"/>
            </w:rPr>
            <w:t xml:space="preserve"> December 2010</w:t>
          </w:r>
          <w:bookmarkEnd w:id="117"/>
          <w:bookmarkEnd w:id="118"/>
          <w:bookmarkEnd w:id="119"/>
        </w:p>
        <w:tbl>
          <w:tblPr>
            <w:tblW w:w="5000" w:type="pct"/>
            <w:tblBorders>
              <w:top w:val="single" w:sz="4" w:space="0" w:color="AFAFB4" w:themeColor="accent4"/>
              <w:bottom w:val="single" w:sz="4" w:space="0" w:color="AFAFB4" w:themeColor="accent4"/>
              <w:insideH w:val="single" w:sz="4" w:space="0" w:color="AFAFB4" w:themeColor="accent4"/>
            </w:tblBorders>
            <w:shd w:val="clear" w:color="auto" w:fill="FFFFFF" w:themeFill="background2"/>
            <w:tblCellMar>
              <w:left w:w="0" w:type="dxa"/>
              <w:right w:w="0" w:type="dxa"/>
            </w:tblCellMar>
            <w:tblLook w:val="0620" w:firstRow="1" w:lastRow="0" w:firstColumn="0" w:lastColumn="0" w:noHBand="1" w:noVBand="1"/>
            <w:tblDescription w:val="{&quot;Ott&quot;:{&quot;FirstRow&quot;:{&quot;BackgroundColor&quot;:{&quot;Key&quot;:&quot;Light2&quot;},&quot;Font&quot;:{&quot;Name&quot;:&quot;Source Sans Pro&quot;,&quot;Size&quot;:14.0,&quot;Bold&quot;:false,&quot;Italic&quot;:false,&quot;Color&quot;:{&quot;Key&quot;:&quot;Dark2&quot;}},&quot;ExcelCellFormatting&quot;:&quot;General&quot;,&quot;Alignment&quot;:{&quot;Horizontal&quot;:&quot;Left&quot;,&quot;Vertical&quot;:&quot;Bottom&quot;},&quot;Borders&quot;:{&quot;Vertical&quot;:{&quot;Visible&quot;:false},&quot;Left&quot;:{&quot;Visible&quot;:false},&quot;Top&quot;:{&quot;Visible&quot;:false},&quot;Right&quot;:{&quot;Visible&quot;:false},&quot;Bottom&quot;:{&quot;Color&quot;:{&quot;Key&quot;:&quot;Accent4&quot;},&quot;BorderWeight&quot;:&quot;Pt1_5&quot;,&quot;Type&quot;:&quot;Solid&quot;,&quot;Visible&quot;:true}}},&quot;FitRowHeightPp&quot;:true,&quot;ZeroMarginsWord&quot;:true,&quot;BackgroundColor&quot;:{&quot;Key&quot;:&quot;Light2&quot;},&quot;Font&quot;:{&quot;Name&quot;:&quot;Source Sans Pro&quot;,&quot;Size&quot;:11.0,&quot;Bold&quot;:false,&quot;Italic&quot;:false,&quot;Color&quot;:{&quot;Key&quot;:&quot;Dark2&quot;}},&quot;LineSpacing&quot;:{&quot;Rule&quot;:&quot;Single&quot;},&quot;Alignment&quot;:{&quot;Horizontal&quot;:&quot;Left&quot;,&quot;Vertical&quot;:&quot;Top&quot;},&quot;Margin&quot;:{&quot;Left&quot;:5.7,&quot;Top&quot;:3.0,&quot;Right&quot;:5.7,&quot;Bottom&quot;:3.0},&quot;Borders&quot;:{&quot;Vertical&quot;:{&quot;Visible&quot;:false},&quot;Horizontal&quot;:{&quot;Color&quot;:{&quot;Key&quot;:&quot;Accent4&quot;},&quot;BorderWeight&quot;:&quot;Pt0_5&quot;,&quot;Type&quot;:&quot;Solid&quot;,&quot;Visible&quot;:true}},&quot;ParagraphSpacing&quot;:{&quot;SpaceBefore&quot;:2.0,&quot;SpaceAfter&quot;:2.0},&quot;ExcelWrapText&quot;:true},&quot;Ccs&quot;:{&quot;DarkBlue&quot;:&quot;0, 20, 55&quot;,&quot;Turquoise&quot;:&quot;0, 164, 230&quot;,&quot;Red&quot;:&quot;214, 70, 65&quot;,&quot;LightGrey&quot;:&quot;174, 174, 180&quot;,&quot;BlueGrey&quot;:&quot;77, 91, 115&quot;,&quot;IceBlue&quot;:&quot;178, 184, 195&quot;,&quot;Grey&quot;:&quot;145, 147, 153&quot;,&quot;Background&quot;:&quot;0, 0, 0, 0&quot;,&quot;White&quot;:&quot;White&quot;,&quot;Accent1&quot;:&quot;1, 1, 1, 1&quot;,&quot;Accent2&quot;:&quot;1, 1, 1, 2&quot;,&quot;Accent3&quot;:&quot;1, 1, 1, 3&quot;,&quot;Accent4&quot;:&quot;1, 1, 1, 4&quot;,&quot;Accent5&quot;:&quot;1, 1, 1, 5&quot;,&quot;Accent6&quot;:&quot;1, 1, 1, 6&quot;,&quot;Dark1&quot;:&quot;1, 1, 1, 7&quot;,&quot;Dark2&quot;:&quot;1, 1, 1, 9&quot;,&quot;Light1&quot;:&quot;1, 1, 1, 8&quot;,&quot;Light2&quot;:&quot;1, 1, 1, 10&quot;},&quot;Cop&quot;:{&quot;FirstRow&quot;:true,&quot;LastRow&quot;:false,&quot;FirstColumn&quot;:false,&quot;LastColumn&quot;:false,&quot;BandedRows&quot;:false,&quot;BandedColumns&quot;:false},&quot;Aaf&quot;:false}"/>
          </w:tblPr>
          <w:tblGrid>
            <w:gridCol w:w="710"/>
            <w:gridCol w:w="1016"/>
            <w:gridCol w:w="863"/>
            <w:gridCol w:w="863"/>
            <w:gridCol w:w="863"/>
            <w:gridCol w:w="863"/>
            <w:gridCol w:w="863"/>
            <w:gridCol w:w="863"/>
            <w:gridCol w:w="863"/>
            <w:gridCol w:w="863"/>
            <w:gridCol w:w="863"/>
            <w:gridCol w:w="855"/>
          </w:tblGrid>
          <w:tr w:rsidR="00707524" w:rsidRPr="008A3D29" w14:paraId="46F6D3B9" w14:textId="77777777" w:rsidTr="00AC7D4E">
            <w:trPr>
              <w:trHeight w:val="227"/>
              <w:tblHeader/>
            </w:trPr>
            <w:tc>
              <w:tcPr>
                <w:tcW w:w="343" w:type="pct"/>
                <w:vMerge w:val="restar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726256BB" w14:textId="77777777" w:rsidR="00707524" w:rsidRPr="008A3D29" w:rsidRDefault="00707524" w:rsidP="008A3D29">
                <w:pPr>
                  <w:spacing w:before="0" w:line="240" w:lineRule="auto"/>
                  <w:jc w:val="center"/>
                  <w:rPr>
                    <w:b/>
                    <w:color w:val="33A1AB" w:themeColor="accent2"/>
                    <w:sz w:val="14"/>
                    <w:szCs w:val="14"/>
                  </w:rPr>
                </w:pPr>
                <w:r w:rsidRPr="008A3D29">
                  <w:rPr>
                    <w:b/>
                    <w:color w:val="33A1AB" w:themeColor="accent2"/>
                    <w:sz w:val="14"/>
                    <w:szCs w:val="14"/>
                  </w:rPr>
                  <w:t>Rating</w:t>
                </w:r>
              </w:p>
            </w:tc>
            <w:tc>
              <w:tcPr>
                <w:tcW w:w="491"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41A62D0F" w14:textId="77777777" w:rsidR="00707524" w:rsidRPr="008A3D29" w:rsidRDefault="00707524" w:rsidP="008A3D29">
                <w:pPr>
                  <w:spacing w:before="0" w:line="240" w:lineRule="auto"/>
                  <w:jc w:val="center"/>
                  <w:rPr>
                    <w:b/>
                    <w:color w:val="33A1AB" w:themeColor="accent2"/>
                    <w:sz w:val="14"/>
                    <w:szCs w:val="14"/>
                  </w:rPr>
                </w:pPr>
                <w:r w:rsidRPr="008A3D29">
                  <w:rPr>
                    <w:b/>
                    <w:color w:val="33A1AB" w:themeColor="accent2"/>
                    <w:sz w:val="14"/>
                    <w:szCs w:val="14"/>
                  </w:rPr>
                  <w:t>Static pool</w:t>
                </w:r>
              </w:p>
            </w:tc>
            <w:tc>
              <w:tcPr>
                <w:tcW w:w="2085" w:type="pct"/>
                <w:gridSpan w:val="5"/>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1F1B6C4C" w14:textId="6445204B" w:rsidR="00707524" w:rsidRPr="008A3D29" w:rsidRDefault="00707524" w:rsidP="008A3D29">
                <w:pPr>
                  <w:spacing w:before="0" w:line="240" w:lineRule="auto"/>
                  <w:jc w:val="center"/>
                  <w:rPr>
                    <w:b/>
                    <w:color w:val="33A1AB" w:themeColor="accent2"/>
                    <w:sz w:val="14"/>
                    <w:szCs w:val="14"/>
                  </w:rPr>
                </w:pPr>
                <w:r w:rsidRPr="008A3D29">
                  <w:rPr>
                    <w:b/>
                    <w:color w:val="33A1AB" w:themeColor="accent2"/>
                    <w:sz w:val="14"/>
                    <w:szCs w:val="14"/>
                  </w:rPr>
                  <w:t>Observed defaults by years since rating issuance</w:t>
                </w:r>
              </w:p>
            </w:tc>
            <w:tc>
              <w:tcPr>
                <w:tcW w:w="2081" w:type="pct"/>
                <w:gridSpan w:val="5"/>
                <w:tcBorders>
                  <w:top w:val="single" w:sz="12" w:space="0" w:color="AFAFB4" w:themeColor="accent4"/>
                </w:tcBorders>
                <w:shd w:val="clear" w:color="auto" w:fill="FFFFFF" w:themeFill="background2"/>
                <w:vAlign w:val="center"/>
              </w:tcPr>
              <w:p w14:paraId="7A165CE6" w14:textId="77777777" w:rsidR="00707524" w:rsidRPr="008A3D29" w:rsidRDefault="00707524" w:rsidP="008A3D29">
                <w:pPr>
                  <w:spacing w:before="0" w:line="240" w:lineRule="auto"/>
                  <w:jc w:val="center"/>
                  <w:rPr>
                    <w:b/>
                    <w:color w:val="33A1AB" w:themeColor="accent2"/>
                    <w:sz w:val="14"/>
                    <w:szCs w:val="14"/>
                  </w:rPr>
                </w:pPr>
                <w:r w:rsidRPr="008A3D29">
                  <w:rPr>
                    <w:b/>
                    <w:color w:val="33A1AB" w:themeColor="accent2"/>
                    <w:sz w:val="14"/>
                    <w:szCs w:val="14"/>
                  </w:rPr>
                  <w:t>Percentage of cumulative default rates</w:t>
                </w:r>
              </w:p>
            </w:tc>
          </w:tr>
          <w:tr w:rsidR="00243863" w:rsidRPr="008A3D29" w14:paraId="257FE6DA" w14:textId="77777777" w:rsidTr="00AC7D4E">
            <w:trPr>
              <w:trHeight w:val="227"/>
              <w:tblHeader/>
            </w:trPr>
            <w:tc>
              <w:tcPr>
                <w:tcW w:w="343" w:type="pct"/>
                <w:vMerge/>
                <w:shd w:val="clear" w:color="auto" w:fill="FFFFFF" w:themeFill="background2"/>
                <w:tcMar>
                  <w:top w:w="60" w:type="dxa"/>
                  <w:left w:w="114" w:type="dxa"/>
                  <w:bottom w:w="60" w:type="dxa"/>
                  <w:right w:w="114" w:type="dxa"/>
                </w:tcMar>
                <w:vAlign w:val="center"/>
              </w:tcPr>
              <w:p w14:paraId="062536E7" w14:textId="77777777" w:rsidR="00243863" w:rsidRPr="008A3D29" w:rsidRDefault="00243863" w:rsidP="008A3D29">
                <w:pPr>
                  <w:spacing w:before="0" w:line="240" w:lineRule="auto"/>
                  <w:jc w:val="center"/>
                  <w:rPr>
                    <w:b/>
                    <w:color w:val="33A1AB" w:themeColor="accent2"/>
                    <w:sz w:val="14"/>
                    <w:szCs w:val="14"/>
                  </w:rPr>
                </w:pPr>
              </w:p>
            </w:tc>
            <w:tc>
              <w:tcPr>
                <w:tcW w:w="491"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5CB7F576" w14:textId="4E46AFF0" w:rsidR="00243863" w:rsidRPr="008A3D29" w:rsidRDefault="00243863" w:rsidP="008A3D29">
                <w:pPr>
                  <w:spacing w:before="0" w:line="240" w:lineRule="auto"/>
                  <w:jc w:val="center"/>
                  <w:rPr>
                    <w:b/>
                    <w:color w:val="33A1AB" w:themeColor="accent2"/>
                    <w:sz w:val="14"/>
                    <w:szCs w:val="14"/>
                  </w:rPr>
                </w:pPr>
                <w:r w:rsidRPr="008A3D29">
                  <w:rPr>
                    <w:b/>
                    <w:color w:val="33A1AB" w:themeColor="accent2"/>
                    <w:sz w:val="14"/>
                    <w:szCs w:val="14"/>
                  </w:rPr>
                  <w:t>31 Dec 2010</w:t>
                </w:r>
              </w:p>
            </w:tc>
            <w:tc>
              <w:tcPr>
                <w:tcW w:w="417"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18509CE4" w14:textId="77777777" w:rsidR="00243863" w:rsidRPr="008A3D29" w:rsidRDefault="00243863" w:rsidP="008A3D29">
                <w:pPr>
                  <w:spacing w:before="0" w:line="240" w:lineRule="auto"/>
                  <w:jc w:val="center"/>
                  <w:rPr>
                    <w:b/>
                    <w:color w:val="33A1AB" w:themeColor="accent2"/>
                    <w:sz w:val="14"/>
                    <w:szCs w:val="14"/>
                  </w:rPr>
                </w:pPr>
                <w:r w:rsidRPr="008A3D29">
                  <w:rPr>
                    <w:b/>
                    <w:color w:val="33A1AB" w:themeColor="accent2"/>
                    <w:sz w:val="14"/>
                    <w:szCs w:val="14"/>
                  </w:rPr>
                  <w:t>1-Y DR</w:t>
                </w:r>
              </w:p>
            </w:tc>
            <w:tc>
              <w:tcPr>
                <w:tcW w:w="417" w:type="pct"/>
                <w:tcBorders>
                  <w:top w:val="single" w:sz="12" w:space="0" w:color="AFAFB4" w:themeColor="accent4"/>
                </w:tcBorders>
                <w:shd w:val="clear" w:color="auto" w:fill="FFFFFF" w:themeFill="background2"/>
                <w:vAlign w:val="center"/>
              </w:tcPr>
              <w:p w14:paraId="679F9551" w14:textId="77777777" w:rsidR="00243863" w:rsidRPr="008A3D29" w:rsidRDefault="00243863" w:rsidP="008A3D29">
                <w:pPr>
                  <w:spacing w:before="0" w:line="240" w:lineRule="auto"/>
                  <w:jc w:val="center"/>
                  <w:rPr>
                    <w:b/>
                    <w:color w:val="33A1AB" w:themeColor="accent2"/>
                    <w:sz w:val="14"/>
                    <w:szCs w:val="14"/>
                  </w:rPr>
                </w:pPr>
                <w:r w:rsidRPr="008A3D29">
                  <w:rPr>
                    <w:b/>
                    <w:color w:val="33A1AB" w:themeColor="accent2"/>
                    <w:sz w:val="14"/>
                    <w:szCs w:val="14"/>
                  </w:rPr>
                  <w:t>2-Y DR</w:t>
                </w:r>
              </w:p>
            </w:tc>
            <w:tc>
              <w:tcPr>
                <w:tcW w:w="417" w:type="pct"/>
                <w:tcBorders>
                  <w:top w:val="single" w:sz="12" w:space="0" w:color="AFAFB4" w:themeColor="accent4"/>
                </w:tcBorders>
                <w:shd w:val="clear" w:color="auto" w:fill="FFFFFF" w:themeFill="background2"/>
                <w:vAlign w:val="center"/>
              </w:tcPr>
              <w:p w14:paraId="703030FF" w14:textId="77777777" w:rsidR="00243863" w:rsidRPr="008A3D29" w:rsidRDefault="00243863" w:rsidP="008A3D29">
                <w:pPr>
                  <w:spacing w:before="0" w:line="240" w:lineRule="auto"/>
                  <w:jc w:val="center"/>
                  <w:rPr>
                    <w:b/>
                    <w:color w:val="33A1AB" w:themeColor="accent2"/>
                    <w:sz w:val="14"/>
                    <w:szCs w:val="14"/>
                  </w:rPr>
                </w:pPr>
                <w:r w:rsidRPr="008A3D29">
                  <w:rPr>
                    <w:b/>
                    <w:color w:val="33A1AB" w:themeColor="accent2"/>
                    <w:sz w:val="14"/>
                    <w:szCs w:val="14"/>
                  </w:rPr>
                  <w:t>3-Y DR</w:t>
                </w:r>
              </w:p>
            </w:tc>
            <w:tc>
              <w:tcPr>
                <w:tcW w:w="417" w:type="pct"/>
                <w:tcBorders>
                  <w:top w:val="single" w:sz="12" w:space="0" w:color="AFAFB4" w:themeColor="accent4"/>
                </w:tcBorders>
                <w:shd w:val="clear" w:color="auto" w:fill="FFFFFF" w:themeFill="background2"/>
                <w:vAlign w:val="center"/>
              </w:tcPr>
              <w:p w14:paraId="03D4880C" w14:textId="77777777" w:rsidR="00243863" w:rsidRPr="008A3D29" w:rsidRDefault="00243863" w:rsidP="008A3D29">
                <w:pPr>
                  <w:spacing w:before="0" w:line="240" w:lineRule="auto"/>
                  <w:jc w:val="center"/>
                  <w:rPr>
                    <w:b/>
                    <w:color w:val="33A1AB" w:themeColor="accent2"/>
                    <w:sz w:val="14"/>
                    <w:szCs w:val="14"/>
                  </w:rPr>
                </w:pPr>
                <w:r w:rsidRPr="008A3D29">
                  <w:rPr>
                    <w:b/>
                    <w:color w:val="33A1AB" w:themeColor="accent2"/>
                    <w:sz w:val="14"/>
                    <w:szCs w:val="14"/>
                  </w:rPr>
                  <w:t>4-Y DR</w:t>
                </w:r>
              </w:p>
            </w:tc>
            <w:tc>
              <w:tcPr>
                <w:tcW w:w="417" w:type="pct"/>
                <w:tcBorders>
                  <w:top w:val="single" w:sz="12" w:space="0" w:color="AFAFB4" w:themeColor="accent4"/>
                </w:tcBorders>
                <w:shd w:val="clear" w:color="auto" w:fill="FFFFFF" w:themeFill="background2"/>
                <w:vAlign w:val="center"/>
              </w:tcPr>
              <w:p w14:paraId="0B73ECEF" w14:textId="77777777" w:rsidR="00243863" w:rsidRPr="008A3D29" w:rsidRDefault="00243863" w:rsidP="008A3D29">
                <w:pPr>
                  <w:spacing w:before="0" w:line="240" w:lineRule="auto"/>
                  <w:jc w:val="center"/>
                  <w:rPr>
                    <w:b/>
                    <w:color w:val="33A1AB" w:themeColor="accent2"/>
                    <w:sz w:val="14"/>
                    <w:szCs w:val="14"/>
                  </w:rPr>
                </w:pPr>
                <w:r w:rsidRPr="008A3D29">
                  <w:rPr>
                    <w:b/>
                    <w:color w:val="33A1AB" w:themeColor="accent2"/>
                    <w:sz w:val="14"/>
                    <w:szCs w:val="14"/>
                  </w:rPr>
                  <w:t>5-Y DR</w:t>
                </w:r>
              </w:p>
            </w:tc>
            <w:tc>
              <w:tcPr>
                <w:tcW w:w="417" w:type="pct"/>
                <w:tcBorders>
                  <w:top w:val="single" w:sz="12" w:space="0" w:color="AFAFB4" w:themeColor="accent4"/>
                </w:tcBorders>
                <w:shd w:val="clear" w:color="auto" w:fill="FFFFFF" w:themeFill="background2"/>
                <w:vAlign w:val="center"/>
              </w:tcPr>
              <w:p w14:paraId="7955459E" w14:textId="77777777" w:rsidR="00243863" w:rsidRPr="008A3D29" w:rsidRDefault="00243863" w:rsidP="008A3D29">
                <w:pPr>
                  <w:spacing w:before="0" w:line="240" w:lineRule="auto"/>
                  <w:jc w:val="center"/>
                  <w:rPr>
                    <w:b/>
                    <w:color w:val="33A1AB" w:themeColor="accent2"/>
                    <w:sz w:val="14"/>
                    <w:szCs w:val="14"/>
                  </w:rPr>
                </w:pPr>
                <w:r w:rsidRPr="008A3D29">
                  <w:rPr>
                    <w:b/>
                    <w:color w:val="33A1AB" w:themeColor="accent2"/>
                    <w:sz w:val="14"/>
                    <w:szCs w:val="14"/>
                  </w:rPr>
                  <w:t>1-Y DR</w:t>
                </w:r>
              </w:p>
            </w:tc>
            <w:tc>
              <w:tcPr>
                <w:tcW w:w="417" w:type="pct"/>
                <w:tcBorders>
                  <w:top w:val="single" w:sz="12" w:space="0" w:color="AFAFB4" w:themeColor="accent4"/>
                </w:tcBorders>
                <w:shd w:val="clear" w:color="auto" w:fill="FFFFFF" w:themeFill="background2"/>
                <w:vAlign w:val="center"/>
              </w:tcPr>
              <w:p w14:paraId="575CB276" w14:textId="77777777" w:rsidR="00243863" w:rsidRPr="008A3D29" w:rsidRDefault="00243863" w:rsidP="008A3D29">
                <w:pPr>
                  <w:spacing w:before="0" w:line="240" w:lineRule="auto"/>
                  <w:jc w:val="center"/>
                  <w:rPr>
                    <w:b/>
                    <w:color w:val="33A1AB" w:themeColor="accent2"/>
                    <w:sz w:val="14"/>
                    <w:szCs w:val="14"/>
                  </w:rPr>
                </w:pPr>
                <w:r w:rsidRPr="008A3D29">
                  <w:rPr>
                    <w:b/>
                    <w:color w:val="33A1AB" w:themeColor="accent2"/>
                    <w:sz w:val="14"/>
                    <w:szCs w:val="14"/>
                  </w:rPr>
                  <w:t>2-Y DR</w:t>
                </w:r>
              </w:p>
            </w:tc>
            <w:tc>
              <w:tcPr>
                <w:tcW w:w="417" w:type="pct"/>
                <w:tcBorders>
                  <w:top w:val="single" w:sz="12" w:space="0" w:color="AFAFB4" w:themeColor="accent4"/>
                </w:tcBorders>
                <w:shd w:val="clear" w:color="auto" w:fill="FFFFFF" w:themeFill="background2"/>
                <w:vAlign w:val="center"/>
              </w:tcPr>
              <w:p w14:paraId="1A3740A5" w14:textId="77777777" w:rsidR="00243863" w:rsidRPr="008A3D29" w:rsidRDefault="00243863" w:rsidP="008A3D29">
                <w:pPr>
                  <w:spacing w:before="0" w:line="240" w:lineRule="auto"/>
                  <w:jc w:val="center"/>
                  <w:rPr>
                    <w:b/>
                    <w:color w:val="33A1AB" w:themeColor="accent2"/>
                    <w:sz w:val="14"/>
                    <w:szCs w:val="14"/>
                  </w:rPr>
                </w:pPr>
                <w:r w:rsidRPr="008A3D29">
                  <w:rPr>
                    <w:b/>
                    <w:color w:val="33A1AB" w:themeColor="accent2"/>
                    <w:sz w:val="14"/>
                    <w:szCs w:val="14"/>
                  </w:rPr>
                  <w:t>3-Y DR</w:t>
                </w:r>
              </w:p>
            </w:tc>
            <w:tc>
              <w:tcPr>
                <w:tcW w:w="417" w:type="pct"/>
                <w:tcBorders>
                  <w:top w:val="single" w:sz="12" w:space="0" w:color="AFAFB4" w:themeColor="accent4"/>
                </w:tcBorders>
                <w:shd w:val="clear" w:color="auto" w:fill="FFFFFF" w:themeFill="background2"/>
                <w:vAlign w:val="center"/>
              </w:tcPr>
              <w:p w14:paraId="54B7C35F" w14:textId="77777777" w:rsidR="00243863" w:rsidRPr="008A3D29" w:rsidRDefault="00243863" w:rsidP="008A3D29">
                <w:pPr>
                  <w:spacing w:before="0" w:line="240" w:lineRule="auto"/>
                  <w:jc w:val="center"/>
                  <w:rPr>
                    <w:b/>
                    <w:color w:val="33A1AB" w:themeColor="accent2"/>
                    <w:sz w:val="14"/>
                    <w:szCs w:val="14"/>
                  </w:rPr>
                </w:pPr>
                <w:r w:rsidRPr="008A3D29">
                  <w:rPr>
                    <w:b/>
                    <w:color w:val="33A1AB" w:themeColor="accent2"/>
                    <w:sz w:val="14"/>
                    <w:szCs w:val="14"/>
                  </w:rPr>
                  <w:t>4-Y DR</w:t>
                </w:r>
              </w:p>
            </w:tc>
            <w:tc>
              <w:tcPr>
                <w:tcW w:w="413" w:type="pct"/>
                <w:tcBorders>
                  <w:top w:val="single" w:sz="12" w:space="0" w:color="AFAFB4" w:themeColor="accent4"/>
                </w:tcBorders>
                <w:shd w:val="clear" w:color="auto" w:fill="FFFFFF" w:themeFill="background2"/>
                <w:vAlign w:val="center"/>
              </w:tcPr>
              <w:p w14:paraId="28CEEDA7" w14:textId="77777777" w:rsidR="00243863" w:rsidRPr="008A3D29" w:rsidRDefault="00243863" w:rsidP="008A3D29">
                <w:pPr>
                  <w:spacing w:before="0" w:line="240" w:lineRule="auto"/>
                  <w:jc w:val="center"/>
                  <w:rPr>
                    <w:b/>
                    <w:color w:val="33A1AB" w:themeColor="accent2"/>
                    <w:sz w:val="14"/>
                    <w:szCs w:val="14"/>
                  </w:rPr>
                </w:pPr>
                <w:r w:rsidRPr="008A3D29">
                  <w:rPr>
                    <w:b/>
                    <w:color w:val="33A1AB" w:themeColor="accent2"/>
                    <w:sz w:val="14"/>
                    <w:szCs w:val="14"/>
                  </w:rPr>
                  <w:t>5-Y DR</w:t>
                </w:r>
              </w:p>
            </w:tc>
          </w:tr>
          <w:tr w:rsidR="007155EE" w:rsidRPr="008A3D29" w14:paraId="49DD42CF" w14:textId="77777777" w:rsidTr="00AC7D4E">
            <w:trPr>
              <w:trHeight w:val="227"/>
            </w:trPr>
            <w:tc>
              <w:tcPr>
                <w:tcW w:w="343" w:type="pct"/>
                <w:shd w:val="clear" w:color="auto" w:fill="FFFFFF" w:themeFill="background2"/>
                <w:tcMar>
                  <w:top w:w="60" w:type="dxa"/>
                  <w:left w:w="114" w:type="dxa"/>
                  <w:bottom w:w="60" w:type="dxa"/>
                  <w:right w:w="114" w:type="dxa"/>
                </w:tcMar>
                <w:vAlign w:val="center"/>
              </w:tcPr>
              <w:p w14:paraId="36C8021A" w14:textId="77777777" w:rsidR="007155EE" w:rsidRPr="008A3D29" w:rsidRDefault="007155EE" w:rsidP="008A3D29">
                <w:pPr>
                  <w:spacing w:before="0" w:line="240" w:lineRule="auto"/>
                  <w:jc w:val="left"/>
                  <w:rPr>
                    <w:rFonts w:eastAsia="Times New Roman" w:cs="Segoe UI"/>
                    <w:b/>
                    <w:bCs/>
                    <w:sz w:val="14"/>
                    <w:szCs w:val="14"/>
                    <w:lang w:val="en-GB" w:eastAsia="it-IT"/>
                  </w:rPr>
                </w:pPr>
                <w:r w:rsidRPr="008A3D29">
                  <w:rPr>
                    <w:rFonts w:cs="Segoe UI"/>
                    <w:b/>
                    <w:bCs/>
                    <w:sz w:val="14"/>
                    <w:szCs w:val="14"/>
                    <w:lang w:eastAsia="it-IT"/>
                  </w:rPr>
                  <w:t>A1.1</w:t>
                </w:r>
              </w:p>
            </w:tc>
            <w:tc>
              <w:tcPr>
                <w:tcW w:w="491" w:type="pct"/>
                <w:shd w:val="clear" w:color="auto" w:fill="FFFFFF" w:themeFill="background2"/>
                <w:tcMar>
                  <w:top w:w="60" w:type="dxa"/>
                  <w:left w:w="114" w:type="dxa"/>
                  <w:bottom w:w="60" w:type="dxa"/>
                  <w:right w:w="114" w:type="dxa"/>
                </w:tcMar>
                <w:vAlign w:val="center"/>
              </w:tcPr>
              <w:p w14:paraId="32056F2C" w14:textId="306E3963"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0</w:t>
                </w:r>
              </w:p>
            </w:tc>
            <w:tc>
              <w:tcPr>
                <w:tcW w:w="417" w:type="pct"/>
                <w:shd w:val="clear" w:color="auto" w:fill="FFFFFF" w:themeFill="background2"/>
                <w:tcMar>
                  <w:top w:w="60" w:type="dxa"/>
                  <w:left w:w="114" w:type="dxa"/>
                  <w:bottom w:w="60" w:type="dxa"/>
                  <w:right w:w="114" w:type="dxa"/>
                </w:tcMar>
                <w:vAlign w:val="center"/>
              </w:tcPr>
              <w:p w14:paraId="1586A8A7" w14:textId="0F9C62DC"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0</w:t>
                </w:r>
              </w:p>
            </w:tc>
            <w:tc>
              <w:tcPr>
                <w:tcW w:w="417" w:type="pct"/>
                <w:shd w:val="clear" w:color="auto" w:fill="FFFFFF" w:themeFill="background2"/>
                <w:vAlign w:val="center"/>
              </w:tcPr>
              <w:p w14:paraId="6A00D4F3" w14:textId="16970776"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0</w:t>
                </w:r>
              </w:p>
            </w:tc>
            <w:tc>
              <w:tcPr>
                <w:tcW w:w="417" w:type="pct"/>
                <w:shd w:val="clear" w:color="auto" w:fill="FFFFFF" w:themeFill="background2"/>
                <w:vAlign w:val="center"/>
              </w:tcPr>
              <w:p w14:paraId="3CF656A7" w14:textId="3B05FE6D"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0</w:t>
                </w:r>
              </w:p>
            </w:tc>
            <w:tc>
              <w:tcPr>
                <w:tcW w:w="417" w:type="pct"/>
                <w:shd w:val="clear" w:color="auto" w:fill="FFFFFF" w:themeFill="background2"/>
                <w:vAlign w:val="center"/>
              </w:tcPr>
              <w:p w14:paraId="51671F7B" w14:textId="11142E0B"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0</w:t>
                </w:r>
              </w:p>
            </w:tc>
            <w:tc>
              <w:tcPr>
                <w:tcW w:w="417" w:type="pct"/>
                <w:shd w:val="clear" w:color="auto" w:fill="FFFFFF" w:themeFill="background2"/>
                <w:vAlign w:val="center"/>
              </w:tcPr>
              <w:p w14:paraId="7C2F9137" w14:textId="30EC2B8B"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0</w:t>
                </w:r>
              </w:p>
            </w:tc>
            <w:tc>
              <w:tcPr>
                <w:tcW w:w="417" w:type="pct"/>
                <w:shd w:val="clear" w:color="auto" w:fill="FFFFFF" w:themeFill="background2"/>
                <w:vAlign w:val="center"/>
              </w:tcPr>
              <w:p w14:paraId="47E2DB86" w14:textId="50BE2942"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0.00%</w:t>
                </w:r>
              </w:p>
            </w:tc>
            <w:tc>
              <w:tcPr>
                <w:tcW w:w="417" w:type="pct"/>
                <w:shd w:val="clear" w:color="auto" w:fill="FFFFFF" w:themeFill="background2"/>
                <w:vAlign w:val="center"/>
              </w:tcPr>
              <w:p w14:paraId="650C76EC" w14:textId="33C7F552"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0.00%</w:t>
                </w:r>
              </w:p>
            </w:tc>
            <w:tc>
              <w:tcPr>
                <w:tcW w:w="417" w:type="pct"/>
                <w:shd w:val="clear" w:color="auto" w:fill="FFFFFF" w:themeFill="background2"/>
                <w:vAlign w:val="center"/>
              </w:tcPr>
              <w:p w14:paraId="2A3B345F" w14:textId="41FFBEA9"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0.00%</w:t>
                </w:r>
              </w:p>
            </w:tc>
            <w:tc>
              <w:tcPr>
                <w:tcW w:w="417" w:type="pct"/>
                <w:shd w:val="clear" w:color="auto" w:fill="FFFFFF" w:themeFill="background2"/>
                <w:vAlign w:val="center"/>
              </w:tcPr>
              <w:p w14:paraId="3C54E4EC" w14:textId="044FE682"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0.00%</w:t>
                </w:r>
              </w:p>
            </w:tc>
            <w:tc>
              <w:tcPr>
                <w:tcW w:w="413" w:type="pct"/>
                <w:shd w:val="clear" w:color="auto" w:fill="FFFFFF" w:themeFill="background2"/>
                <w:vAlign w:val="center"/>
              </w:tcPr>
              <w:p w14:paraId="1FDF055B" w14:textId="37FC42A1"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0.00%</w:t>
                </w:r>
              </w:p>
            </w:tc>
          </w:tr>
          <w:tr w:rsidR="007155EE" w:rsidRPr="008A3D29" w14:paraId="537F32EC" w14:textId="77777777" w:rsidTr="00AC7D4E">
            <w:trPr>
              <w:trHeight w:val="227"/>
            </w:trPr>
            <w:tc>
              <w:tcPr>
                <w:tcW w:w="343" w:type="pct"/>
                <w:shd w:val="clear" w:color="auto" w:fill="FFFFFF" w:themeFill="background2"/>
                <w:tcMar>
                  <w:top w:w="60" w:type="dxa"/>
                  <w:left w:w="114" w:type="dxa"/>
                  <w:bottom w:w="60" w:type="dxa"/>
                  <w:right w:w="114" w:type="dxa"/>
                </w:tcMar>
                <w:vAlign w:val="center"/>
              </w:tcPr>
              <w:p w14:paraId="4858D55E" w14:textId="77777777" w:rsidR="007155EE" w:rsidRPr="008A3D29" w:rsidRDefault="007155EE" w:rsidP="008A3D29">
                <w:pPr>
                  <w:spacing w:before="0" w:line="240" w:lineRule="auto"/>
                  <w:jc w:val="left"/>
                  <w:rPr>
                    <w:rFonts w:eastAsia="Times New Roman" w:cs="Segoe UI"/>
                    <w:b/>
                    <w:bCs/>
                    <w:sz w:val="14"/>
                    <w:szCs w:val="14"/>
                    <w:lang w:val="en-GB" w:eastAsia="it-IT"/>
                  </w:rPr>
                </w:pPr>
                <w:r w:rsidRPr="008A3D29">
                  <w:rPr>
                    <w:rFonts w:cs="Segoe UI"/>
                    <w:b/>
                    <w:bCs/>
                    <w:sz w:val="14"/>
                    <w:szCs w:val="14"/>
                    <w:lang w:eastAsia="it-IT"/>
                  </w:rPr>
                  <w:t>A1.2</w:t>
                </w:r>
              </w:p>
            </w:tc>
            <w:tc>
              <w:tcPr>
                <w:tcW w:w="491" w:type="pct"/>
                <w:shd w:val="clear" w:color="auto" w:fill="FFFFFF" w:themeFill="background2"/>
                <w:tcMar>
                  <w:top w:w="60" w:type="dxa"/>
                  <w:left w:w="114" w:type="dxa"/>
                  <w:bottom w:w="60" w:type="dxa"/>
                  <w:right w:w="114" w:type="dxa"/>
                </w:tcMar>
                <w:vAlign w:val="center"/>
              </w:tcPr>
              <w:p w14:paraId="12FE4CA5" w14:textId="6394F4ED"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19</w:t>
                </w:r>
              </w:p>
            </w:tc>
            <w:tc>
              <w:tcPr>
                <w:tcW w:w="417" w:type="pct"/>
                <w:shd w:val="clear" w:color="auto" w:fill="FFFFFF" w:themeFill="background2"/>
                <w:tcMar>
                  <w:top w:w="60" w:type="dxa"/>
                  <w:left w:w="114" w:type="dxa"/>
                  <w:bottom w:w="60" w:type="dxa"/>
                  <w:right w:w="114" w:type="dxa"/>
                </w:tcMar>
                <w:vAlign w:val="center"/>
              </w:tcPr>
              <w:p w14:paraId="40CF1315" w14:textId="64850B27"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0</w:t>
                </w:r>
              </w:p>
            </w:tc>
            <w:tc>
              <w:tcPr>
                <w:tcW w:w="417" w:type="pct"/>
                <w:shd w:val="clear" w:color="auto" w:fill="FFFFFF" w:themeFill="background2"/>
                <w:vAlign w:val="center"/>
              </w:tcPr>
              <w:p w14:paraId="631BEEDC" w14:textId="5F09B5F3"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0</w:t>
                </w:r>
              </w:p>
            </w:tc>
            <w:tc>
              <w:tcPr>
                <w:tcW w:w="417" w:type="pct"/>
                <w:shd w:val="clear" w:color="auto" w:fill="FFFFFF" w:themeFill="background2"/>
                <w:vAlign w:val="center"/>
              </w:tcPr>
              <w:p w14:paraId="41A74CC8" w14:textId="24C44E3B"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0</w:t>
                </w:r>
              </w:p>
            </w:tc>
            <w:tc>
              <w:tcPr>
                <w:tcW w:w="417" w:type="pct"/>
                <w:shd w:val="clear" w:color="auto" w:fill="FFFFFF" w:themeFill="background2"/>
                <w:vAlign w:val="center"/>
              </w:tcPr>
              <w:p w14:paraId="4A396CD9" w14:textId="242D25B0"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0</w:t>
                </w:r>
              </w:p>
            </w:tc>
            <w:tc>
              <w:tcPr>
                <w:tcW w:w="417" w:type="pct"/>
                <w:shd w:val="clear" w:color="auto" w:fill="FFFFFF" w:themeFill="background2"/>
                <w:vAlign w:val="center"/>
              </w:tcPr>
              <w:p w14:paraId="181192A8" w14:textId="1CFA7BA3"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0</w:t>
                </w:r>
              </w:p>
            </w:tc>
            <w:tc>
              <w:tcPr>
                <w:tcW w:w="417" w:type="pct"/>
                <w:shd w:val="clear" w:color="auto" w:fill="FFFFFF" w:themeFill="background2"/>
                <w:vAlign w:val="center"/>
              </w:tcPr>
              <w:p w14:paraId="7533F7FE" w14:textId="7024E535"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0.00%</w:t>
                </w:r>
              </w:p>
            </w:tc>
            <w:tc>
              <w:tcPr>
                <w:tcW w:w="417" w:type="pct"/>
                <w:shd w:val="clear" w:color="auto" w:fill="FFFFFF" w:themeFill="background2"/>
                <w:vAlign w:val="center"/>
              </w:tcPr>
              <w:p w14:paraId="65BDB79E" w14:textId="305B0D57"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0.00%</w:t>
                </w:r>
              </w:p>
            </w:tc>
            <w:tc>
              <w:tcPr>
                <w:tcW w:w="417" w:type="pct"/>
                <w:shd w:val="clear" w:color="auto" w:fill="FFFFFF" w:themeFill="background2"/>
                <w:vAlign w:val="center"/>
              </w:tcPr>
              <w:p w14:paraId="3A3A1B6A" w14:textId="2E5BF271"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0.00%</w:t>
                </w:r>
              </w:p>
            </w:tc>
            <w:tc>
              <w:tcPr>
                <w:tcW w:w="417" w:type="pct"/>
                <w:shd w:val="clear" w:color="auto" w:fill="FFFFFF" w:themeFill="background2"/>
                <w:vAlign w:val="center"/>
              </w:tcPr>
              <w:p w14:paraId="623A8460" w14:textId="3363EAD7"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0.00%</w:t>
                </w:r>
              </w:p>
            </w:tc>
            <w:tc>
              <w:tcPr>
                <w:tcW w:w="413" w:type="pct"/>
                <w:shd w:val="clear" w:color="auto" w:fill="FFFFFF" w:themeFill="background2"/>
                <w:vAlign w:val="center"/>
              </w:tcPr>
              <w:p w14:paraId="79F55307" w14:textId="5F4AD113"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0.00%</w:t>
                </w:r>
              </w:p>
            </w:tc>
          </w:tr>
          <w:tr w:rsidR="007155EE" w:rsidRPr="008A3D29" w14:paraId="725B3780" w14:textId="77777777" w:rsidTr="00AC7D4E">
            <w:trPr>
              <w:trHeight w:val="227"/>
            </w:trPr>
            <w:tc>
              <w:tcPr>
                <w:tcW w:w="343" w:type="pct"/>
                <w:shd w:val="clear" w:color="auto" w:fill="FFFFFF" w:themeFill="background2"/>
                <w:tcMar>
                  <w:top w:w="60" w:type="dxa"/>
                  <w:left w:w="114" w:type="dxa"/>
                  <w:bottom w:w="60" w:type="dxa"/>
                  <w:right w:w="114" w:type="dxa"/>
                </w:tcMar>
                <w:vAlign w:val="center"/>
              </w:tcPr>
              <w:p w14:paraId="51D1597B" w14:textId="77777777" w:rsidR="007155EE" w:rsidRPr="008A3D29" w:rsidRDefault="007155EE" w:rsidP="008A3D29">
                <w:pPr>
                  <w:spacing w:before="0" w:line="240" w:lineRule="auto"/>
                  <w:jc w:val="left"/>
                  <w:rPr>
                    <w:rFonts w:eastAsia="Times New Roman" w:cs="Segoe UI"/>
                    <w:b/>
                    <w:bCs/>
                    <w:sz w:val="14"/>
                    <w:szCs w:val="14"/>
                    <w:lang w:val="en-GB" w:eastAsia="it-IT"/>
                  </w:rPr>
                </w:pPr>
                <w:r w:rsidRPr="008A3D29">
                  <w:rPr>
                    <w:rFonts w:cs="Segoe UI"/>
                    <w:b/>
                    <w:bCs/>
                    <w:sz w:val="14"/>
                    <w:szCs w:val="14"/>
                    <w:lang w:eastAsia="it-IT"/>
                  </w:rPr>
                  <w:t>A1.3</w:t>
                </w:r>
              </w:p>
            </w:tc>
            <w:tc>
              <w:tcPr>
                <w:tcW w:w="491" w:type="pct"/>
                <w:shd w:val="clear" w:color="auto" w:fill="FFFFFF" w:themeFill="background2"/>
                <w:tcMar>
                  <w:top w:w="60" w:type="dxa"/>
                  <w:left w:w="114" w:type="dxa"/>
                  <w:bottom w:w="60" w:type="dxa"/>
                  <w:right w:w="114" w:type="dxa"/>
                </w:tcMar>
                <w:vAlign w:val="center"/>
              </w:tcPr>
              <w:p w14:paraId="6762A40A" w14:textId="5443B026"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27</w:t>
                </w:r>
              </w:p>
            </w:tc>
            <w:tc>
              <w:tcPr>
                <w:tcW w:w="417" w:type="pct"/>
                <w:shd w:val="clear" w:color="auto" w:fill="FFFFFF" w:themeFill="background2"/>
                <w:tcMar>
                  <w:top w:w="60" w:type="dxa"/>
                  <w:left w:w="114" w:type="dxa"/>
                  <w:bottom w:w="60" w:type="dxa"/>
                  <w:right w:w="114" w:type="dxa"/>
                </w:tcMar>
                <w:vAlign w:val="center"/>
              </w:tcPr>
              <w:p w14:paraId="4E3C041A" w14:textId="26DAD51C"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0</w:t>
                </w:r>
              </w:p>
            </w:tc>
            <w:tc>
              <w:tcPr>
                <w:tcW w:w="417" w:type="pct"/>
                <w:shd w:val="clear" w:color="auto" w:fill="FFFFFF" w:themeFill="background2"/>
                <w:vAlign w:val="center"/>
              </w:tcPr>
              <w:p w14:paraId="6F762592" w14:textId="7327689F"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0</w:t>
                </w:r>
              </w:p>
            </w:tc>
            <w:tc>
              <w:tcPr>
                <w:tcW w:w="417" w:type="pct"/>
                <w:shd w:val="clear" w:color="auto" w:fill="FFFFFF" w:themeFill="background2"/>
                <w:vAlign w:val="center"/>
              </w:tcPr>
              <w:p w14:paraId="228C40DC" w14:textId="08AE63B4"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0</w:t>
                </w:r>
              </w:p>
            </w:tc>
            <w:tc>
              <w:tcPr>
                <w:tcW w:w="417" w:type="pct"/>
                <w:shd w:val="clear" w:color="auto" w:fill="FFFFFF" w:themeFill="background2"/>
                <w:vAlign w:val="center"/>
              </w:tcPr>
              <w:p w14:paraId="79A10445" w14:textId="4C278A88"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0</w:t>
                </w:r>
              </w:p>
            </w:tc>
            <w:tc>
              <w:tcPr>
                <w:tcW w:w="417" w:type="pct"/>
                <w:shd w:val="clear" w:color="auto" w:fill="FFFFFF" w:themeFill="background2"/>
                <w:vAlign w:val="center"/>
              </w:tcPr>
              <w:p w14:paraId="312DCECB" w14:textId="575F257B"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0</w:t>
                </w:r>
              </w:p>
            </w:tc>
            <w:tc>
              <w:tcPr>
                <w:tcW w:w="417" w:type="pct"/>
                <w:shd w:val="clear" w:color="auto" w:fill="FFFFFF" w:themeFill="background2"/>
                <w:vAlign w:val="center"/>
              </w:tcPr>
              <w:p w14:paraId="456301CF" w14:textId="0CD9FF5D"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0.00%</w:t>
                </w:r>
              </w:p>
            </w:tc>
            <w:tc>
              <w:tcPr>
                <w:tcW w:w="417" w:type="pct"/>
                <w:shd w:val="clear" w:color="auto" w:fill="FFFFFF" w:themeFill="background2"/>
                <w:vAlign w:val="center"/>
              </w:tcPr>
              <w:p w14:paraId="024947A8" w14:textId="3339B4CE"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0.00%</w:t>
                </w:r>
              </w:p>
            </w:tc>
            <w:tc>
              <w:tcPr>
                <w:tcW w:w="417" w:type="pct"/>
                <w:shd w:val="clear" w:color="auto" w:fill="FFFFFF" w:themeFill="background2"/>
                <w:vAlign w:val="center"/>
              </w:tcPr>
              <w:p w14:paraId="504EA942" w14:textId="11ED542A"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0.00%</w:t>
                </w:r>
              </w:p>
            </w:tc>
            <w:tc>
              <w:tcPr>
                <w:tcW w:w="417" w:type="pct"/>
                <w:shd w:val="clear" w:color="auto" w:fill="FFFFFF" w:themeFill="background2"/>
                <w:vAlign w:val="center"/>
              </w:tcPr>
              <w:p w14:paraId="74C02FC7" w14:textId="3C7111B0"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0.00%</w:t>
                </w:r>
              </w:p>
            </w:tc>
            <w:tc>
              <w:tcPr>
                <w:tcW w:w="413" w:type="pct"/>
                <w:shd w:val="clear" w:color="auto" w:fill="FFFFFF" w:themeFill="background2"/>
                <w:vAlign w:val="center"/>
              </w:tcPr>
              <w:p w14:paraId="0BF5DE3B" w14:textId="694D654A"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0.00%</w:t>
                </w:r>
              </w:p>
            </w:tc>
          </w:tr>
          <w:tr w:rsidR="007155EE" w:rsidRPr="008A3D29" w14:paraId="278775BD" w14:textId="77777777" w:rsidTr="00AC7D4E">
            <w:trPr>
              <w:trHeight w:val="227"/>
            </w:trPr>
            <w:tc>
              <w:tcPr>
                <w:tcW w:w="343" w:type="pct"/>
                <w:shd w:val="clear" w:color="auto" w:fill="FFFFFF" w:themeFill="background2"/>
                <w:tcMar>
                  <w:top w:w="60" w:type="dxa"/>
                  <w:left w:w="114" w:type="dxa"/>
                  <w:bottom w:w="60" w:type="dxa"/>
                  <w:right w:w="114" w:type="dxa"/>
                </w:tcMar>
                <w:vAlign w:val="center"/>
              </w:tcPr>
              <w:p w14:paraId="306D20F0" w14:textId="77777777" w:rsidR="007155EE" w:rsidRPr="008A3D29" w:rsidRDefault="007155EE" w:rsidP="008A3D29">
                <w:pPr>
                  <w:spacing w:before="0" w:line="240" w:lineRule="auto"/>
                  <w:jc w:val="left"/>
                  <w:rPr>
                    <w:rFonts w:eastAsia="Times New Roman" w:cs="Segoe UI"/>
                    <w:b/>
                    <w:bCs/>
                    <w:sz w:val="14"/>
                    <w:szCs w:val="14"/>
                    <w:lang w:val="en-GB" w:eastAsia="it-IT"/>
                  </w:rPr>
                </w:pPr>
                <w:r w:rsidRPr="008A3D29">
                  <w:rPr>
                    <w:rFonts w:cs="Segoe UI"/>
                    <w:b/>
                    <w:bCs/>
                    <w:sz w:val="14"/>
                    <w:szCs w:val="14"/>
                    <w:lang w:eastAsia="it-IT"/>
                  </w:rPr>
                  <w:t>A2.1</w:t>
                </w:r>
              </w:p>
            </w:tc>
            <w:tc>
              <w:tcPr>
                <w:tcW w:w="491" w:type="pct"/>
                <w:shd w:val="clear" w:color="auto" w:fill="FFFFFF" w:themeFill="background2"/>
                <w:tcMar>
                  <w:top w:w="60" w:type="dxa"/>
                  <w:left w:w="114" w:type="dxa"/>
                  <w:bottom w:w="60" w:type="dxa"/>
                  <w:right w:w="114" w:type="dxa"/>
                </w:tcMar>
                <w:vAlign w:val="center"/>
              </w:tcPr>
              <w:p w14:paraId="65955F57" w14:textId="5933B367"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253</w:t>
                </w:r>
              </w:p>
            </w:tc>
            <w:tc>
              <w:tcPr>
                <w:tcW w:w="417" w:type="pct"/>
                <w:shd w:val="clear" w:color="auto" w:fill="FFFFFF" w:themeFill="background2"/>
                <w:tcMar>
                  <w:top w:w="60" w:type="dxa"/>
                  <w:left w:w="114" w:type="dxa"/>
                  <w:bottom w:w="60" w:type="dxa"/>
                  <w:right w:w="114" w:type="dxa"/>
                </w:tcMar>
                <w:vAlign w:val="center"/>
              </w:tcPr>
              <w:p w14:paraId="2E7789BD" w14:textId="6CB4BA52"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0</w:t>
                </w:r>
              </w:p>
            </w:tc>
            <w:tc>
              <w:tcPr>
                <w:tcW w:w="417" w:type="pct"/>
                <w:shd w:val="clear" w:color="auto" w:fill="FFFFFF" w:themeFill="background2"/>
                <w:vAlign w:val="center"/>
              </w:tcPr>
              <w:p w14:paraId="3AEBD82D" w14:textId="417350D1"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0</w:t>
                </w:r>
              </w:p>
            </w:tc>
            <w:tc>
              <w:tcPr>
                <w:tcW w:w="417" w:type="pct"/>
                <w:shd w:val="clear" w:color="auto" w:fill="FFFFFF" w:themeFill="background2"/>
                <w:vAlign w:val="center"/>
              </w:tcPr>
              <w:p w14:paraId="04D0F8E3" w14:textId="3D8527A3"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0</w:t>
                </w:r>
              </w:p>
            </w:tc>
            <w:tc>
              <w:tcPr>
                <w:tcW w:w="417" w:type="pct"/>
                <w:shd w:val="clear" w:color="auto" w:fill="FFFFFF" w:themeFill="background2"/>
                <w:vAlign w:val="center"/>
              </w:tcPr>
              <w:p w14:paraId="5FE8DB54" w14:textId="313E7A01"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0</w:t>
                </w:r>
              </w:p>
            </w:tc>
            <w:tc>
              <w:tcPr>
                <w:tcW w:w="417" w:type="pct"/>
                <w:shd w:val="clear" w:color="auto" w:fill="FFFFFF" w:themeFill="background2"/>
                <w:vAlign w:val="center"/>
              </w:tcPr>
              <w:p w14:paraId="03330E92" w14:textId="2C802B7A"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0</w:t>
                </w:r>
              </w:p>
            </w:tc>
            <w:tc>
              <w:tcPr>
                <w:tcW w:w="417" w:type="pct"/>
                <w:shd w:val="clear" w:color="auto" w:fill="FFFFFF" w:themeFill="background2"/>
                <w:vAlign w:val="center"/>
              </w:tcPr>
              <w:p w14:paraId="58C29D7A" w14:textId="3A368EE9"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0.00%</w:t>
                </w:r>
              </w:p>
            </w:tc>
            <w:tc>
              <w:tcPr>
                <w:tcW w:w="417" w:type="pct"/>
                <w:shd w:val="clear" w:color="auto" w:fill="FFFFFF" w:themeFill="background2"/>
                <w:vAlign w:val="center"/>
              </w:tcPr>
              <w:p w14:paraId="3D203221" w14:textId="00EF50B4"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0.00%</w:t>
                </w:r>
              </w:p>
            </w:tc>
            <w:tc>
              <w:tcPr>
                <w:tcW w:w="417" w:type="pct"/>
                <w:shd w:val="clear" w:color="auto" w:fill="FFFFFF" w:themeFill="background2"/>
                <w:vAlign w:val="center"/>
              </w:tcPr>
              <w:p w14:paraId="1730008B" w14:textId="77F7C974"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0.00%</w:t>
                </w:r>
              </w:p>
            </w:tc>
            <w:tc>
              <w:tcPr>
                <w:tcW w:w="417" w:type="pct"/>
                <w:shd w:val="clear" w:color="auto" w:fill="FFFFFF" w:themeFill="background2"/>
                <w:vAlign w:val="center"/>
              </w:tcPr>
              <w:p w14:paraId="2791A532" w14:textId="0B9F465A"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0.00%</w:t>
                </w:r>
              </w:p>
            </w:tc>
            <w:tc>
              <w:tcPr>
                <w:tcW w:w="413" w:type="pct"/>
                <w:shd w:val="clear" w:color="auto" w:fill="FFFFFF" w:themeFill="background2"/>
                <w:vAlign w:val="center"/>
              </w:tcPr>
              <w:p w14:paraId="197B3AB2" w14:textId="493EBAF7"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0.00%</w:t>
                </w:r>
              </w:p>
            </w:tc>
          </w:tr>
          <w:tr w:rsidR="007155EE" w:rsidRPr="008A3D29" w14:paraId="2C753092" w14:textId="77777777" w:rsidTr="00AC7D4E">
            <w:trPr>
              <w:trHeight w:val="227"/>
            </w:trPr>
            <w:tc>
              <w:tcPr>
                <w:tcW w:w="343" w:type="pct"/>
                <w:shd w:val="clear" w:color="auto" w:fill="FFFFFF" w:themeFill="background2"/>
                <w:tcMar>
                  <w:top w:w="60" w:type="dxa"/>
                  <w:left w:w="114" w:type="dxa"/>
                  <w:bottom w:w="60" w:type="dxa"/>
                  <w:right w:w="114" w:type="dxa"/>
                </w:tcMar>
                <w:vAlign w:val="center"/>
              </w:tcPr>
              <w:p w14:paraId="12BC9A8C" w14:textId="77777777" w:rsidR="007155EE" w:rsidRPr="008A3D29" w:rsidRDefault="007155EE" w:rsidP="008A3D29">
                <w:pPr>
                  <w:spacing w:before="0" w:line="240" w:lineRule="auto"/>
                  <w:jc w:val="left"/>
                  <w:rPr>
                    <w:rFonts w:eastAsia="Times New Roman" w:cs="Segoe UI"/>
                    <w:b/>
                    <w:bCs/>
                    <w:sz w:val="14"/>
                    <w:szCs w:val="14"/>
                    <w:lang w:val="en-GB" w:eastAsia="it-IT"/>
                  </w:rPr>
                </w:pPr>
                <w:r w:rsidRPr="008A3D29">
                  <w:rPr>
                    <w:rFonts w:cs="Segoe UI"/>
                    <w:b/>
                    <w:bCs/>
                    <w:sz w:val="14"/>
                    <w:szCs w:val="14"/>
                    <w:lang w:eastAsia="it-IT"/>
                  </w:rPr>
                  <w:t>A2.2</w:t>
                </w:r>
              </w:p>
            </w:tc>
            <w:tc>
              <w:tcPr>
                <w:tcW w:w="491" w:type="pct"/>
                <w:shd w:val="clear" w:color="auto" w:fill="FFFFFF" w:themeFill="background2"/>
                <w:tcMar>
                  <w:top w:w="60" w:type="dxa"/>
                  <w:left w:w="114" w:type="dxa"/>
                  <w:bottom w:w="60" w:type="dxa"/>
                  <w:right w:w="114" w:type="dxa"/>
                </w:tcMar>
                <w:vAlign w:val="center"/>
              </w:tcPr>
              <w:p w14:paraId="688199E4" w14:textId="06976815"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1,650</w:t>
                </w:r>
              </w:p>
            </w:tc>
            <w:tc>
              <w:tcPr>
                <w:tcW w:w="417" w:type="pct"/>
                <w:shd w:val="clear" w:color="auto" w:fill="FFFFFF" w:themeFill="background2"/>
                <w:tcMar>
                  <w:top w:w="60" w:type="dxa"/>
                  <w:left w:w="114" w:type="dxa"/>
                  <w:bottom w:w="60" w:type="dxa"/>
                  <w:right w:w="114" w:type="dxa"/>
                </w:tcMar>
                <w:vAlign w:val="center"/>
              </w:tcPr>
              <w:p w14:paraId="4EF9A009" w14:textId="54869370"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0</w:t>
                </w:r>
              </w:p>
            </w:tc>
            <w:tc>
              <w:tcPr>
                <w:tcW w:w="417" w:type="pct"/>
                <w:shd w:val="clear" w:color="auto" w:fill="FFFFFF" w:themeFill="background2"/>
                <w:vAlign w:val="center"/>
              </w:tcPr>
              <w:p w14:paraId="597D5BCD" w14:textId="4448E1DD"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1</w:t>
                </w:r>
              </w:p>
            </w:tc>
            <w:tc>
              <w:tcPr>
                <w:tcW w:w="417" w:type="pct"/>
                <w:shd w:val="clear" w:color="auto" w:fill="FFFFFF" w:themeFill="background2"/>
                <w:vAlign w:val="center"/>
              </w:tcPr>
              <w:p w14:paraId="39379BD8" w14:textId="194ECE43"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3</w:t>
                </w:r>
              </w:p>
            </w:tc>
            <w:tc>
              <w:tcPr>
                <w:tcW w:w="417" w:type="pct"/>
                <w:shd w:val="clear" w:color="auto" w:fill="FFFFFF" w:themeFill="background2"/>
                <w:vAlign w:val="center"/>
              </w:tcPr>
              <w:p w14:paraId="2562752D" w14:textId="15499E5F"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6</w:t>
                </w:r>
              </w:p>
            </w:tc>
            <w:tc>
              <w:tcPr>
                <w:tcW w:w="417" w:type="pct"/>
                <w:shd w:val="clear" w:color="auto" w:fill="FFFFFF" w:themeFill="background2"/>
                <w:vAlign w:val="center"/>
              </w:tcPr>
              <w:p w14:paraId="4D3612AB" w14:textId="67588C07"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11</w:t>
                </w:r>
              </w:p>
            </w:tc>
            <w:tc>
              <w:tcPr>
                <w:tcW w:w="417" w:type="pct"/>
                <w:shd w:val="clear" w:color="auto" w:fill="FFFFFF" w:themeFill="background2"/>
                <w:vAlign w:val="center"/>
              </w:tcPr>
              <w:p w14:paraId="2E77035D" w14:textId="788CAB7E"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0.00%</w:t>
                </w:r>
              </w:p>
            </w:tc>
            <w:tc>
              <w:tcPr>
                <w:tcW w:w="417" w:type="pct"/>
                <w:shd w:val="clear" w:color="auto" w:fill="FFFFFF" w:themeFill="background2"/>
                <w:vAlign w:val="center"/>
              </w:tcPr>
              <w:p w14:paraId="26C8C713" w14:textId="4631D054"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0.06%</w:t>
                </w:r>
              </w:p>
            </w:tc>
            <w:tc>
              <w:tcPr>
                <w:tcW w:w="417" w:type="pct"/>
                <w:shd w:val="clear" w:color="auto" w:fill="FFFFFF" w:themeFill="background2"/>
                <w:vAlign w:val="center"/>
              </w:tcPr>
              <w:p w14:paraId="7F89F7E5" w14:textId="4B6E2E35"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0.18%</w:t>
                </w:r>
              </w:p>
            </w:tc>
            <w:tc>
              <w:tcPr>
                <w:tcW w:w="417" w:type="pct"/>
                <w:shd w:val="clear" w:color="auto" w:fill="FFFFFF" w:themeFill="background2"/>
                <w:vAlign w:val="center"/>
              </w:tcPr>
              <w:p w14:paraId="6AF7FDC8" w14:textId="6C15AB11"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0.36%</w:t>
                </w:r>
              </w:p>
            </w:tc>
            <w:tc>
              <w:tcPr>
                <w:tcW w:w="413" w:type="pct"/>
                <w:shd w:val="clear" w:color="auto" w:fill="FFFFFF" w:themeFill="background2"/>
                <w:vAlign w:val="center"/>
              </w:tcPr>
              <w:p w14:paraId="46CFC995" w14:textId="2E80E8C9"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0.67%</w:t>
                </w:r>
              </w:p>
            </w:tc>
          </w:tr>
          <w:tr w:rsidR="007155EE" w:rsidRPr="008A3D29" w14:paraId="7C1C6955" w14:textId="77777777" w:rsidTr="00AC7D4E">
            <w:trPr>
              <w:trHeight w:val="227"/>
            </w:trPr>
            <w:tc>
              <w:tcPr>
                <w:tcW w:w="343" w:type="pct"/>
                <w:shd w:val="clear" w:color="auto" w:fill="FFFFFF" w:themeFill="background2"/>
                <w:tcMar>
                  <w:top w:w="60" w:type="dxa"/>
                  <w:left w:w="114" w:type="dxa"/>
                  <w:bottom w:w="60" w:type="dxa"/>
                  <w:right w:w="114" w:type="dxa"/>
                </w:tcMar>
                <w:vAlign w:val="center"/>
              </w:tcPr>
              <w:p w14:paraId="26D529E8" w14:textId="77777777" w:rsidR="007155EE" w:rsidRPr="008A3D29" w:rsidRDefault="007155EE" w:rsidP="008A3D29">
                <w:pPr>
                  <w:spacing w:before="0" w:line="240" w:lineRule="auto"/>
                  <w:jc w:val="left"/>
                  <w:rPr>
                    <w:rFonts w:eastAsia="Times New Roman" w:cs="Segoe UI"/>
                    <w:b/>
                    <w:bCs/>
                    <w:sz w:val="14"/>
                    <w:szCs w:val="14"/>
                    <w:lang w:val="en-GB" w:eastAsia="it-IT"/>
                  </w:rPr>
                </w:pPr>
                <w:r w:rsidRPr="008A3D29">
                  <w:rPr>
                    <w:rFonts w:cs="Segoe UI"/>
                    <w:b/>
                    <w:bCs/>
                    <w:sz w:val="14"/>
                    <w:szCs w:val="14"/>
                    <w:lang w:eastAsia="it-IT"/>
                  </w:rPr>
                  <w:t>A3.1</w:t>
                </w:r>
              </w:p>
            </w:tc>
            <w:tc>
              <w:tcPr>
                <w:tcW w:w="491" w:type="pct"/>
                <w:shd w:val="clear" w:color="auto" w:fill="FFFFFF" w:themeFill="background2"/>
                <w:tcMar>
                  <w:top w:w="60" w:type="dxa"/>
                  <w:left w:w="114" w:type="dxa"/>
                  <w:bottom w:w="60" w:type="dxa"/>
                  <w:right w:w="114" w:type="dxa"/>
                </w:tcMar>
                <w:vAlign w:val="center"/>
              </w:tcPr>
              <w:p w14:paraId="5AB56D17" w14:textId="226F279C"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6,144</w:t>
                </w:r>
              </w:p>
            </w:tc>
            <w:tc>
              <w:tcPr>
                <w:tcW w:w="417" w:type="pct"/>
                <w:shd w:val="clear" w:color="auto" w:fill="FFFFFF" w:themeFill="background2"/>
                <w:tcMar>
                  <w:top w:w="60" w:type="dxa"/>
                  <w:left w:w="114" w:type="dxa"/>
                  <w:bottom w:w="60" w:type="dxa"/>
                  <w:right w:w="114" w:type="dxa"/>
                </w:tcMar>
                <w:vAlign w:val="center"/>
              </w:tcPr>
              <w:p w14:paraId="7D26F3F4" w14:textId="07838075"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7</w:t>
                </w:r>
              </w:p>
            </w:tc>
            <w:tc>
              <w:tcPr>
                <w:tcW w:w="417" w:type="pct"/>
                <w:shd w:val="clear" w:color="auto" w:fill="FFFFFF" w:themeFill="background2"/>
                <w:vAlign w:val="center"/>
              </w:tcPr>
              <w:p w14:paraId="5A69C75C" w14:textId="700542F4"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17</w:t>
                </w:r>
              </w:p>
            </w:tc>
            <w:tc>
              <w:tcPr>
                <w:tcW w:w="417" w:type="pct"/>
                <w:shd w:val="clear" w:color="auto" w:fill="FFFFFF" w:themeFill="background2"/>
                <w:vAlign w:val="center"/>
              </w:tcPr>
              <w:p w14:paraId="2711E7AB" w14:textId="695E29C0"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29</w:t>
                </w:r>
              </w:p>
            </w:tc>
            <w:tc>
              <w:tcPr>
                <w:tcW w:w="417" w:type="pct"/>
                <w:shd w:val="clear" w:color="auto" w:fill="FFFFFF" w:themeFill="background2"/>
                <w:vAlign w:val="center"/>
              </w:tcPr>
              <w:p w14:paraId="74F15D64" w14:textId="013416CF"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62</w:t>
                </w:r>
              </w:p>
            </w:tc>
            <w:tc>
              <w:tcPr>
                <w:tcW w:w="417" w:type="pct"/>
                <w:shd w:val="clear" w:color="auto" w:fill="FFFFFF" w:themeFill="background2"/>
                <w:vAlign w:val="center"/>
              </w:tcPr>
              <w:p w14:paraId="6A98B019" w14:textId="497E655F"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95</w:t>
                </w:r>
              </w:p>
            </w:tc>
            <w:tc>
              <w:tcPr>
                <w:tcW w:w="417" w:type="pct"/>
                <w:shd w:val="clear" w:color="auto" w:fill="FFFFFF" w:themeFill="background2"/>
                <w:vAlign w:val="center"/>
              </w:tcPr>
              <w:p w14:paraId="7EA8A923" w14:textId="5959D57C"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0.11%</w:t>
                </w:r>
              </w:p>
            </w:tc>
            <w:tc>
              <w:tcPr>
                <w:tcW w:w="417" w:type="pct"/>
                <w:shd w:val="clear" w:color="auto" w:fill="FFFFFF" w:themeFill="background2"/>
                <w:vAlign w:val="center"/>
              </w:tcPr>
              <w:p w14:paraId="276D9FCC" w14:textId="091DD672"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0.28%</w:t>
                </w:r>
              </w:p>
            </w:tc>
            <w:tc>
              <w:tcPr>
                <w:tcW w:w="417" w:type="pct"/>
                <w:shd w:val="clear" w:color="auto" w:fill="FFFFFF" w:themeFill="background2"/>
                <w:vAlign w:val="center"/>
              </w:tcPr>
              <w:p w14:paraId="33982728" w14:textId="39697285"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0.47%</w:t>
                </w:r>
              </w:p>
            </w:tc>
            <w:tc>
              <w:tcPr>
                <w:tcW w:w="417" w:type="pct"/>
                <w:shd w:val="clear" w:color="auto" w:fill="FFFFFF" w:themeFill="background2"/>
                <w:vAlign w:val="center"/>
              </w:tcPr>
              <w:p w14:paraId="6F22FF66" w14:textId="4C9A917B"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1.01%</w:t>
                </w:r>
              </w:p>
            </w:tc>
            <w:tc>
              <w:tcPr>
                <w:tcW w:w="413" w:type="pct"/>
                <w:shd w:val="clear" w:color="auto" w:fill="FFFFFF" w:themeFill="background2"/>
                <w:vAlign w:val="center"/>
              </w:tcPr>
              <w:p w14:paraId="2CACCC0A" w14:textId="0D7411E3"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1.55%</w:t>
                </w:r>
              </w:p>
            </w:tc>
          </w:tr>
          <w:tr w:rsidR="007155EE" w:rsidRPr="008A3D29" w14:paraId="31EA5B64" w14:textId="77777777" w:rsidTr="00AC7D4E">
            <w:trPr>
              <w:trHeight w:val="227"/>
            </w:trPr>
            <w:tc>
              <w:tcPr>
                <w:tcW w:w="343" w:type="pct"/>
                <w:shd w:val="clear" w:color="auto" w:fill="FFFFFF" w:themeFill="background2"/>
                <w:tcMar>
                  <w:top w:w="60" w:type="dxa"/>
                  <w:left w:w="114" w:type="dxa"/>
                  <w:bottom w:w="60" w:type="dxa"/>
                  <w:right w:w="114" w:type="dxa"/>
                </w:tcMar>
                <w:vAlign w:val="center"/>
              </w:tcPr>
              <w:p w14:paraId="6901C994" w14:textId="77777777" w:rsidR="007155EE" w:rsidRPr="008A3D29" w:rsidRDefault="007155EE" w:rsidP="008A3D29">
                <w:pPr>
                  <w:spacing w:before="0" w:line="240" w:lineRule="auto"/>
                  <w:jc w:val="left"/>
                  <w:rPr>
                    <w:rFonts w:eastAsia="Times New Roman" w:cs="Segoe UI"/>
                    <w:b/>
                    <w:bCs/>
                    <w:sz w:val="14"/>
                    <w:szCs w:val="14"/>
                    <w:lang w:val="en-GB" w:eastAsia="it-IT"/>
                  </w:rPr>
                </w:pPr>
                <w:r w:rsidRPr="008A3D29">
                  <w:rPr>
                    <w:rFonts w:cs="Segoe UI"/>
                    <w:b/>
                    <w:bCs/>
                    <w:sz w:val="14"/>
                    <w:szCs w:val="14"/>
                    <w:lang w:eastAsia="it-IT"/>
                  </w:rPr>
                  <w:t>B1.1</w:t>
                </w:r>
              </w:p>
            </w:tc>
            <w:tc>
              <w:tcPr>
                <w:tcW w:w="491" w:type="pct"/>
                <w:shd w:val="clear" w:color="auto" w:fill="FFFFFF" w:themeFill="background2"/>
                <w:tcMar>
                  <w:top w:w="60" w:type="dxa"/>
                  <w:left w:w="114" w:type="dxa"/>
                  <w:bottom w:w="60" w:type="dxa"/>
                  <w:right w:w="114" w:type="dxa"/>
                </w:tcMar>
                <w:vAlign w:val="center"/>
              </w:tcPr>
              <w:p w14:paraId="049F1B98" w14:textId="38DEEAF0"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9,996</w:t>
                </w:r>
              </w:p>
            </w:tc>
            <w:tc>
              <w:tcPr>
                <w:tcW w:w="417" w:type="pct"/>
                <w:shd w:val="clear" w:color="auto" w:fill="FFFFFF" w:themeFill="background2"/>
                <w:tcMar>
                  <w:top w:w="60" w:type="dxa"/>
                  <w:left w:w="114" w:type="dxa"/>
                  <w:bottom w:w="60" w:type="dxa"/>
                  <w:right w:w="114" w:type="dxa"/>
                </w:tcMar>
                <w:vAlign w:val="center"/>
              </w:tcPr>
              <w:p w14:paraId="66F24E1D" w14:textId="06AC525A"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25</w:t>
                </w:r>
              </w:p>
            </w:tc>
            <w:tc>
              <w:tcPr>
                <w:tcW w:w="417" w:type="pct"/>
                <w:shd w:val="clear" w:color="auto" w:fill="FFFFFF" w:themeFill="background2"/>
                <w:vAlign w:val="center"/>
              </w:tcPr>
              <w:p w14:paraId="78AB9BB4" w14:textId="7D4D7BF8"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72</w:t>
                </w:r>
              </w:p>
            </w:tc>
            <w:tc>
              <w:tcPr>
                <w:tcW w:w="417" w:type="pct"/>
                <w:shd w:val="clear" w:color="auto" w:fill="FFFFFF" w:themeFill="background2"/>
                <w:vAlign w:val="center"/>
              </w:tcPr>
              <w:p w14:paraId="6A813B2E" w14:textId="474C4049"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117</w:t>
                </w:r>
              </w:p>
            </w:tc>
            <w:tc>
              <w:tcPr>
                <w:tcW w:w="417" w:type="pct"/>
                <w:shd w:val="clear" w:color="auto" w:fill="FFFFFF" w:themeFill="background2"/>
                <w:vAlign w:val="center"/>
              </w:tcPr>
              <w:p w14:paraId="7AC83809" w14:textId="03C1BB9A"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230</w:t>
                </w:r>
              </w:p>
            </w:tc>
            <w:tc>
              <w:tcPr>
                <w:tcW w:w="417" w:type="pct"/>
                <w:shd w:val="clear" w:color="auto" w:fill="FFFFFF" w:themeFill="background2"/>
                <w:vAlign w:val="center"/>
              </w:tcPr>
              <w:p w14:paraId="6E1AB9C9" w14:textId="46C573EA"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342</w:t>
                </w:r>
              </w:p>
            </w:tc>
            <w:tc>
              <w:tcPr>
                <w:tcW w:w="417" w:type="pct"/>
                <w:shd w:val="clear" w:color="auto" w:fill="FFFFFF" w:themeFill="background2"/>
                <w:vAlign w:val="center"/>
              </w:tcPr>
              <w:p w14:paraId="1256526D" w14:textId="3B6DCCF2"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0.25%</w:t>
                </w:r>
              </w:p>
            </w:tc>
            <w:tc>
              <w:tcPr>
                <w:tcW w:w="417" w:type="pct"/>
                <w:shd w:val="clear" w:color="auto" w:fill="FFFFFF" w:themeFill="background2"/>
                <w:vAlign w:val="center"/>
              </w:tcPr>
              <w:p w14:paraId="14A4E390" w14:textId="32265E0A"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0.72%</w:t>
                </w:r>
              </w:p>
            </w:tc>
            <w:tc>
              <w:tcPr>
                <w:tcW w:w="417" w:type="pct"/>
                <w:shd w:val="clear" w:color="auto" w:fill="FFFFFF" w:themeFill="background2"/>
                <w:vAlign w:val="center"/>
              </w:tcPr>
              <w:p w14:paraId="14BAB520" w14:textId="623FC299"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1.17%</w:t>
                </w:r>
              </w:p>
            </w:tc>
            <w:tc>
              <w:tcPr>
                <w:tcW w:w="417" w:type="pct"/>
                <w:shd w:val="clear" w:color="auto" w:fill="FFFFFF" w:themeFill="background2"/>
                <w:vAlign w:val="center"/>
              </w:tcPr>
              <w:p w14:paraId="59C34DBD" w14:textId="3DE0BC06"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2.30%</w:t>
                </w:r>
              </w:p>
            </w:tc>
            <w:tc>
              <w:tcPr>
                <w:tcW w:w="413" w:type="pct"/>
                <w:shd w:val="clear" w:color="auto" w:fill="FFFFFF" w:themeFill="background2"/>
                <w:vAlign w:val="center"/>
              </w:tcPr>
              <w:p w14:paraId="348A1F95" w14:textId="3CE5F7D6"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3.42%</w:t>
                </w:r>
              </w:p>
            </w:tc>
          </w:tr>
          <w:tr w:rsidR="007155EE" w:rsidRPr="008A3D29" w14:paraId="72A1507D" w14:textId="77777777" w:rsidTr="00AC7D4E">
            <w:trPr>
              <w:trHeight w:val="227"/>
            </w:trPr>
            <w:tc>
              <w:tcPr>
                <w:tcW w:w="343" w:type="pct"/>
                <w:shd w:val="clear" w:color="auto" w:fill="FFFFFF" w:themeFill="background2"/>
                <w:tcMar>
                  <w:top w:w="60" w:type="dxa"/>
                  <w:left w:w="114" w:type="dxa"/>
                  <w:bottom w:w="60" w:type="dxa"/>
                  <w:right w:w="114" w:type="dxa"/>
                </w:tcMar>
                <w:vAlign w:val="center"/>
              </w:tcPr>
              <w:p w14:paraId="06C0D104" w14:textId="77777777" w:rsidR="007155EE" w:rsidRPr="008A3D29" w:rsidRDefault="007155EE" w:rsidP="008A3D29">
                <w:pPr>
                  <w:spacing w:before="0" w:line="240" w:lineRule="auto"/>
                  <w:jc w:val="left"/>
                  <w:rPr>
                    <w:rFonts w:eastAsia="Times New Roman" w:cs="Segoe UI"/>
                    <w:b/>
                    <w:bCs/>
                    <w:sz w:val="14"/>
                    <w:szCs w:val="14"/>
                    <w:lang w:val="en-GB" w:eastAsia="it-IT"/>
                  </w:rPr>
                </w:pPr>
                <w:r w:rsidRPr="008A3D29">
                  <w:rPr>
                    <w:rFonts w:cs="Segoe UI"/>
                    <w:b/>
                    <w:bCs/>
                    <w:sz w:val="14"/>
                    <w:szCs w:val="14"/>
                    <w:lang w:eastAsia="it-IT"/>
                  </w:rPr>
                  <w:t>B1.2</w:t>
                </w:r>
              </w:p>
            </w:tc>
            <w:tc>
              <w:tcPr>
                <w:tcW w:w="491" w:type="pct"/>
                <w:shd w:val="clear" w:color="auto" w:fill="FFFFFF" w:themeFill="background2"/>
                <w:tcMar>
                  <w:top w:w="60" w:type="dxa"/>
                  <w:left w:w="114" w:type="dxa"/>
                  <w:bottom w:w="60" w:type="dxa"/>
                  <w:right w:w="114" w:type="dxa"/>
                </w:tcMar>
                <w:vAlign w:val="center"/>
              </w:tcPr>
              <w:p w14:paraId="2E1F3715" w14:textId="5D6196B2"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16,298</w:t>
                </w:r>
              </w:p>
            </w:tc>
            <w:tc>
              <w:tcPr>
                <w:tcW w:w="417" w:type="pct"/>
                <w:shd w:val="clear" w:color="auto" w:fill="FFFFFF" w:themeFill="background2"/>
                <w:tcMar>
                  <w:top w:w="60" w:type="dxa"/>
                  <w:left w:w="114" w:type="dxa"/>
                  <w:bottom w:w="60" w:type="dxa"/>
                  <w:right w:w="114" w:type="dxa"/>
                </w:tcMar>
                <w:vAlign w:val="center"/>
              </w:tcPr>
              <w:p w14:paraId="7E90F60B" w14:textId="1F57A80B"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100</w:t>
                </w:r>
              </w:p>
            </w:tc>
            <w:tc>
              <w:tcPr>
                <w:tcW w:w="417" w:type="pct"/>
                <w:shd w:val="clear" w:color="auto" w:fill="FFFFFF" w:themeFill="background2"/>
                <w:vAlign w:val="center"/>
              </w:tcPr>
              <w:p w14:paraId="1A3C06E6" w14:textId="3F00E71E"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277</w:t>
                </w:r>
              </w:p>
            </w:tc>
            <w:tc>
              <w:tcPr>
                <w:tcW w:w="417" w:type="pct"/>
                <w:shd w:val="clear" w:color="auto" w:fill="FFFFFF" w:themeFill="background2"/>
                <w:vAlign w:val="center"/>
              </w:tcPr>
              <w:p w14:paraId="0BE1659F" w14:textId="7BEF4783"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386</w:t>
                </w:r>
              </w:p>
            </w:tc>
            <w:tc>
              <w:tcPr>
                <w:tcW w:w="417" w:type="pct"/>
                <w:shd w:val="clear" w:color="auto" w:fill="FFFFFF" w:themeFill="background2"/>
                <w:vAlign w:val="center"/>
              </w:tcPr>
              <w:p w14:paraId="610443DA" w14:textId="3CF63C57"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666</w:t>
                </w:r>
              </w:p>
            </w:tc>
            <w:tc>
              <w:tcPr>
                <w:tcW w:w="417" w:type="pct"/>
                <w:shd w:val="clear" w:color="auto" w:fill="FFFFFF" w:themeFill="background2"/>
                <w:vAlign w:val="center"/>
              </w:tcPr>
              <w:p w14:paraId="7BABD9C8" w14:textId="342978FF"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934</w:t>
                </w:r>
              </w:p>
            </w:tc>
            <w:tc>
              <w:tcPr>
                <w:tcW w:w="417" w:type="pct"/>
                <w:shd w:val="clear" w:color="auto" w:fill="FFFFFF" w:themeFill="background2"/>
                <w:vAlign w:val="center"/>
              </w:tcPr>
              <w:p w14:paraId="0ACEDAD3" w14:textId="2941D85E"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0.61%</w:t>
                </w:r>
              </w:p>
            </w:tc>
            <w:tc>
              <w:tcPr>
                <w:tcW w:w="417" w:type="pct"/>
                <w:shd w:val="clear" w:color="auto" w:fill="FFFFFF" w:themeFill="background2"/>
                <w:vAlign w:val="center"/>
              </w:tcPr>
              <w:p w14:paraId="3CAD8C39" w14:textId="1A2AA2E8"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1.70%</w:t>
                </w:r>
              </w:p>
            </w:tc>
            <w:tc>
              <w:tcPr>
                <w:tcW w:w="417" w:type="pct"/>
                <w:shd w:val="clear" w:color="auto" w:fill="FFFFFF" w:themeFill="background2"/>
                <w:vAlign w:val="center"/>
              </w:tcPr>
              <w:p w14:paraId="68E929B1" w14:textId="6D194F22"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2.37%</w:t>
                </w:r>
              </w:p>
            </w:tc>
            <w:tc>
              <w:tcPr>
                <w:tcW w:w="417" w:type="pct"/>
                <w:shd w:val="clear" w:color="auto" w:fill="FFFFFF" w:themeFill="background2"/>
                <w:vAlign w:val="center"/>
              </w:tcPr>
              <w:p w14:paraId="53F153FA" w14:textId="67F5A9A9"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4.09%</w:t>
                </w:r>
              </w:p>
            </w:tc>
            <w:tc>
              <w:tcPr>
                <w:tcW w:w="413" w:type="pct"/>
                <w:shd w:val="clear" w:color="auto" w:fill="FFFFFF" w:themeFill="background2"/>
                <w:vAlign w:val="center"/>
              </w:tcPr>
              <w:p w14:paraId="6C2F6E24" w14:textId="3A8A73F7"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5.73%</w:t>
                </w:r>
              </w:p>
            </w:tc>
          </w:tr>
          <w:tr w:rsidR="007155EE" w:rsidRPr="008A3D29" w14:paraId="30931197" w14:textId="77777777" w:rsidTr="00AC7D4E">
            <w:trPr>
              <w:trHeight w:val="227"/>
            </w:trPr>
            <w:tc>
              <w:tcPr>
                <w:tcW w:w="343" w:type="pct"/>
                <w:shd w:val="clear" w:color="auto" w:fill="FFFFFF" w:themeFill="background2"/>
                <w:tcMar>
                  <w:top w:w="60" w:type="dxa"/>
                  <w:left w:w="114" w:type="dxa"/>
                  <w:bottom w:w="60" w:type="dxa"/>
                  <w:right w:w="114" w:type="dxa"/>
                </w:tcMar>
                <w:vAlign w:val="center"/>
              </w:tcPr>
              <w:p w14:paraId="3199BD87" w14:textId="77777777" w:rsidR="007155EE" w:rsidRPr="008A3D29" w:rsidRDefault="007155EE" w:rsidP="008A3D29">
                <w:pPr>
                  <w:spacing w:before="0" w:line="240" w:lineRule="auto"/>
                  <w:jc w:val="left"/>
                  <w:rPr>
                    <w:rFonts w:eastAsia="Times New Roman" w:cs="Segoe UI"/>
                    <w:b/>
                    <w:bCs/>
                    <w:sz w:val="14"/>
                    <w:szCs w:val="14"/>
                    <w:lang w:val="en-GB" w:eastAsia="it-IT"/>
                  </w:rPr>
                </w:pPr>
                <w:r w:rsidRPr="008A3D29">
                  <w:rPr>
                    <w:rFonts w:cs="Segoe UI"/>
                    <w:b/>
                    <w:bCs/>
                    <w:sz w:val="14"/>
                    <w:szCs w:val="14"/>
                    <w:lang w:eastAsia="it-IT"/>
                  </w:rPr>
                  <w:t>B2.1</w:t>
                </w:r>
              </w:p>
            </w:tc>
            <w:tc>
              <w:tcPr>
                <w:tcW w:w="491" w:type="pct"/>
                <w:shd w:val="clear" w:color="auto" w:fill="FFFFFF" w:themeFill="background2"/>
                <w:tcMar>
                  <w:top w:w="60" w:type="dxa"/>
                  <w:left w:w="114" w:type="dxa"/>
                  <w:bottom w:w="60" w:type="dxa"/>
                  <w:right w:w="114" w:type="dxa"/>
                </w:tcMar>
                <w:vAlign w:val="center"/>
              </w:tcPr>
              <w:p w14:paraId="7208B018" w14:textId="5CB7D193"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19,077</w:t>
                </w:r>
              </w:p>
            </w:tc>
            <w:tc>
              <w:tcPr>
                <w:tcW w:w="417" w:type="pct"/>
                <w:shd w:val="clear" w:color="auto" w:fill="FFFFFF" w:themeFill="background2"/>
                <w:tcMar>
                  <w:top w:w="60" w:type="dxa"/>
                  <w:left w:w="114" w:type="dxa"/>
                  <w:bottom w:w="60" w:type="dxa"/>
                  <w:right w:w="114" w:type="dxa"/>
                </w:tcMar>
                <w:vAlign w:val="center"/>
              </w:tcPr>
              <w:p w14:paraId="52587092" w14:textId="14DEF12A"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259</w:t>
                </w:r>
              </w:p>
            </w:tc>
            <w:tc>
              <w:tcPr>
                <w:tcW w:w="417" w:type="pct"/>
                <w:shd w:val="clear" w:color="auto" w:fill="FFFFFF" w:themeFill="background2"/>
                <w:vAlign w:val="center"/>
              </w:tcPr>
              <w:p w14:paraId="25E36197" w14:textId="0D793470"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769</w:t>
                </w:r>
              </w:p>
            </w:tc>
            <w:tc>
              <w:tcPr>
                <w:tcW w:w="417" w:type="pct"/>
                <w:shd w:val="clear" w:color="auto" w:fill="FFFFFF" w:themeFill="background2"/>
                <w:vAlign w:val="center"/>
              </w:tcPr>
              <w:p w14:paraId="1F239B73" w14:textId="302983A8"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974</w:t>
                </w:r>
              </w:p>
            </w:tc>
            <w:tc>
              <w:tcPr>
                <w:tcW w:w="417" w:type="pct"/>
                <w:shd w:val="clear" w:color="auto" w:fill="FFFFFF" w:themeFill="background2"/>
                <w:vAlign w:val="center"/>
              </w:tcPr>
              <w:p w14:paraId="340F4A18" w14:textId="4DC4619E"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1,618</w:t>
                </w:r>
              </w:p>
            </w:tc>
            <w:tc>
              <w:tcPr>
                <w:tcW w:w="417" w:type="pct"/>
                <w:shd w:val="clear" w:color="auto" w:fill="FFFFFF" w:themeFill="background2"/>
                <w:vAlign w:val="center"/>
              </w:tcPr>
              <w:p w14:paraId="499A40DA" w14:textId="4E4BDD28"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2,121</w:t>
                </w:r>
              </w:p>
            </w:tc>
            <w:tc>
              <w:tcPr>
                <w:tcW w:w="417" w:type="pct"/>
                <w:shd w:val="clear" w:color="auto" w:fill="FFFFFF" w:themeFill="background2"/>
                <w:vAlign w:val="center"/>
              </w:tcPr>
              <w:p w14:paraId="3DB6C5A2" w14:textId="1E6383AB"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1.36%</w:t>
                </w:r>
              </w:p>
            </w:tc>
            <w:tc>
              <w:tcPr>
                <w:tcW w:w="417" w:type="pct"/>
                <w:shd w:val="clear" w:color="auto" w:fill="FFFFFF" w:themeFill="background2"/>
                <w:vAlign w:val="center"/>
              </w:tcPr>
              <w:p w14:paraId="27C8BAE9" w14:textId="3B8806BE" w:rsidR="007155EE" w:rsidRPr="008A3D29" w:rsidRDefault="007155EE" w:rsidP="008A3D29">
                <w:pPr>
                  <w:spacing w:before="0" w:line="240" w:lineRule="auto"/>
                  <w:jc w:val="center"/>
                  <w:rPr>
                    <w:b/>
                    <w:color w:val="33A1AB" w:themeColor="accent2"/>
                    <w:sz w:val="14"/>
                    <w:szCs w:val="14"/>
                  </w:rPr>
                </w:pPr>
                <w:r w:rsidRPr="008A3D29">
                  <w:rPr>
                    <w:rFonts w:eastAsia="Times New Roman" w:cs="Segoe UI"/>
                    <w:sz w:val="14"/>
                    <w:szCs w:val="14"/>
                    <w:lang w:val="en-GB" w:eastAsia="it-IT"/>
                  </w:rPr>
                  <w:t>4.03%</w:t>
                </w:r>
              </w:p>
            </w:tc>
            <w:tc>
              <w:tcPr>
                <w:tcW w:w="417" w:type="pct"/>
                <w:shd w:val="clear" w:color="auto" w:fill="FFFFFF" w:themeFill="background2"/>
                <w:vAlign w:val="center"/>
              </w:tcPr>
              <w:p w14:paraId="5AB73510" w14:textId="3F669228" w:rsidR="007155EE" w:rsidRPr="008A3D29" w:rsidRDefault="007155EE" w:rsidP="008A3D29">
                <w:pPr>
                  <w:spacing w:before="0" w:line="240" w:lineRule="auto"/>
                  <w:jc w:val="center"/>
                  <w:rPr>
                    <w:b/>
                    <w:color w:val="33A1AB" w:themeColor="accent2"/>
                    <w:sz w:val="14"/>
                    <w:szCs w:val="14"/>
                  </w:rPr>
                </w:pPr>
                <w:r w:rsidRPr="008A3D29">
                  <w:rPr>
                    <w:rFonts w:eastAsia="Times New Roman" w:cs="Segoe UI"/>
                    <w:sz w:val="14"/>
                    <w:szCs w:val="14"/>
                    <w:lang w:val="en-GB" w:eastAsia="it-IT"/>
                  </w:rPr>
                  <w:t>5.11%</w:t>
                </w:r>
              </w:p>
            </w:tc>
            <w:tc>
              <w:tcPr>
                <w:tcW w:w="417" w:type="pct"/>
                <w:shd w:val="clear" w:color="auto" w:fill="FFFFFF" w:themeFill="background2"/>
                <w:vAlign w:val="center"/>
              </w:tcPr>
              <w:p w14:paraId="417B9E66" w14:textId="2B47F457" w:rsidR="007155EE" w:rsidRPr="008A3D29" w:rsidRDefault="007155EE" w:rsidP="008A3D29">
                <w:pPr>
                  <w:spacing w:before="0" w:line="240" w:lineRule="auto"/>
                  <w:jc w:val="center"/>
                  <w:rPr>
                    <w:b/>
                    <w:color w:val="33A1AB" w:themeColor="accent2"/>
                    <w:sz w:val="14"/>
                    <w:szCs w:val="14"/>
                  </w:rPr>
                </w:pPr>
                <w:r w:rsidRPr="008A3D29">
                  <w:rPr>
                    <w:rFonts w:eastAsia="Times New Roman" w:cs="Segoe UI"/>
                    <w:sz w:val="14"/>
                    <w:szCs w:val="14"/>
                    <w:lang w:val="en-GB" w:eastAsia="it-IT"/>
                  </w:rPr>
                  <w:t>8.48%</w:t>
                </w:r>
              </w:p>
            </w:tc>
            <w:tc>
              <w:tcPr>
                <w:tcW w:w="413" w:type="pct"/>
                <w:shd w:val="clear" w:color="auto" w:fill="FFFFFF" w:themeFill="background2"/>
                <w:vAlign w:val="center"/>
              </w:tcPr>
              <w:p w14:paraId="3E7884FF" w14:textId="72586C65" w:rsidR="007155EE" w:rsidRPr="008A3D29" w:rsidRDefault="007155EE" w:rsidP="008A3D29">
                <w:pPr>
                  <w:spacing w:before="0" w:line="240" w:lineRule="auto"/>
                  <w:jc w:val="center"/>
                  <w:rPr>
                    <w:b/>
                    <w:color w:val="33A1AB" w:themeColor="accent2"/>
                    <w:sz w:val="14"/>
                    <w:szCs w:val="14"/>
                  </w:rPr>
                </w:pPr>
                <w:r w:rsidRPr="008A3D29">
                  <w:rPr>
                    <w:rFonts w:eastAsia="Times New Roman" w:cs="Segoe UI"/>
                    <w:sz w:val="14"/>
                    <w:szCs w:val="14"/>
                    <w:lang w:val="en-GB" w:eastAsia="it-IT"/>
                  </w:rPr>
                  <w:t>11.12%</w:t>
                </w:r>
              </w:p>
            </w:tc>
          </w:tr>
          <w:tr w:rsidR="007155EE" w:rsidRPr="008A3D29" w14:paraId="07BFF3DC" w14:textId="77777777" w:rsidTr="00AC7D4E">
            <w:trPr>
              <w:trHeight w:val="227"/>
            </w:trPr>
            <w:tc>
              <w:tcPr>
                <w:tcW w:w="343" w:type="pct"/>
                <w:shd w:val="clear" w:color="auto" w:fill="FFFFFF" w:themeFill="background2"/>
                <w:tcMar>
                  <w:top w:w="60" w:type="dxa"/>
                  <w:left w:w="114" w:type="dxa"/>
                  <w:bottom w:w="60" w:type="dxa"/>
                  <w:right w:w="114" w:type="dxa"/>
                </w:tcMar>
                <w:vAlign w:val="center"/>
              </w:tcPr>
              <w:p w14:paraId="1516975D" w14:textId="77777777" w:rsidR="007155EE" w:rsidRPr="008A3D29" w:rsidRDefault="007155EE" w:rsidP="008A3D29">
                <w:pPr>
                  <w:spacing w:before="0" w:line="240" w:lineRule="auto"/>
                  <w:jc w:val="left"/>
                  <w:rPr>
                    <w:rFonts w:eastAsia="Times New Roman" w:cs="Segoe UI"/>
                    <w:b/>
                    <w:bCs/>
                    <w:sz w:val="14"/>
                    <w:szCs w:val="14"/>
                    <w:lang w:val="en-GB" w:eastAsia="it-IT"/>
                  </w:rPr>
                </w:pPr>
                <w:r w:rsidRPr="008A3D29">
                  <w:rPr>
                    <w:rFonts w:cs="Segoe UI"/>
                    <w:b/>
                    <w:bCs/>
                    <w:sz w:val="14"/>
                    <w:szCs w:val="14"/>
                    <w:lang w:eastAsia="it-IT"/>
                  </w:rPr>
                  <w:t>B2.2</w:t>
                </w:r>
              </w:p>
            </w:tc>
            <w:tc>
              <w:tcPr>
                <w:tcW w:w="491" w:type="pct"/>
                <w:shd w:val="clear" w:color="auto" w:fill="FFFFFF" w:themeFill="background2"/>
                <w:tcMar>
                  <w:top w:w="60" w:type="dxa"/>
                  <w:left w:w="114" w:type="dxa"/>
                  <w:bottom w:w="60" w:type="dxa"/>
                  <w:right w:w="114" w:type="dxa"/>
                </w:tcMar>
                <w:vAlign w:val="center"/>
              </w:tcPr>
              <w:p w14:paraId="1EB98588" w14:textId="405DD0C0"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7,982</w:t>
                </w:r>
              </w:p>
            </w:tc>
            <w:tc>
              <w:tcPr>
                <w:tcW w:w="417" w:type="pct"/>
                <w:shd w:val="clear" w:color="auto" w:fill="FFFFFF" w:themeFill="background2"/>
                <w:tcMar>
                  <w:top w:w="60" w:type="dxa"/>
                  <w:left w:w="114" w:type="dxa"/>
                  <w:bottom w:w="60" w:type="dxa"/>
                  <w:right w:w="114" w:type="dxa"/>
                </w:tcMar>
                <w:vAlign w:val="center"/>
              </w:tcPr>
              <w:p w14:paraId="4E447577" w14:textId="25228DDD"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251</w:t>
                </w:r>
              </w:p>
            </w:tc>
            <w:tc>
              <w:tcPr>
                <w:tcW w:w="417" w:type="pct"/>
                <w:shd w:val="clear" w:color="auto" w:fill="FFFFFF" w:themeFill="background2"/>
                <w:vAlign w:val="center"/>
              </w:tcPr>
              <w:p w14:paraId="335B45E0" w14:textId="26F476A8"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667</w:t>
                </w:r>
              </w:p>
            </w:tc>
            <w:tc>
              <w:tcPr>
                <w:tcW w:w="417" w:type="pct"/>
                <w:shd w:val="clear" w:color="auto" w:fill="FFFFFF" w:themeFill="background2"/>
                <w:vAlign w:val="center"/>
              </w:tcPr>
              <w:p w14:paraId="4F946E94" w14:textId="36FCBBAD"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847</w:t>
                </w:r>
              </w:p>
            </w:tc>
            <w:tc>
              <w:tcPr>
                <w:tcW w:w="417" w:type="pct"/>
                <w:shd w:val="clear" w:color="auto" w:fill="FFFFFF" w:themeFill="background2"/>
                <w:vAlign w:val="center"/>
              </w:tcPr>
              <w:p w14:paraId="0C62F331" w14:textId="01CE4AB9"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1,289</w:t>
                </w:r>
              </w:p>
            </w:tc>
            <w:tc>
              <w:tcPr>
                <w:tcW w:w="417" w:type="pct"/>
                <w:shd w:val="clear" w:color="auto" w:fill="FFFFFF" w:themeFill="background2"/>
                <w:vAlign w:val="center"/>
              </w:tcPr>
              <w:p w14:paraId="4B1866F5" w14:textId="68F96468"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1,571</w:t>
                </w:r>
              </w:p>
            </w:tc>
            <w:tc>
              <w:tcPr>
                <w:tcW w:w="417" w:type="pct"/>
                <w:shd w:val="clear" w:color="auto" w:fill="FFFFFF" w:themeFill="background2"/>
                <w:vAlign w:val="center"/>
              </w:tcPr>
              <w:p w14:paraId="02329BC6" w14:textId="5739D288"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3.14%</w:t>
                </w:r>
              </w:p>
            </w:tc>
            <w:tc>
              <w:tcPr>
                <w:tcW w:w="417" w:type="pct"/>
                <w:shd w:val="clear" w:color="auto" w:fill="FFFFFF" w:themeFill="background2"/>
                <w:vAlign w:val="center"/>
              </w:tcPr>
              <w:p w14:paraId="6A8EBB71" w14:textId="4068C767"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8.36%</w:t>
                </w:r>
              </w:p>
            </w:tc>
            <w:tc>
              <w:tcPr>
                <w:tcW w:w="417" w:type="pct"/>
                <w:shd w:val="clear" w:color="auto" w:fill="FFFFFF" w:themeFill="background2"/>
                <w:vAlign w:val="center"/>
              </w:tcPr>
              <w:p w14:paraId="00B9C6F5" w14:textId="0CC180E5"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10.61%</w:t>
                </w:r>
              </w:p>
            </w:tc>
            <w:tc>
              <w:tcPr>
                <w:tcW w:w="417" w:type="pct"/>
                <w:shd w:val="clear" w:color="auto" w:fill="FFFFFF" w:themeFill="background2"/>
                <w:vAlign w:val="center"/>
              </w:tcPr>
              <w:p w14:paraId="72125481" w14:textId="55462589"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16.15%</w:t>
                </w:r>
              </w:p>
            </w:tc>
            <w:tc>
              <w:tcPr>
                <w:tcW w:w="413" w:type="pct"/>
                <w:shd w:val="clear" w:color="auto" w:fill="FFFFFF" w:themeFill="background2"/>
                <w:vAlign w:val="center"/>
              </w:tcPr>
              <w:p w14:paraId="4440DF36" w14:textId="41C10B59"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19.68%</w:t>
                </w:r>
              </w:p>
            </w:tc>
          </w:tr>
          <w:tr w:rsidR="007155EE" w:rsidRPr="008A3D29" w14:paraId="59566083" w14:textId="77777777" w:rsidTr="00AC7D4E">
            <w:trPr>
              <w:trHeight w:val="227"/>
            </w:trPr>
            <w:tc>
              <w:tcPr>
                <w:tcW w:w="343" w:type="pct"/>
                <w:shd w:val="clear" w:color="auto" w:fill="FFFFFF" w:themeFill="background2"/>
                <w:tcMar>
                  <w:top w:w="60" w:type="dxa"/>
                  <w:left w:w="114" w:type="dxa"/>
                  <w:bottom w:w="60" w:type="dxa"/>
                  <w:right w:w="114" w:type="dxa"/>
                </w:tcMar>
                <w:vAlign w:val="center"/>
              </w:tcPr>
              <w:p w14:paraId="69FAFF35" w14:textId="77777777" w:rsidR="007155EE" w:rsidRPr="008A3D29" w:rsidRDefault="007155EE" w:rsidP="008A3D29">
                <w:pPr>
                  <w:spacing w:before="0" w:line="240" w:lineRule="auto"/>
                  <w:jc w:val="left"/>
                  <w:rPr>
                    <w:rFonts w:eastAsia="Times New Roman" w:cs="Segoe UI"/>
                    <w:b/>
                    <w:bCs/>
                    <w:sz w:val="14"/>
                    <w:szCs w:val="14"/>
                    <w:lang w:val="en-GB" w:eastAsia="it-IT"/>
                  </w:rPr>
                </w:pPr>
                <w:r w:rsidRPr="008A3D29">
                  <w:rPr>
                    <w:rFonts w:cs="Segoe UI"/>
                    <w:b/>
                    <w:bCs/>
                    <w:sz w:val="14"/>
                    <w:szCs w:val="14"/>
                    <w:lang w:eastAsia="it-IT"/>
                  </w:rPr>
                  <w:t>C1.1</w:t>
                </w:r>
              </w:p>
            </w:tc>
            <w:tc>
              <w:tcPr>
                <w:tcW w:w="491" w:type="pct"/>
                <w:shd w:val="clear" w:color="auto" w:fill="FFFFFF" w:themeFill="background2"/>
                <w:tcMar>
                  <w:top w:w="60" w:type="dxa"/>
                  <w:left w:w="114" w:type="dxa"/>
                  <w:bottom w:w="60" w:type="dxa"/>
                  <w:right w:w="114" w:type="dxa"/>
                </w:tcMar>
                <w:vAlign w:val="center"/>
              </w:tcPr>
              <w:p w14:paraId="5D1D8E9C" w14:textId="2E42A0DE"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7,460</w:t>
                </w:r>
              </w:p>
            </w:tc>
            <w:tc>
              <w:tcPr>
                <w:tcW w:w="417" w:type="pct"/>
                <w:shd w:val="clear" w:color="auto" w:fill="FFFFFF" w:themeFill="background2"/>
                <w:tcMar>
                  <w:top w:w="60" w:type="dxa"/>
                  <w:left w:w="114" w:type="dxa"/>
                  <w:bottom w:w="60" w:type="dxa"/>
                  <w:right w:w="114" w:type="dxa"/>
                </w:tcMar>
                <w:vAlign w:val="center"/>
              </w:tcPr>
              <w:p w14:paraId="51F4E843" w14:textId="3625CEB0"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446</w:t>
                </w:r>
              </w:p>
            </w:tc>
            <w:tc>
              <w:tcPr>
                <w:tcW w:w="417" w:type="pct"/>
                <w:shd w:val="clear" w:color="auto" w:fill="FFFFFF" w:themeFill="background2"/>
                <w:vAlign w:val="center"/>
              </w:tcPr>
              <w:p w14:paraId="3B7F3A44" w14:textId="65D3C2EF"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1,004</w:t>
                </w:r>
              </w:p>
            </w:tc>
            <w:tc>
              <w:tcPr>
                <w:tcW w:w="417" w:type="pct"/>
                <w:shd w:val="clear" w:color="auto" w:fill="FFFFFF" w:themeFill="background2"/>
                <w:vAlign w:val="center"/>
              </w:tcPr>
              <w:p w14:paraId="1AEB1A12" w14:textId="3F7E7D8C"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1,216</w:t>
                </w:r>
              </w:p>
            </w:tc>
            <w:tc>
              <w:tcPr>
                <w:tcW w:w="417" w:type="pct"/>
                <w:shd w:val="clear" w:color="auto" w:fill="FFFFFF" w:themeFill="background2"/>
                <w:vAlign w:val="center"/>
              </w:tcPr>
              <w:p w14:paraId="4853F66F" w14:textId="7A9CD80B"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1,702</w:t>
                </w:r>
              </w:p>
            </w:tc>
            <w:tc>
              <w:tcPr>
                <w:tcW w:w="417" w:type="pct"/>
                <w:shd w:val="clear" w:color="auto" w:fill="FFFFFF" w:themeFill="background2"/>
                <w:vAlign w:val="center"/>
              </w:tcPr>
              <w:p w14:paraId="5821EE9E" w14:textId="5246F7B1"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2,028</w:t>
                </w:r>
              </w:p>
            </w:tc>
            <w:tc>
              <w:tcPr>
                <w:tcW w:w="417" w:type="pct"/>
                <w:shd w:val="clear" w:color="auto" w:fill="FFFFFF" w:themeFill="background2"/>
                <w:vAlign w:val="center"/>
              </w:tcPr>
              <w:p w14:paraId="28CC0BA0" w14:textId="17628960"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5.98%</w:t>
                </w:r>
              </w:p>
            </w:tc>
            <w:tc>
              <w:tcPr>
                <w:tcW w:w="417" w:type="pct"/>
                <w:shd w:val="clear" w:color="auto" w:fill="FFFFFF" w:themeFill="background2"/>
                <w:vAlign w:val="center"/>
              </w:tcPr>
              <w:p w14:paraId="36E6C601" w14:textId="4BB21DA0"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13.46%</w:t>
                </w:r>
              </w:p>
            </w:tc>
            <w:tc>
              <w:tcPr>
                <w:tcW w:w="417" w:type="pct"/>
                <w:shd w:val="clear" w:color="auto" w:fill="FFFFFF" w:themeFill="background2"/>
                <w:vAlign w:val="center"/>
              </w:tcPr>
              <w:p w14:paraId="4E46D5C6" w14:textId="015133F5"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16.30%</w:t>
                </w:r>
              </w:p>
            </w:tc>
            <w:tc>
              <w:tcPr>
                <w:tcW w:w="417" w:type="pct"/>
                <w:shd w:val="clear" w:color="auto" w:fill="FFFFFF" w:themeFill="background2"/>
                <w:vAlign w:val="center"/>
              </w:tcPr>
              <w:p w14:paraId="0E83FCBA" w14:textId="59289983"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22.82%</w:t>
                </w:r>
              </w:p>
            </w:tc>
            <w:tc>
              <w:tcPr>
                <w:tcW w:w="413" w:type="pct"/>
                <w:shd w:val="clear" w:color="auto" w:fill="FFFFFF" w:themeFill="background2"/>
                <w:vAlign w:val="center"/>
              </w:tcPr>
              <w:p w14:paraId="78831F58" w14:textId="6B38D420"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27.19%</w:t>
                </w:r>
              </w:p>
            </w:tc>
          </w:tr>
          <w:tr w:rsidR="007155EE" w:rsidRPr="008A3D29" w14:paraId="38AFED7D" w14:textId="77777777" w:rsidTr="00AC7D4E">
            <w:trPr>
              <w:trHeight w:val="227"/>
            </w:trPr>
            <w:tc>
              <w:tcPr>
                <w:tcW w:w="343" w:type="pct"/>
                <w:shd w:val="clear" w:color="auto" w:fill="FFFFFF" w:themeFill="background2"/>
                <w:tcMar>
                  <w:top w:w="60" w:type="dxa"/>
                  <w:left w:w="114" w:type="dxa"/>
                  <w:bottom w:w="60" w:type="dxa"/>
                  <w:right w:w="114" w:type="dxa"/>
                </w:tcMar>
                <w:vAlign w:val="center"/>
              </w:tcPr>
              <w:p w14:paraId="61C17102" w14:textId="77777777" w:rsidR="007155EE" w:rsidRPr="008A3D29" w:rsidRDefault="007155EE" w:rsidP="008A3D29">
                <w:pPr>
                  <w:spacing w:before="0" w:line="240" w:lineRule="auto"/>
                  <w:jc w:val="left"/>
                  <w:rPr>
                    <w:rFonts w:eastAsia="Times New Roman" w:cs="Segoe UI"/>
                    <w:b/>
                    <w:bCs/>
                    <w:sz w:val="14"/>
                    <w:szCs w:val="14"/>
                    <w:lang w:val="en-GB" w:eastAsia="it-IT"/>
                  </w:rPr>
                </w:pPr>
                <w:r w:rsidRPr="008A3D29">
                  <w:rPr>
                    <w:rFonts w:cs="Segoe UI"/>
                    <w:b/>
                    <w:bCs/>
                    <w:sz w:val="14"/>
                    <w:szCs w:val="14"/>
                    <w:lang w:eastAsia="it-IT"/>
                  </w:rPr>
                  <w:t>C1.2</w:t>
                </w:r>
              </w:p>
            </w:tc>
            <w:tc>
              <w:tcPr>
                <w:tcW w:w="491" w:type="pct"/>
                <w:shd w:val="clear" w:color="auto" w:fill="FFFFFF" w:themeFill="background2"/>
                <w:tcMar>
                  <w:top w:w="60" w:type="dxa"/>
                  <w:left w:w="114" w:type="dxa"/>
                  <w:bottom w:w="60" w:type="dxa"/>
                  <w:right w:w="114" w:type="dxa"/>
                </w:tcMar>
                <w:vAlign w:val="center"/>
              </w:tcPr>
              <w:p w14:paraId="55193763" w14:textId="641E92D0"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3,093</w:t>
                </w:r>
              </w:p>
            </w:tc>
            <w:tc>
              <w:tcPr>
                <w:tcW w:w="417" w:type="pct"/>
                <w:shd w:val="clear" w:color="auto" w:fill="FFFFFF" w:themeFill="background2"/>
                <w:tcMar>
                  <w:top w:w="60" w:type="dxa"/>
                  <w:left w:w="114" w:type="dxa"/>
                  <w:bottom w:w="60" w:type="dxa"/>
                  <w:right w:w="114" w:type="dxa"/>
                </w:tcMar>
                <w:vAlign w:val="center"/>
              </w:tcPr>
              <w:p w14:paraId="436EACC1" w14:textId="229C4650"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420</w:t>
                </w:r>
              </w:p>
            </w:tc>
            <w:tc>
              <w:tcPr>
                <w:tcW w:w="417" w:type="pct"/>
                <w:shd w:val="clear" w:color="auto" w:fill="FFFFFF" w:themeFill="background2"/>
                <w:vAlign w:val="center"/>
              </w:tcPr>
              <w:p w14:paraId="07E62F26" w14:textId="6360E864"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787</w:t>
                </w:r>
              </w:p>
            </w:tc>
            <w:tc>
              <w:tcPr>
                <w:tcW w:w="417" w:type="pct"/>
                <w:shd w:val="clear" w:color="auto" w:fill="FFFFFF" w:themeFill="background2"/>
                <w:vAlign w:val="center"/>
              </w:tcPr>
              <w:p w14:paraId="24AB7FC6" w14:textId="411B603E"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869</w:t>
                </w:r>
              </w:p>
            </w:tc>
            <w:tc>
              <w:tcPr>
                <w:tcW w:w="417" w:type="pct"/>
                <w:shd w:val="clear" w:color="auto" w:fill="FFFFFF" w:themeFill="background2"/>
                <w:vAlign w:val="center"/>
              </w:tcPr>
              <w:p w14:paraId="6251A6E5" w14:textId="2CCE58A3"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1,094</w:t>
                </w:r>
              </w:p>
            </w:tc>
            <w:tc>
              <w:tcPr>
                <w:tcW w:w="417" w:type="pct"/>
                <w:shd w:val="clear" w:color="auto" w:fill="FFFFFF" w:themeFill="background2"/>
                <w:vAlign w:val="center"/>
              </w:tcPr>
              <w:p w14:paraId="717C8278" w14:textId="288FC244"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1,239</w:t>
                </w:r>
              </w:p>
            </w:tc>
            <w:tc>
              <w:tcPr>
                <w:tcW w:w="417" w:type="pct"/>
                <w:shd w:val="clear" w:color="auto" w:fill="FFFFFF" w:themeFill="background2"/>
                <w:vAlign w:val="center"/>
              </w:tcPr>
              <w:p w14:paraId="50A62948" w14:textId="14CB4B8E"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13.58%</w:t>
                </w:r>
              </w:p>
            </w:tc>
            <w:tc>
              <w:tcPr>
                <w:tcW w:w="417" w:type="pct"/>
                <w:shd w:val="clear" w:color="auto" w:fill="FFFFFF" w:themeFill="background2"/>
                <w:vAlign w:val="center"/>
              </w:tcPr>
              <w:p w14:paraId="118A9A62" w14:textId="647A7D62"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25.44%</w:t>
                </w:r>
              </w:p>
            </w:tc>
            <w:tc>
              <w:tcPr>
                <w:tcW w:w="417" w:type="pct"/>
                <w:shd w:val="clear" w:color="auto" w:fill="FFFFFF" w:themeFill="background2"/>
                <w:vAlign w:val="center"/>
              </w:tcPr>
              <w:p w14:paraId="0D51524F" w14:textId="21F7B30F"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28.10%</w:t>
                </w:r>
              </w:p>
            </w:tc>
            <w:tc>
              <w:tcPr>
                <w:tcW w:w="417" w:type="pct"/>
                <w:shd w:val="clear" w:color="auto" w:fill="FFFFFF" w:themeFill="background2"/>
                <w:vAlign w:val="center"/>
              </w:tcPr>
              <w:p w14:paraId="03CF56BA" w14:textId="411294EA"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35.37%</w:t>
                </w:r>
              </w:p>
            </w:tc>
            <w:tc>
              <w:tcPr>
                <w:tcW w:w="413" w:type="pct"/>
                <w:shd w:val="clear" w:color="auto" w:fill="FFFFFF" w:themeFill="background2"/>
                <w:vAlign w:val="center"/>
              </w:tcPr>
              <w:p w14:paraId="443ECF9F" w14:textId="5237377F"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40.06%</w:t>
                </w:r>
              </w:p>
            </w:tc>
          </w:tr>
          <w:tr w:rsidR="007155EE" w:rsidRPr="008A3D29" w14:paraId="03FF6E55" w14:textId="77777777" w:rsidTr="00AC7D4E">
            <w:trPr>
              <w:trHeight w:val="227"/>
            </w:trPr>
            <w:tc>
              <w:tcPr>
                <w:tcW w:w="343" w:type="pct"/>
                <w:shd w:val="clear" w:color="auto" w:fill="FFFFFF" w:themeFill="background2"/>
                <w:tcMar>
                  <w:top w:w="60" w:type="dxa"/>
                  <w:left w:w="114" w:type="dxa"/>
                  <w:bottom w:w="60" w:type="dxa"/>
                  <w:right w:w="114" w:type="dxa"/>
                </w:tcMar>
                <w:vAlign w:val="center"/>
              </w:tcPr>
              <w:p w14:paraId="5036AF5F" w14:textId="77777777" w:rsidR="007155EE" w:rsidRPr="008A3D29" w:rsidRDefault="007155EE" w:rsidP="008A3D29">
                <w:pPr>
                  <w:spacing w:before="0" w:line="240" w:lineRule="auto"/>
                  <w:jc w:val="left"/>
                  <w:rPr>
                    <w:rFonts w:eastAsia="Times New Roman" w:cs="Segoe UI"/>
                    <w:b/>
                    <w:bCs/>
                    <w:sz w:val="14"/>
                    <w:szCs w:val="14"/>
                    <w:lang w:val="en-GB" w:eastAsia="it-IT"/>
                  </w:rPr>
                </w:pPr>
                <w:r w:rsidRPr="008A3D29">
                  <w:rPr>
                    <w:rFonts w:cs="Segoe UI"/>
                    <w:b/>
                    <w:bCs/>
                    <w:sz w:val="14"/>
                    <w:szCs w:val="14"/>
                    <w:lang w:eastAsia="it-IT"/>
                  </w:rPr>
                  <w:t>C2.1</w:t>
                </w:r>
              </w:p>
            </w:tc>
            <w:tc>
              <w:tcPr>
                <w:tcW w:w="491" w:type="pct"/>
                <w:shd w:val="clear" w:color="auto" w:fill="FFFFFF" w:themeFill="background2"/>
                <w:tcMar>
                  <w:top w:w="60" w:type="dxa"/>
                  <w:left w:w="114" w:type="dxa"/>
                  <w:bottom w:w="60" w:type="dxa"/>
                  <w:right w:w="114" w:type="dxa"/>
                </w:tcMar>
                <w:vAlign w:val="center"/>
              </w:tcPr>
              <w:p w14:paraId="5CF2BCFB" w14:textId="0BD19812"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2,784</w:t>
                </w:r>
              </w:p>
            </w:tc>
            <w:tc>
              <w:tcPr>
                <w:tcW w:w="417" w:type="pct"/>
                <w:shd w:val="clear" w:color="auto" w:fill="FFFFFF" w:themeFill="background2"/>
                <w:tcMar>
                  <w:top w:w="60" w:type="dxa"/>
                  <w:left w:w="114" w:type="dxa"/>
                  <w:bottom w:w="60" w:type="dxa"/>
                  <w:right w:w="114" w:type="dxa"/>
                </w:tcMar>
                <w:vAlign w:val="center"/>
              </w:tcPr>
              <w:p w14:paraId="6748D17B" w14:textId="26DF4220"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1,260</w:t>
                </w:r>
              </w:p>
            </w:tc>
            <w:tc>
              <w:tcPr>
                <w:tcW w:w="417" w:type="pct"/>
                <w:shd w:val="clear" w:color="auto" w:fill="FFFFFF" w:themeFill="background2"/>
                <w:vAlign w:val="center"/>
              </w:tcPr>
              <w:p w14:paraId="6F9955E4" w14:textId="2352E034"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1,549</w:t>
                </w:r>
              </w:p>
            </w:tc>
            <w:tc>
              <w:tcPr>
                <w:tcW w:w="417" w:type="pct"/>
                <w:shd w:val="clear" w:color="auto" w:fill="FFFFFF" w:themeFill="background2"/>
                <w:vAlign w:val="center"/>
              </w:tcPr>
              <w:p w14:paraId="6880EF7B" w14:textId="0BFF7C4B"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1,571</w:t>
                </w:r>
              </w:p>
            </w:tc>
            <w:tc>
              <w:tcPr>
                <w:tcW w:w="417" w:type="pct"/>
                <w:shd w:val="clear" w:color="auto" w:fill="FFFFFF" w:themeFill="background2"/>
                <w:vAlign w:val="center"/>
              </w:tcPr>
              <w:p w14:paraId="35703201" w14:textId="0DBC0119"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1,667</w:t>
                </w:r>
              </w:p>
            </w:tc>
            <w:tc>
              <w:tcPr>
                <w:tcW w:w="417" w:type="pct"/>
                <w:shd w:val="clear" w:color="auto" w:fill="FFFFFF" w:themeFill="background2"/>
                <w:vAlign w:val="center"/>
              </w:tcPr>
              <w:p w14:paraId="2C3B0E8E" w14:textId="381BF332"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sz w:val="14"/>
                    <w:szCs w:val="14"/>
                    <w:lang w:val="en-GB" w:eastAsia="it-IT"/>
                  </w:rPr>
                  <w:t>1,746</w:t>
                </w:r>
              </w:p>
            </w:tc>
            <w:tc>
              <w:tcPr>
                <w:tcW w:w="417" w:type="pct"/>
                <w:shd w:val="clear" w:color="auto" w:fill="FFFFFF" w:themeFill="background2"/>
                <w:vAlign w:val="center"/>
              </w:tcPr>
              <w:p w14:paraId="70AA2E48" w14:textId="73302E20"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45.26%</w:t>
                </w:r>
              </w:p>
            </w:tc>
            <w:tc>
              <w:tcPr>
                <w:tcW w:w="417" w:type="pct"/>
                <w:shd w:val="clear" w:color="auto" w:fill="FFFFFF" w:themeFill="background2"/>
                <w:vAlign w:val="center"/>
              </w:tcPr>
              <w:p w14:paraId="4BBE720C" w14:textId="6A3BEC00"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55.64%</w:t>
                </w:r>
              </w:p>
            </w:tc>
            <w:tc>
              <w:tcPr>
                <w:tcW w:w="417" w:type="pct"/>
                <w:shd w:val="clear" w:color="auto" w:fill="FFFFFF" w:themeFill="background2"/>
                <w:vAlign w:val="center"/>
              </w:tcPr>
              <w:p w14:paraId="642A13CB" w14:textId="15809ACD"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56.43%</w:t>
                </w:r>
              </w:p>
            </w:tc>
            <w:tc>
              <w:tcPr>
                <w:tcW w:w="417" w:type="pct"/>
                <w:shd w:val="clear" w:color="auto" w:fill="FFFFFF" w:themeFill="background2"/>
                <w:vAlign w:val="center"/>
              </w:tcPr>
              <w:p w14:paraId="3D463FFE" w14:textId="264A5C07"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59.88%</w:t>
                </w:r>
              </w:p>
            </w:tc>
            <w:tc>
              <w:tcPr>
                <w:tcW w:w="413" w:type="pct"/>
                <w:shd w:val="clear" w:color="auto" w:fill="FFFFFF" w:themeFill="background2"/>
                <w:vAlign w:val="center"/>
              </w:tcPr>
              <w:p w14:paraId="4B11C6AB" w14:textId="172A9E58"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sz w:val="14"/>
                    <w:szCs w:val="14"/>
                    <w:lang w:val="en-GB" w:eastAsia="it-IT"/>
                  </w:rPr>
                  <w:t>62.72%</w:t>
                </w:r>
              </w:p>
            </w:tc>
          </w:tr>
          <w:tr w:rsidR="007155EE" w:rsidRPr="008A3D29" w14:paraId="3F60B293" w14:textId="77777777" w:rsidTr="00AC7D4E">
            <w:trPr>
              <w:trHeight w:val="227"/>
            </w:trPr>
            <w:tc>
              <w:tcPr>
                <w:tcW w:w="343" w:type="pct"/>
                <w:shd w:val="clear" w:color="auto" w:fill="FFFFFF" w:themeFill="background2"/>
                <w:tcMar>
                  <w:top w:w="60" w:type="dxa"/>
                  <w:left w:w="114" w:type="dxa"/>
                  <w:bottom w:w="60" w:type="dxa"/>
                  <w:right w:w="114" w:type="dxa"/>
                </w:tcMar>
                <w:vAlign w:val="center"/>
              </w:tcPr>
              <w:p w14:paraId="79386F0B" w14:textId="77777777" w:rsidR="007155EE" w:rsidRPr="008A3D29" w:rsidRDefault="007155EE" w:rsidP="008A3D29">
                <w:pPr>
                  <w:spacing w:before="0" w:line="240" w:lineRule="auto"/>
                  <w:jc w:val="center"/>
                  <w:rPr>
                    <w:rFonts w:cs="Segoe UI"/>
                    <w:b/>
                    <w:bCs/>
                    <w:sz w:val="14"/>
                    <w:szCs w:val="14"/>
                    <w:lang w:eastAsia="it-IT"/>
                  </w:rPr>
                </w:pPr>
                <w:r w:rsidRPr="008A3D29">
                  <w:rPr>
                    <w:rFonts w:cs="Segoe UI"/>
                    <w:b/>
                    <w:bCs/>
                    <w:sz w:val="14"/>
                    <w:szCs w:val="14"/>
                    <w:lang w:eastAsia="it-IT"/>
                  </w:rPr>
                  <w:t>TOTAL</w:t>
                </w:r>
              </w:p>
            </w:tc>
            <w:tc>
              <w:tcPr>
                <w:tcW w:w="491" w:type="pct"/>
                <w:shd w:val="clear" w:color="auto" w:fill="FFFFFF" w:themeFill="background2"/>
                <w:tcMar>
                  <w:top w:w="60" w:type="dxa"/>
                  <w:left w:w="114" w:type="dxa"/>
                  <w:bottom w:w="60" w:type="dxa"/>
                  <w:right w:w="114" w:type="dxa"/>
                </w:tcMar>
                <w:vAlign w:val="center"/>
              </w:tcPr>
              <w:p w14:paraId="0508F3BC" w14:textId="54AF67F2"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b/>
                    <w:sz w:val="14"/>
                    <w:szCs w:val="14"/>
                    <w:lang w:val="en-GB" w:eastAsia="it-IT"/>
                  </w:rPr>
                  <w:t>74,783</w:t>
                </w:r>
              </w:p>
            </w:tc>
            <w:tc>
              <w:tcPr>
                <w:tcW w:w="417" w:type="pct"/>
                <w:shd w:val="clear" w:color="auto" w:fill="FFFFFF" w:themeFill="background2"/>
                <w:tcMar>
                  <w:top w:w="60" w:type="dxa"/>
                  <w:left w:w="114" w:type="dxa"/>
                  <w:bottom w:w="60" w:type="dxa"/>
                  <w:right w:w="114" w:type="dxa"/>
                </w:tcMar>
                <w:vAlign w:val="center"/>
              </w:tcPr>
              <w:p w14:paraId="437B14CA" w14:textId="1F3CC151"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b/>
                    <w:sz w:val="14"/>
                    <w:szCs w:val="14"/>
                    <w:lang w:val="en-GB" w:eastAsia="it-IT"/>
                  </w:rPr>
                  <w:t>2,768</w:t>
                </w:r>
              </w:p>
            </w:tc>
            <w:tc>
              <w:tcPr>
                <w:tcW w:w="417" w:type="pct"/>
                <w:shd w:val="clear" w:color="auto" w:fill="FFFFFF" w:themeFill="background2"/>
                <w:vAlign w:val="center"/>
              </w:tcPr>
              <w:p w14:paraId="63D96AA3" w14:textId="0729088E"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b/>
                    <w:sz w:val="14"/>
                    <w:szCs w:val="14"/>
                    <w:lang w:val="en-GB" w:eastAsia="it-IT"/>
                  </w:rPr>
                  <w:t>5,143</w:t>
                </w:r>
              </w:p>
            </w:tc>
            <w:tc>
              <w:tcPr>
                <w:tcW w:w="417" w:type="pct"/>
                <w:shd w:val="clear" w:color="auto" w:fill="FFFFFF" w:themeFill="background2"/>
                <w:vAlign w:val="center"/>
              </w:tcPr>
              <w:p w14:paraId="26DCE694" w14:textId="6258BF09"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b/>
                    <w:sz w:val="14"/>
                    <w:szCs w:val="14"/>
                    <w:lang w:val="en-GB" w:eastAsia="it-IT"/>
                  </w:rPr>
                  <w:t>6,012</w:t>
                </w:r>
              </w:p>
            </w:tc>
            <w:tc>
              <w:tcPr>
                <w:tcW w:w="417" w:type="pct"/>
                <w:shd w:val="clear" w:color="auto" w:fill="FFFFFF" w:themeFill="background2"/>
                <w:vAlign w:val="center"/>
              </w:tcPr>
              <w:p w14:paraId="03867CCF" w14:textId="4CBB10F5"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b/>
                    <w:sz w:val="14"/>
                    <w:szCs w:val="14"/>
                    <w:lang w:val="en-GB" w:eastAsia="it-IT"/>
                  </w:rPr>
                  <w:t>8,334</w:t>
                </w:r>
              </w:p>
            </w:tc>
            <w:tc>
              <w:tcPr>
                <w:tcW w:w="417" w:type="pct"/>
                <w:shd w:val="clear" w:color="auto" w:fill="FFFFFF" w:themeFill="background2"/>
                <w:vAlign w:val="center"/>
              </w:tcPr>
              <w:p w14:paraId="596EB7C9" w14:textId="23718242" w:rsidR="007155EE" w:rsidRPr="008A3D29" w:rsidRDefault="007155EE" w:rsidP="008A3D29">
                <w:pPr>
                  <w:spacing w:before="0" w:line="240" w:lineRule="auto"/>
                  <w:jc w:val="center"/>
                  <w:rPr>
                    <w:rFonts w:eastAsia="Times New Roman" w:cs="Segoe UI"/>
                    <w:sz w:val="14"/>
                    <w:szCs w:val="14"/>
                    <w:lang w:val="en-GB" w:eastAsia="it-IT"/>
                  </w:rPr>
                </w:pPr>
                <w:r w:rsidRPr="008A3D29">
                  <w:rPr>
                    <w:rFonts w:eastAsia="Times New Roman" w:cs="Segoe UI"/>
                    <w:b/>
                    <w:sz w:val="14"/>
                    <w:szCs w:val="14"/>
                    <w:lang w:val="en-GB" w:eastAsia="it-IT"/>
                  </w:rPr>
                  <w:t>10,087</w:t>
                </w:r>
              </w:p>
            </w:tc>
            <w:tc>
              <w:tcPr>
                <w:tcW w:w="417" w:type="pct"/>
                <w:shd w:val="clear" w:color="auto" w:fill="FFFFFF" w:themeFill="background2"/>
                <w:vAlign w:val="center"/>
              </w:tcPr>
              <w:p w14:paraId="078D88C4" w14:textId="700090D4"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b/>
                    <w:sz w:val="14"/>
                    <w:szCs w:val="14"/>
                    <w:lang w:val="en-GB" w:eastAsia="it-IT"/>
                  </w:rPr>
                  <w:t>3.70%</w:t>
                </w:r>
              </w:p>
            </w:tc>
            <w:tc>
              <w:tcPr>
                <w:tcW w:w="417" w:type="pct"/>
                <w:shd w:val="clear" w:color="auto" w:fill="FFFFFF" w:themeFill="background2"/>
                <w:vAlign w:val="center"/>
              </w:tcPr>
              <w:p w14:paraId="5BC48C83" w14:textId="6B1E2E17"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b/>
                    <w:sz w:val="14"/>
                    <w:szCs w:val="14"/>
                    <w:lang w:val="en-GB" w:eastAsia="it-IT"/>
                  </w:rPr>
                  <w:t>6.88%</w:t>
                </w:r>
              </w:p>
            </w:tc>
            <w:tc>
              <w:tcPr>
                <w:tcW w:w="417" w:type="pct"/>
                <w:shd w:val="clear" w:color="auto" w:fill="FFFFFF" w:themeFill="background2"/>
                <w:vAlign w:val="center"/>
              </w:tcPr>
              <w:p w14:paraId="1E4F581B" w14:textId="134003D6"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b/>
                    <w:sz w:val="14"/>
                    <w:szCs w:val="14"/>
                    <w:lang w:val="en-GB" w:eastAsia="it-IT"/>
                  </w:rPr>
                  <w:t>8.04%</w:t>
                </w:r>
              </w:p>
            </w:tc>
            <w:tc>
              <w:tcPr>
                <w:tcW w:w="417" w:type="pct"/>
                <w:shd w:val="clear" w:color="auto" w:fill="FFFFFF" w:themeFill="background2"/>
                <w:vAlign w:val="center"/>
              </w:tcPr>
              <w:p w14:paraId="64F3C778" w14:textId="3FE1760C"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b/>
                    <w:sz w:val="14"/>
                    <w:szCs w:val="14"/>
                    <w:lang w:val="en-GB" w:eastAsia="it-IT"/>
                  </w:rPr>
                  <w:t>11.14%</w:t>
                </w:r>
              </w:p>
            </w:tc>
            <w:tc>
              <w:tcPr>
                <w:tcW w:w="413" w:type="pct"/>
                <w:shd w:val="clear" w:color="auto" w:fill="FFFFFF" w:themeFill="background2"/>
                <w:vAlign w:val="center"/>
              </w:tcPr>
              <w:p w14:paraId="77382141" w14:textId="3F1ACDA3" w:rsidR="007155EE" w:rsidRPr="008A3D29" w:rsidRDefault="007155EE" w:rsidP="008A3D29">
                <w:pPr>
                  <w:spacing w:before="0" w:line="240" w:lineRule="auto"/>
                  <w:jc w:val="center"/>
                  <w:rPr>
                    <w:rFonts w:eastAsia="Times New Roman" w:cs="Segoe UI"/>
                    <w:b/>
                    <w:bCs/>
                    <w:sz w:val="14"/>
                    <w:szCs w:val="14"/>
                    <w:lang w:val="en-GB" w:eastAsia="it-IT"/>
                  </w:rPr>
                </w:pPr>
                <w:r w:rsidRPr="008A3D29">
                  <w:rPr>
                    <w:rFonts w:eastAsia="Times New Roman" w:cs="Segoe UI"/>
                    <w:b/>
                    <w:sz w:val="14"/>
                    <w:szCs w:val="14"/>
                    <w:lang w:val="en-GB" w:eastAsia="it-IT"/>
                  </w:rPr>
                  <w:t>13.49%</w:t>
                </w:r>
              </w:p>
            </w:tc>
          </w:tr>
        </w:tbl>
        <w:p w14:paraId="58CF7AF5" w14:textId="77777777" w:rsidR="004101BF" w:rsidRPr="0032337D" w:rsidRDefault="004101BF" w:rsidP="004101BF">
          <w:pPr>
            <w:spacing w:line="240" w:lineRule="auto"/>
            <w:rPr>
              <w:rFonts w:cs="Segoe UI"/>
              <w:b/>
              <w:bCs/>
              <w:i/>
              <w:color w:val="5080B8" w:themeColor="accent1"/>
              <w:sz w:val="14"/>
              <w:szCs w:val="18"/>
              <w:lang w:val="en-GB"/>
            </w:rPr>
          </w:pPr>
        </w:p>
        <w:p w14:paraId="2AACF966" w14:textId="3486879E" w:rsidR="004101BF" w:rsidRDefault="004101BF" w:rsidP="004101BF">
          <w:pPr>
            <w:pStyle w:val="Didascalia"/>
            <w:rPr>
              <w:rFonts w:ascii="Segoe UI" w:hAnsi="Segoe UI" w:cs="Segoe UI"/>
              <w:i/>
              <w:sz w:val="14"/>
              <w:lang w:val="en-GB"/>
            </w:rPr>
          </w:pPr>
          <w:bookmarkStart w:id="120" w:name="_Toc130806334"/>
          <w:bookmarkStart w:id="121" w:name="_Toc166675674"/>
          <w:bookmarkStart w:id="122" w:name="_Toc167131801"/>
          <w:r w:rsidRPr="0032337D">
            <w:rPr>
              <w:rFonts w:ascii="Segoe UI" w:hAnsi="Segoe UI" w:cs="Segoe UI"/>
              <w:i/>
              <w:sz w:val="14"/>
              <w:lang w:val="en-GB"/>
            </w:rPr>
            <w:lastRenderedPageBreak/>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33</w:t>
          </w:r>
          <w:r>
            <w:rPr>
              <w:rFonts w:ascii="Segoe UI" w:hAnsi="Segoe UI" w:cs="Segoe UI"/>
              <w:i/>
              <w:sz w:val="14"/>
              <w:lang w:val="en-GB"/>
            </w:rPr>
            <w:fldChar w:fldCharType="end"/>
          </w:r>
          <w:r w:rsidRPr="0032337D">
            <w:rPr>
              <w:rFonts w:ascii="Segoe UI" w:hAnsi="Segoe UI" w:cs="Segoe UI"/>
              <w:i/>
              <w:sz w:val="14"/>
              <w:lang w:val="en-GB"/>
            </w:rPr>
            <w:t>: Static pool as of 31</w:t>
          </w:r>
          <w:r w:rsidRPr="0032337D">
            <w:rPr>
              <w:rFonts w:ascii="Segoe UI" w:hAnsi="Segoe UI" w:cs="Segoe UI"/>
              <w:i/>
              <w:sz w:val="14"/>
              <w:vertAlign w:val="superscript"/>
              <w:lang w:val="en-GB"/>
            </w:rPr>
            <w:t>st</w:t>
          </w:r>
          <w:r w:rsidRPr="0032337D">
            <w:rPr>
              <w:rFonts w:ascii="Segoe UI" w:hAnsi="Segoe UI" w:cs="Segoe UI"/>
              <w:i/>
              <w:sz w:val="14"/>
              <w:lang w:val="en-GB"/>
            </w:rPr>
            <w:t xml:space="preserve"> December 2011</w:t>
          </w:r>
          <w:bookmarkEnd w:id="120"/>
          <w:bookmarkEnd w:id="121"/>
          <w:bookmarkEnd w:id="122"/>
        </w:p>
        <w:tbl>
          <w:tblPr>
            <w:tblW w:w="5000" w:type="pct"/>
            <w:tblBorders>
              <w:top w:val="single" w:sz="4" w:space="0" w:color="AFAFB4" w:themeColor="accent4"/>
              <w:bottom w:val="single" w:sz="4" w:space="0" w:color="AFAFB4" w:themeColor="accent4"/>
              <w:insideH w:val="single" w:sz="4" w:space="0" w:color="AFAFB4" w:themeColor="accent4"/>
            </w:tblBorders>
            <w:shd w:val="clear" w:color="auto" w:fill="FFFFFF" w:themeFill="background2"/>
            <w:tblCellMar>
              <w:left w:w="0" w:type="dxa"/>
              <w:right w:w="0" w:type="dxa"/>
            </w:tblCellMar>
            <w:tblLook w:val="0620" w:firstRow="1" w:lastRow="0" w:firstColumn="0" w:lastColumn="0" w:noHBand="1" w:noVBand="1"/>
            <w:tblDescription w:val="{&quot;Ott&quot;:{&quot;FirstRow&quot;:{&quot;BackgroundColor&quot;:{&quot;Key&quot;:&quot;Light2&quot;},&quot;Font&quot;:{&quot;Name&quot;:&quot;Source Sans Pro&quot;,&quot;Size&quot;:14.0,&quot;Bold&quot;:false,&quot;Italic&quot;:false,&quot;Color&quot;:{&quot;Key&quot;:&quot;Dark2&quot;}},&quot;ExcelCellFormatting&quot;:&quot;General&quot;,&quot;Alignment&quot;:{&quot;Horizontal&quot;:&quot;Left&quot;,&quot;Vertical&quot;:&quot;Bottom&quot;},&quot;Borders&quot;:{&quot;Vertical&quot;:{&quot;Visible&quot;:false},&quot;Left&quot;:{&quot;Visible&quot;:false},&quot;Top&quot;:{&quot;Visible&quot;:false},&quot;Right&quot;:{&quot;Visible&quot;:false},&quot;Bottom&quot;:{&quot;Color&quot;:{&quot;Key&quot;:&quot;Accent4&quot;},&quot;BorderWeight&quot;:&quot;Pt1_5&quot;,&quot;Type&quot;:&quot;Solid&quot;,&quot;Visible&quot;:true}}},&quot;FitRowHeightPp&quot;:true,&quot;ZeroMarginsWord&quot;:true,&quot;BackgroundColor&quot;:{&quot;Key&quot;:&quot;Light2&quot;},&quot;Font&quot;:{&quot;Name&quot;:&quot;Source Sans Pro&quot;,&quot;Size&quot;:11.0,&quot;Bold&quot;:false,&quot;Italic&quot;:false,&quot;Color&quot;:{&quot;Key&quot;:&quot;Dark2&quot;}},&quot;LineSpacing&quot;:{&quot;Rule&quot;:&quot;Single&quot;},&quot;Alignment&quot;:{&quot;Horizontal&quot;:&quot;Left&quot;,&quot;Vertical&quot;:&quot;Top&quot;},&quot;Margin&quot;:{&quot;Left&quot;:5.7,&quot;Top&quot;:3.0,&quot;Right&quot;:5.7,&quot;Bottom&quot;:3.0},&quot;Borders&quot;:{&quot;Vertical&quot;:{&quot;Visible&quot;:false},&quot;Horizontal&quot;:{&quot;Color&quot;:{&quot;Key&quot;:&quot;Accent4&quot;},&quot;BorderWeight&quot;:&quot;Pt0_5&quot;,&quot;Type&quot;:&quot;Solid&quot;,&quot;Visible&quot;:true}},&quot;ParagraphSpacing&quot;:{&quot;SpaceBefore&quot;:2.0,&quot;SpaceAfter&quot;:2.0},&quot;ExcelWrapText&quot;:true},&quot;Ccs&quot;:{&quot;DarkBlue&quot;:&quot;0, 20, 55&quot;,&quot;Turquoise&quot;:&quot;0, 164, 230&quot;,&quot;Red&quot;:&quot;214, 70, 65&quot;,&quot;LightGrey&quot;:&quot;174, 174, 180&quot;,&quot;BlueGrey&quot;:&quot;77, 91, 115&quot;,&quot;IceBlue&quot;:&quot;178, 184, 195&quot;,&quot;Grey&quot;:&quot;145, 147, 153&quot;,&quot;Background&quot;:&quot;0, 0, 0, 0&quot;,&quot;White&quot;:&quot;White&quot;,&quot;Accent1&quot;:&quot;1, 1, 1, 1&quot;,&quot;Accent2&quot;:&quot;1, 1, 1, 2&quot;,&quot;Accent3&quot;:&quot;1, 1, 1, 3&quot;,&quot;Accent4&quot;:&quot;1, 1, 1, 4&quot;,&quot;Accent5&quot;:&quot;1, 1, 1, 5&quot;,&quot;Accent6&quot;:&quot;1, 1, 1, 6&quot;,&quot;Dark1&quot;:&quot;1, 1, 1, 7&quot;,&quot;Dark2&quot;:&quot;1, 1, 1, 9&quot;,&quot;Light1&quot;:&quot;1, 1, 1, 8&quot;,&quot;Light2&quot;:&quot;1, 1, 1, 10&quot;},&quot;Cop&quot;:{&quot;FirstRow&quot;:true,&quot;LastRow&quot;:false,&quot;FirstColumn&quot;:false,&quot;LastColumn&quot;:false,&quot;BandedRows&quot;:false,&quot;BandedColumns&quot;:false},&quot;Aaf&quot;:false}"/>
          </w:tblPr>
          <w:tblGrid>
            <w:gridCol w:w="710"/>
            <w:gridCol w:w="1016"/>
            <w:gridCol w:w="863"/>
            <w:gridCol w:w="863"/>
            <w:gridCol w:w="863"/>
            <w:gridCol w:w="863"/>
            <w:gridCol w:w="863"/>
            <w:gridCol w:w="863"/>
            <w:gridCol w:w="863"/>
            <w:gridCol w:w="863"/>
            <w:gridCol w:w="863"/>
            <w:gridCol w:w="855"/>
          </w:tblGrid>
          <w:tr w:rsidR="00707524" w:rsidRPr="00B80369" w14:paraId="05AE37A7" w14:textId="77777777" w:rsidTr="00AC7D4E">
            <w:trPr>
              <w:trHeight w:val="227"/>
              <w:tblHeader/>
            </w:trPr>
            <w:tc>
              <w:tcPr>
                <w:tcW w:w="343" w:type="pct"/>
                <w:vMerge w:val="restar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2FB2900E" w14:textId="77777777"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Rating</w:t>
                </w:r>
              </w:p>
            </w:tc>
            <w:tc>
              <w:tcPr>
                <w:tcW w:w="491"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704D4505" w14:textId="77777777"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Static pool</w:t>
                </w:r>
              </w:p>
            </w:tc>
            <w:tc>
              <w:tcPr>
                <w:tcW w:w="2085" w:type="pct"/>
                <w:gridSpan w:val="5"/>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5F5DCC26" w14:textId="7674FFEB"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Observed defaults by years since rating issuance</w:t>
                </w:r>
              </w:p>
            </w:tc>
            <w:tc>
              <w:tcPr>
                <w:tcW w:w="2081" w:type="pct"/>
                <w:gridSpan w:val="5"/>
                <w:tcBorders>
                  <w:top w:val="single" w:sz="12" w:space="0" w:color="AFAFB4" w:themeColor="accent4"/>
                </w:tcBorders>
                <w:shd w:val="clear" w:color="auto" w:fill="FFFFFF" w:themeFill="background2"/>
                <w:vAlign w:val="center"/>
              </w:tcPr>
              <w:p w14:paraId="2C6DA70C" w14:textId="77777777"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Percentage of cumulative default rates</w:t>
                </w:r>
              </w:p>
            </w:tc>
          </w:tr>
          <w:tr w:rsidR="007155EE" w:rsidRPr="00B80369" w14:paraId="169B3EB3" w14:textId="77777777" w:rsidTr="00AC7D4E">
            <w:trPr>
              <w:trHeight w:val="227"/>
              <w:tblHeader/>
            </w:trPr>
            <w:tc>
              <w:tcPr>
                <w:tcW w:w="343" w:type="pct"/>
                <w:vMerge/>
                <w:shd w:val="clear" w:color="auto" w:fill="FFFFFF" w:themeFill="background2"/>
                <w:tcMar>
                  <w:top w:w="60" w:type="dxa"/>
                  <w:left w:w="114" w:type="dxa"/>
                  <w:bottom w:w="60" w:type="dxa"/>
                  <w:right w:w="114" w:type="dxa"/>
                </w:tcMar>
                <w:vAlign w:val="center"/>
              </w:tcPr>
              <w:p w14:paraId="0799AF4E" w14:textId="77777777" w:rsidR="007155EE" w:rsidRPr="00B80369" w:rsidRDefault="007155EE" w:rsidP="00B80369">
                <w:pPr>
                  <w:spacing w:before="0" w:line="240" w:lineRule="auto"/>
                  <w:jc w:val="center"/>
                  <w:rPr>
                    <w:b/>
                    <w:color w:val="33A1AB" w:themeColor="accent2"/>
                    <w:sz w:val="14"/>
                    <w:szCs w:val="14"/>
                  </w:rPr>
                </w:pPr>
              </w:p>
            </w:tc>
            <w:tc>
              <w:tcPr>
                <w:tcW w:w="491"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2DE6E834" w14:textId="4AB3C1D0" w:rsidR="007155EE" w:rsidRPr="00B80369" w:rsidRDefault="007155EE" w:rsidP="00B80369">
                <w:pPr>
                  <w:spacing w:before="0" w:line="240" w:lineRule="auto"/>
                  <w:jc w:val="center"/>
                  <w:rPr>
                    <w:b/>
                    <w:color w:val="33A1AB" w:themeColor="accent2"/>
                    <w:sz w:val="14"/>
                    <w:szCs w:val="14"/>
                  </w:rPr>
                </w:pPr>
                <w:r w:rsidRPr="00B80369">
                  <w:rPr>
                    <w:b/>
                    <w:color w:val="33A1AB" w:themeColor="accent2"/>
                    <w:sz w:val="14"/>
                    <w:szCs w:val="14"/>
                  </w:rPr>
                  <w:t>31 Dec 2011</w:t>
                </w:r>
              </w:p>
            </w:tc>
            <w:tc>
              <w:tcPr>
                <w:tcW w:w="417"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0E66D475" w14:textId="77777777" w:rsidR="007155EE" w:rsidRPr="00B80369" w:rsidRDefault="007155EE" w:rsidP="00B80369">
                <w:pPr>
                  <w:spacing w:before="0" w:line="240" w:lineRule="auto"/>
                  <w:jc w:val="center"/>
                  <w:rPr>
                    <w:b/>
                    <w:color w:val="33A1AB" w:themeColor="accent2"/>
                    <w:sz w:val="14"/>
                    <w:szCs w:val="14"/>
                  </w:rPr>
                </w:pPr>
                <w:r w:rsidRPr="00B80369">
                  <w:rPr>
                    <w:b/>
                    <w:color w:val="33A1AB" w:themeColor="accent2"/>
                    <w:sz w:val="14"/>
                    <w:szCs w:val="14"/>
                  </w:rPr>
                  <w:t>1-Y DR</w:t>
                </w:r>
              </w:p>
            </w:tc>
            <w:tc>
              <w:tcPr>
                <w:tcW w:w="417" w:type="pct"/>
                <w:tcBorders>
                  <w:top w:val="single" w:sz="12" w:space="0" w:color="AFAFB4" w:themeColor="accent4"/>
                </w:tcBorders>
                <w:shd w:val="clear" w:color="auto" w:fill="FFFFFF" w:themeFill="background2"/>
                <w:vAlign w:val="center"/>
              </w:tcPr>
              <w:p w14:paraId="19F13D82" w14:textId="77777777" w:rsidR="007155EE" w:rsidRPr="00B80369" w:rsidRDefault="007155EE" w:rsidP="00B80369">
                <w:pPr>
                  <w:spacing w:before="0" w:line="240" w:lineRule="auto"/>
                  <w:jc w:val="center"/>
                  <w:rPr>
                    <w:b/>
                    <w:color w:val="33A1AB" w:themeColor="accent2"/>
                    <w:sz w:val="14"/>
                    <w:szCs w:val="14"/>
                  </w:rPr>
                </w:pPr>
                <w:r w:rsidRPr="00B80369">
                  <w:rPr>
                    <w:b/>
                    <w:color w:val="33A1AB" w:themeColor="accent2"/>
                    <w:sz w:val="14"/>
                    <w:szCs w:val="14"/>
                  </w:rPr>
                  <w:t>2-Y DR</w:t>
                </w:r>
              </w:p>
            </w:tc>
            <w:tc>
              <w:tcPr>
                <w:tcW w:w="417" w:type="pct"/>
                <w:tcBorders>
                  <w:top w:val="single" w:sz="12" w:space="0" w:color="AFAFB4" w:themeColor="accent4"/>
                </w:tcBorders>
                <w:shd w:val="clear" w:color="auto" w:fill="FFFFFF" w:themeFill="background2"/>
                <w:vAlign w:val="center"/>
              </w:tcPr>
              <w:p w14:paraId="56D1761F" w14:textId="77777777" w:rsidR="007155EE" w:rsidRPr="00B80369" w:rsidRDefault="007155EE" w:rsidP="00B80369">
                <w:pPr>
                  <w:spacing w:before="0" w:line="240" w:lineRule="auto"/>
                  <w:jc w:val="center"/>
                  <w:rPr>
                    <w:b/>
                    <w:color w:val="33A1AB" w:themeColor="accent2"/>
                    <w:sz w:val="14"/>
                    <w:szCs w:val="14"/>
                  </w:rPr>
                </w:pPr>
                <w:r w:rsidRPr="00B80369">
                  <w:rPr>
                    <w:b/>
                    <w:color w:val="33A1AB" w:themeColor="accent2"/>
                    <w:sz w:val="14"/>
                    <w:szCs w:val="14"/>
                  </w:rPr>
                  <w:t>3-Y DR</w:t>
                </w:r>
              </w:p>
            </w:tc>
            <w:tc>
              <w:tcPr>
                <w:tcW w:w="417" w:type="pct"/>
                <w:tcBorders>
                  <w:top w:val="single" w:sz="12" w:space="0" w:color="AFAFB4" w:themeColor="accent4"/>
                </w:tcBorders>
                <w:shd w:val="clear" w:color="auto" w:fill="FFFFFF" w:themeFill="background2"/>
                <w:vAlign w:val="center"/>
              </w:tcPr>
              <w:p w14:paraId="3CAD718F" w14:textId="77777777" w:rsidR="007155EE" w:rsidRPr="00B80369" w:rsidRDefault="007155EE" w:rsidP="00B80369">
                <w:pPr>
                  <w:spacing w:before="0" w:line="240" w:lineRule="auto"/>
                  <w:jc w:val="center"/>
                  <w:rPr>
                    <w:b/>
                    <w:color w:val="33A1AB" w:themeColor="accent2"/>
                    <w:sz w:val="14"/>
                    <w:szCs w:val="14"/>
                  </w:rPr>
                </w:pPr>
                <w:r w:rsidRPr="00B80369">
                  <w:rPr>
                    <w:b/>
                    <w:color w:val="33A1AB" w:themeColor="accent2"/>
                    <w:sz w:val="14"/>
                    <w:szCs w:val="14"/>
                  </w:rPr>
                  <w:t>4-Y DR</w:t>
                </w:r>
              </w:p>
            </w:tc>
            <w:tc>
              <w:tcPr>
                <w:tcW w:w="417" w:type="pct"/>
                <w:tcBorders>
                  <w:top w:val="single" w:sz="12" w:space="0" w:color="AFAFB4" w:themeColor="accent4"/>
                </w:tcBorders>
                <w:shd w:val="clear" w:color="auto" w:fill="FFFFFF" w:themeFill="background2"/>
                <w:vAlign w:val="center"/>
              </w:tcPr>
              <w:p w14:paraId="64EA3CCF" w14:textId="77777777" w:rsidR="007155EE" w:rsidRPr="00B80369" w:rsidRDefault="007155EE" w:rsidP="00B80369">
                <w:pPr>
                  <w:spacing w:before="0" w:line="240" w:lineRule="auto"/>
                  <w:jc w:val="center"/>
                  <w:rPr>
                    <w:b/>
                    <w:color w:val="33A1AB" w:themeColor="accent2"/>
                    <w:sz w:val="14"/>
                    <w:szCs w:val="14"/>
                  </w:rPr>
                </w:pPr>
                <w:r w:rsidRPr="00B80369">
                  <w:rPr>
                    <w:b/>
                    <w:color w:val="33A1AB" w:themeColor="accent2"/>
                    <w:sz w:val="14"/>
                    <w:szCs w:val="14"/>
                  </w:rPr>
                  <w:t>5-Y DR</w:t>
                </w:r>
              </w:p>
            </w:tc>
            <w:tc>
              <w:tcPr>
                <w:tcW w:w="417" w:type="pct"/>
                <w:tcBorders>
                  <w:top w:val="single" w:sz="12" w:space="0" w:color="AFAFB4" w:themeColor="accent4"/>
                </w:tcBorders>
                <w:shd w:val="clear" w:color="auto" w:fill="FFFFFF" w:themeFill="background2"/>
                <w:vAlign w:val="center"/>
              </w:tcPr>
              <w:p w14:paraId="092BC471" w14:textId="77777777" w:rsidR="007155EE" w:rsidRPr="00B80369" w:rsidRDefault="007155EE" w:rsidP="00B80369">
                <w:pPr>
                  <w:spacing w:before="0" w:line="240" w:lineRule="auto"/>
                  <w:jc w:val="center"/>
                  <w:rPr>
                    <w:b/>
                    <w:color w:val="33A1AB" w:themeColor="accent2"/>
                    <w:sz w:val="14"/>
                    <w:szCs w:val="14"/>
                  </w:rPr>
                </w:pPr>
                <w:r w:rsidRPr="00B80369">
                  <w:rPr>
                    <w:b/>
                    <w:color w:val="33A1AB" w:themeColor="accent2"/>
                    <w:sz w:val="14"/>
                    <w:szCs w:val="14"/>
                  </w:rPr>
                  <w:t>1-Y DR</w:t>
                </w:r>
              </w:p>
            </w:tc>
            <w:tc>
              <w:tcPr>
                <w:tcW w:w="417" w:type="pct"/>
                <w:tcBorders>
                  <w:top w:val="single" w:sz="12" w:space="0" w:color="AFAFB4" w:themeColor="accent4"/>
                </w:tcBorders>
                <w:shd w:val="clear" w:color="auto" w:fill="FFFFFF" w:themeFill="background2"/>
                <w:vAlign w:val="center"/>
              </w:tcPr>
              <w:p w14:paraId="6F1BE476" w14:textId="77777777" w:rsidR="007155EE" w:rsidRPr="00B80369" w:rsidRDefault="007155EE" w:rsidP="00B80369">
                <w:pPr>
                  <w:spacing w:before="0" w:line="240" w:lineRule="auto"/>
                  <w:jc w:val="center"/>
                  <w:rPr>
                    <w:b/>
                    <w:color w:val="33A1AB" w:themeColor="accent2"/>
                    <w:sz w:val="14"/>
                    <w:szCs w:val="14"/>
                  </w:rPr>
                </w:pPr>
                <w:r w:rsidRPr="00B80369">
                  <w:rPr>
                    <w:b/>
                    <w:color w:val="33A1AB" w:themeColor="accent2"/>
                    <w:sz w:val="14"/>
                    <w:szCs w:val="14"/>
                  </w:rPr>
                  <w:t>2-Y DR</w:t>
                </w:r>
              </w:p>
            </w:tc>
            <w:tc>
              <w:tcPr>
                <w:tcW w:w="417" w:type="pct"/>
                <w:tcBorders>
                  <w:top w:val="single" w:sz="12" w:space="0" w:color="AFAFB4" w:themeColor="accent4"/>
                </w:tcBorders>
                <w:shd w:val="clear" w:color="auto" w:fill="FFFFFF" w:themeFill="background2"/>
                <w:vAlign w:val="center"/>
              </w:tcPr>
              <w:p w14:paraId="1C1872AA" w14:textId="77777777" w:rsidR="007155EE" w:rsidRPr="00B80369" w:rsidRDefault="007155EE" w:rsidP="00B80369">
                <w:pPr>
                  <w:spacing w:before="0" w:line="240" w:lineRule="auto"/>
                  <w:jc w:val="center"/>
                  <w:rPr>
                    <w:b/>
                    <w:color w:val="33A1AB" w:themeColor="accent2"/>
                    <w:sz w:val="14"/>
                    <w:szCs w:val="14"/>
                  </w:rPr>
                </w:pPr>
                <w:r w:rsidRPr="00B80369">
                  <w:rPr>
                    <w:b/>
                    <w:color w:val="33A1AB" w:themeColor="accent2"/>
                    <w:sz w:val="14"/>
                    <w:szCs w:val="14"/>
                  </w:rPr>
                  <w:t>3-Y DR</w:t>
                </w:r>
              </w:p>
            </w:tc>
            <w:tc>
              <w:tcPr>
                <w:tcW w:w="417" w:type="pct"/>
                <w:tcBorders>
                  <w:top w:val="single" w:sz="12" w:space="0" w:color="AFAFB4" w:themeColor="accent4"/>
                </w:tcBorders>
                <w:shd w:val="clear" w:color="auto" w:fill="FFFFFF" w:themeFill="background2"/>
                <w:vAlign w:val="center"/>
              </w:tcPr>
              <w:p w14:paraId="70F39788" w14:textId="77777777" w:rsidR="007155EE" w:rsidRPr="00B80369" w:rsidRDefault="007155EE" w:rsidP="00B80369">
                <w:pPr>
                  <w:spacing w:before="0" w:line="240" w:lineRule="auto"/>
                  <w:jc w:val="center"/>
                  <w:rPr>
                    <w:b/>
                    <w:color w:val="33A1AB" w:themeColor="accent2"/>
                    <w:sz w:val="14"/>
                    <w:szCs w:val="14"/>
                  </w:rPr>
                </w:pPr>
                <w:r w:rsidRPr="00B80369">
                  <w:rPr>
                    <w:b/>
                    <w:color w:val="33A1AB" w:themeColor="accent2"/>
                    <w:sz w:val="14"/>
                    <w:szCs w:val="14"/>
                  </w:rPr>
                  <w:t>4-Y DR</w:t>
                </w:r>
              </w:p>
            </w:tc>
            <w:tc>
              <w:tcPr>
                <w:tcW w:w="413" w:type="pct"/>
                <w:tcBorders>
                  <w:top w:val="single" w:sz="12" w:space="0" w:color="AFAFB4" w:themeColor="accent4"/>
                </w:tcBorders>
                <w:shd w:val="clear" w:color="auto" w:fill="FFFFFF" w:themeFill="background2"/>
                <w:vAlign w:val="center"/>
              </w:tcPr>
              <w:p w14:paraId="4C0929F3" w14:textId="77777777" w:rsidR="007155EE" w:rsidRPr="00B80369" w:rsidRDefault="007155EE" w:rsidP="00B80369">
                <w:pPr>
                  <w:spacing w:before="0" w:line="240" w:lineRule="auto"/>
                  <w:jc w:val="center"/>
                  <w:rPr>
                    <w:b/>
                    <w:color w:val="33A1AB" w:themeColor="accent2"/>
                    <w:sz w:val="14"/>
                    <w:szCs w:val="14"/>
                  </w:rPr>
                </w:pPr>
                <w:r w:rsidRPr="00B80369">
                  <w:rPr>
                    <w:b/>
                    <w:color w:val="33A1AB" w:themeColor="accent2"/>
                    <w:sz w:val="14"/>
                    <w:szCs w:val="14"/>
                  </w:rPr>
                  <w:t>5-Y DR</w:t>
                </w:r>
              </w:p>
            </w:tc>
          </w:tr>
          <w:tr w:rsidR="007155EE" w:rsidRPr="00B80369" w14:paraId="1E29C15D"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5CC11053" w14:textId="77777777" w:rsidR="007155EE" w:rsidRPr="00B80369" w:rsidRDefault="007155EE"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A1.1</w:t>
                </w:r>
              </w:p>
            </w:tc>
            <w:tc>
              <w:tcPr>
                <w:tcW w:w="491" w:type="pct"/>
                <w:shd w:val="clear" w:color="auto" w:fill="FFFFFF" w:themeFill="background2"/>
                <w:tcMar>
                  <w:top w:w="60" w:type="dxa"/>
                  <w:left w:w="114" w:type="dxa"/>
                  <w:bottom w:w="60" w:type="dxa"/>
                  <w:right w:w="114" w:type="dxa"/>
                </w:tcMar>
                <w:vAlign w:val="center"/>
              </w:tcPr>
              <w:p w14:paraId="759C1BF0" w14:textId="2A8BB57D"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w:t>
                </w:r>
              </w:p>
            </w:tc>
            <w:tc>
              <w:tcPr>
                <w:tcW w:w="417" w:type="pct"/>
                <w:shd w:val="clear" w:color="auto" w:fill="FFFFFF" w:themeFill="background2"/>
                <w:tcMar>
                  <w:top w:w="60" w:type="dxa"/>
                  <w:left w:w="114" w:type="dxa"/>
                  <w:bottom w:w="60" w:type="dxa"/>
                  <w:right w:w="114" w:type="dxa"/>
                </w:tcMar>
                <w:vAlign w:val="center"/>
              </w:tcPr>
              <w:p w14:paraId="00E8B396" w14:textId="3C812C9D"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7A3E3C75" w14:textId="0EE921EF"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40A252D6" w14:textId="1ED54E60"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2E50A433" w14:textId="5B79480A"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66B804CD" w14:textId="253D4D02"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3C9D293B" w14:textId="546B10A4"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74438077" w14:textId="491EFF67"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5CA452BC" w14:textId="36F70D2E"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2706D9BB" w14:textId="1D53C212"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3" w:type="pct"/>
                <w:shd w:val="clear" w:color="auto" w:fill="FFFFFF" w:themeFill="background2"/>
                <w:vAlign w:val="center"/>
              </w:tcPr>
              <w:p w14:paraId="4CDB8FD5" w14:textId="5810D9B9"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r>
          <w:tr w:rsidR="007155EE" w:rsidRPr="00B80369" w14:paraId="2893B067"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42EBBE3D" w14:textId="77777777" w:rsidR="007155EE" w:rsidRPr="00B80369" w:rsidRDefault="007155EE"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A1.2</w:t>
                </w:r>
              </w:p>
            </w:tc>
            <w:tc>
              <w:tcPr>
                <w:tcW w:w="491" w:type="pct"/>
                <w:shd w:val="clear" w:color="auto" w:fill="FFFFFF" w:themeFill="background2"/>
                <w:tcMar>
                  <w:top w:w="60" w:type="dxa"/>
                  <w:left w:w="114" w:type="dxa"/>
                  <w:bottom w:w="60" w:type="dxa"/>
                  <w:right w:w="114" w:type="dxa"/>
                </w:tcMar>
                <w:vAlign w:val="center"/>
              </w:tcPr>
              <w:p w14:paraId="68EDFF80" w14:textId="197D6640"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60</w:t>
                </w:r>
              </w:p>
            </w:tc>
            <w:tc>
              <w:tcPr>
                <w:tcW w:w="417" w:type="pct"/>
                <w:shd w:val="clear" w:color="auto" w:fill="FFFFFF" w:themeFill="background2"/>
                <w:tcMar>
                  <w:top w:w="60" w:type="dxa"/>
                  <w:left w:w="114" w:type="dxa"/>
                  <w:bottom w:w="60" w:type="dxa"/>
                  <w:right w:w="114" w:type="dxa"/>
                </w:tcMar>
                <w:vAlign w:val="center"/>
              </w:tcPr>
              <w:p w14:paraId="0D6FCD6F" w14:textId="75762CEB"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1528DF70" w14:textId="6D01C395"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5C10836F" w14:textId="1378A7CF"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008F1890" w14:textId="6C33C2F8"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0CADFA9F" w14:textId="5296C0F7"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097462FC" w14:textId="493E83C9"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51060585" w14:textId="411234D6"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6F0EA8B3" w14:textId="766A76CD"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206ADA68" w14:textId="138EC24A"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3" w:type="pct"/>
                <w:shd w:val="clear" w:color="auto" w:fill="FFFFFF" w:themeFill="background2"/>
                <w:vAlign w:val="center"/>
              </w:tcPr>
              <w:p w14:paraId="3E499987" w14:textId="7875D5D1"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r>
          <w:tr w:rsidR="007155EE" w:rsidRPr="00B80369" w14:paraId="5C571383"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44E32986" w14:textId="77777777" w:rsidR="007155EE" w:rsidRPr="00B80369" w:rsidRDefault="007155EE"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A1.3</w:t>
                </w:r>
              </w:p>
            </w:tc>
            <w:tc>
              <w:tcPr>
                <w:tcW w:w="491" w:type="pct"/>
                <w:shd w:val="clear" w:color="auto" w:fill="FFFFFF" w:themeFill="background2"/>
                <w:tcMar>
                  <w:top w:w="60" w:type="dxa"/>
                  <w:left w:w="114" w:type="dxa"/>
                  <w:bottom w:w="60" w:type="dxa"/>
                  <w:right w:w="114" w:type="dxa"/>
                </w:tcMar>
                <w:vAlign w:val="center"/>
              </w:tcPr>
              <w:p w14:paraId="59BCC5CE" w14:textId="5B98A2CB"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183</w:t>
                </w:r>
              </w:p>
            </w:tc>
            <w:tc>
              <w:tcPr>
                <w:tcW w:w="417" w:type="pct"/>
                <w:shd w:val="clear" w:color="auto" w:fill="FFFFFF" w:themeFill="background2"/>
                <w:tcMar>
                  <w:top w:w="60" w:type="dxa"/>
                  <w:left w:w="114" w:type="dxa"/>
                  <w:bottom w:w="60" w:type="dxa"/>
                  <w:right w:w="114" w:type="dxa"/>
                </w:tcMar>
                <w:vAlign w:val="center"/>
              </w:tcPr>
              <w:p w14:paraId="39FD5EA8" w14:textId="5FA4427D"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48251F4F" w14:textId="4305BD67"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532EF017" w14:textId="4E3FE452"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4ABD8CC1" w14:textId="65F98D07"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64CD9F41" w14:textId="056529F4"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w:t>
                </w:r>
              </w:p>
            </w:tc>
            <w:tc>
              <w:tcPr>
                <w:tcW w:w="417" w:type="pct"/>
                <w:shd w:val="clear" w:color="auto" w:fill="FFFFFF" w:themeFill="background2"/>
                <w:vAlign w:val="center"/>
              </w:tcPr>
              <w:p w14:paraId="3F6363F8" w14:textId="4C1DB3F6"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62FEF563" w14:textId="1C1CD98A"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6A18BE10" w14:textId="31B3A2C4"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5240699E" w14:textId="3ED311F0"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3" w:type="pct"/>
                <w:shd w:val="clear" w:color="auto" w:fill="FFFFFF" w:themeFill="background2"/>
                <w:vAlign w:val="center"/>
              </w:tcPr>
              <w:p w14:paraId="0C20AB44" w14:textId="110C849B"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0.55%</w:t>
                </w:r>
              </w:p>
            </w:tc>
          </w:tr>
          <w:tr w:rsidR="007155EE" w:rsidRPr="00B80369" w14:paraId="016FC62B"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13947131" w14:textId="77777777" w:rsidR="007155EE" w:rsidRPr="00B80369" w:rsidRDefault="007155EE"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A2.1</w:t>
                </w:r>
              </w:p>
            </w:tc>
            <w:tc>
              <w:tcPr>
                <w:tcW w:w="491" w:type="pct"/>
                <w:shd w:val="clear" w:color="auto" w:fill="FFFFFF" w:themeFill="background2"/>
                <w:tcMar>
                  <w:top w:w="60" w:type="dxa"/>
                  <w:left w:w="114" w:type="dxa"/>
                  <w:bottom w:w="60" w:type="dxa"/>
                  <w:right w:w="114" w:type="dxa"/>
                </w:tcMar>
                <w:vAlign w:val="center"/>
              </w:tcPr>
              <w:p w14:paraId="40C72E28" w14:textId="2847EDB3"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462</w:t>
                </w:r>
              </w:p>
            </w:tc>
            <w:tc>
              <w:tcPr>
                <w:tcW w:w="417" w:type="pct"/>
                <w:shd w:val="clear" w:color="auto" w:fill="FFFFFF" w:themeFill="background2"/>
                <w:tcMar>
                  <w:top w:w="60" w:type="dxa"/>
                  <w:left w:w="114" w:type="dxa"/>
                  <w:bottom w:w="60" w:type="dxa"/>
                  <w:right w:w="114" w:type="dxa"/>
                </w:tcMar>
                <w:vAlign w:val="center"/>
              </w:tcPr>
              <w:p w14:paraId="344287B4" w14:textId="67A8FD4E"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775CCFB1" w14:textId="02614678"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3E98A832" w14:textId="6D9BBD6F"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w:t>
                </w:r>
              </w:p>
            </w:tc>
            <w:tc>
              <w:tcPr>
                <w:tcW w:w="417" w:type="pct"/>
                <w:shd w:val="clear" w:color="auto" w:fill="FFFFFF" w:themeFill="background2"/>
                <w:vAlign w:val="center"/>
              </w:tcPr>
              <w:p w14:paraId="0179596A" w14:textId="64C78E22"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w:t>
                </w:r>
              </w:p>
            </w:tc>
            <w:tc>
              <w:tcPr>
                <w:tcW w:w="417" w:type="pct"/>
                <w:shd w:val="clear" w:color="auto" w:fill="FFFFFF" w:themeFill="background2"/>
                <w:vAlign w:val="center"/>
              </w:tcPr>
              <w:p w14:paraId="2767E36B" w14:textId="05BDFB4A"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w:t>
                </w:r>
              </w:p>
            </w:tc>
            <w:tc>
              <w:tcPr>
                <w:tcW w:w="417" w:type="pct"/>
                <w:shd w:val="clear" w:color="auto" w:fill="FFFFFF" w:themeFill="background2"/>
                <w:vAlign w:val="center"/>
              </w:tcPr>
              <w:p w14:paraId="578C4448" w14:textId="04147185"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3B245D47" w14:textId="695F882A"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7D1B4A26" w14:textId="079E7F36"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0.22%</w:t>
                </w:r>
              </w:p>
            </w:tc>
            <w:tc>
              <w:tcPr>
                <w:tcW w:w="417" w:type="pct"/>
                <w:shd w:val="clear" w:color="auto" w:fill="FFFFFF" w:themeFill="background2"/>
                <w:vAlign w:val="center"/>
              </w:tcPr>
              <w:p w14:paraId="1AF8A073" w14:textId="45EC97CC"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0.65%</w:t>
                </w:r>
              </w:p>
            </w:tc>
            <w:tc>
              <w:tcPr>
                <w:tcW w:w="413" w:type="pct"/>
                <w:shd w:val="clear" w:color="auto" w:fill="FFFFFF" w:themeFill="background2"/>
                <w:vAlign w:val="center"/>
              </w:tcPr>
              <w:p w14:paraId="4F300D01" w14:textId="2991ED5F"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0.65%</w:t>
                </w:r>
              </w:p>
            </w:tc>
          </w:tr>
          <w:tr w:rsidR="007155EE" w:rsidRPr="00B80369" w14:paraId="18F84F8C"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38121B31" w14:textId="77777777" w:rsidR="007155EE" w:rsidRPr="00B80369" w:rsidRDefault="007155EE"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A2.2</w:t>
                </w:r>
              </w:p>
            </w:tc>
            <w:tc>
              <w:tcPr>
                <w:tcW w:w="491" w:type="pct"/>
                <w:shd w:val="clear" w:color="auto" w:fill="FFFFFF" w:themeFill="background2"/>
                <w:tcMar>
                  <w:top w:w="60" w:type="dxa"/>
                  <w:left w:w="114" w:type="dxa"/>
                  <w:bottom w:w="60" w:type="dxa"/>
                  <w:right w:w="114" w:type="dxa"/>
                </w:tcMar>
                <w:vAlign w:val="center"/>
              </w:tcPr>
              <w:p w14:paraId="29A9E9CA" w14:textId="5E4C1280"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2,277</w:t>
                </w:r>
              </w:p>
            </w:tc>
            <w:tc>
              <w:tcPr>
                <w:tcW w:w="417" w:type="pct"/>
                <w:shd w:val="clear" w:color="auto" w:fill="FFFFFF" w:themeFill="background2"/>
                <w:tcMar>
                  <w:top w:w="60" w:type="dxa"/>
                  <w:left w:w="114" w:type="dxa"/>
                  <w:bottom w:w="60" w:type="dxa"/>
                  <w:right w:w="114" w:type="dxa"/>
                </w:tcMar>
                <w:vAlign w:val="center"/>
              </w:tcPr>
              <w:p w14:paraId="767AB828" w14:textId="5CDBECA2"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5CF7C533" w14:textId="53F0481C"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w:t>
                </w:r>
              </w:p>
            </w:tc>
            <w:tc>
              <w:tcPr>
                <w:tcW w:w="417" w:type="pct"/>
                <w:shd w:val="clear" w:color="auto" w:fill="FFFFFF" w:themeFill="background2"/>
                <w:vAlign w:val="center"/>
              </w:tcPr>
              <w:p w14:paraId="28551A4F" w14:textId="7F4F8C4E"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w:t>
                </w:r>
              </w:p>
            </w:tc>
            <w:tc>
              <w:tcPr>
                <w:tcW w:w="417" w:type="pct"/>
                <w:shd w:val="clear" w:color="auto" w:fill="FFFFFF" w:themeFill="background2"/>
                <w:vAlign w:val="center"/>
              </w:tcPr>
              <w:p w14:paraId="63DF07F0" w14:textId="43158458"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14</w:t>
                </w:r>
              </w:p>
            </w:tc>
            <w:tc>
              <w:tcPr>
                <w:tcW w:w="417" w:type="pct"/>
                <w:shd w:val="clear" w:color="auto" w:fill="FFFFFF" w:themeFill="background2"/>
                <w:vAlign w:val="center"/>
              </w:tcPr>
              <w:p w14:paraId="7E4067B6" w14:textId="591F3917"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17</w:t>
                </w:r>
              </w:p>
            </w:tc>
            <w:tc>
              <w:tcPr>
                <w:tcW w:w="417" w:type="pct"/>
                <w:shd w:val="clear" w:color="auto" w:fill="FFFFFF" w:themeFill="background2"/>
                <w:vAlign w:val="center"/>
              </w:tcPr>
              <w:p w14:paraId="07D7B60B" w14:textId="6881D11A"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796F8076" w14:textId="43D1FAE3"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0.18%</w:t>
                </w:r>
              </w:p>
            </w:tc>
            <w:tc>
              <w:tcPr>
                <w:tcW w:w="417" w:type="pct"/>
                <w:shd w:val="clear" w:color="auto" w:fill="FFFFFF" w:themeFill="background2"/>
                <w:vAlign w:val="center"/>
              </w:tcPr>
              <w:p w14:paraId="45A01F1C" w14:textId="39912862"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0.31%</w:t>
                </w:r>
              </w:p>
            </w:tc>
            <w:tc>
              <w:tcPr>
                <w:tcW w:w="417" w:type="pct"/>
                <w:shd w:val="clear" w:color="auto" w:fill="FFFFFF" w:themeFill="background2"/>
                <w:vAlign w:val="center"/>
              </w:tcPr>
              <w:p w14:paraId="2AD652E9" w14:textId="3D7F6A0C"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0.61%</w:t>
                </w:r>
              </w:p>
            </w:tc>
            <w:tc>
              <w:tcPr>
                <w:tcW w:w="413" w:type="pct"/>
                <w:shd w:val="clear" w:color="auto" w:fill="FFFFFF" w:themeFill="background2"/>
                <w:vAlign w:val="center"/>
              </w:tcPr>
              <w:p w14:paraId="7B377109" w14:textId="098B3E68"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0.75%</w:t>
                </w:r>
              </w:p>
            </w:tc>
          </w:tr>
          <w:tr w:rsidR="007155EE" w:rsidRPr="00B80369" w14:paraId="144A3D10"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09106948" w14:textId="77777777" w:rsidR="007155EE" w:rsidRPr="00B80369" w:rsidRDefault="007155EE"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A3.1</w:t>
                </w:r>
              </w:p>
            </w:tc>
            <w:tc>
              <w:tcPr>
                <w:tcW w:w="491" w:type="pct"/>
                <w:shd w:val="clear" w:color="auto" w:fill="FFFFFF" w:themeFill="background2"/>
                <w:tcMar>
                  <w:top w:w="60" w:type="dxa"/>
                  <w:left w:w="114" w:type="dxa"/>
                  <w:bottom w:w="60" w:type="dxa"/>
                  <w:right w:w="114" w:type="dxa"/>
                </w:tcMar>
                <w:vAlign w:val="center"/>
              </w:tcPr>
              <w:p w14:paraId="55A3A434" w14:textId="32C8DA1C"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3,818</w:t>
                </w:r>
              </w:p>
            </w:tc>
            <w:tc>
              <w:tcPr>
                <w:tcW w:w="417" w:type="pct"/>
                <w:shd w:val="clear" w:color="auto" w:fill="FFFFFF" w:themeFill="background2"/>
                <w:tcMar>
                  <w:top w:w="60" w:type="dxa"/>
                  <w:left w:w="114" w:type="dxa"/>
                  <w:bottom w:w="60" w:type="dxa"/>
                  <w:right w:w="114" w:type="dxa"/>
                </w:tcMar>
                <w:vAlign w:val="center"/>
              </w:tcPr>
              <w:p w14:paraId="01DF4FD0" w14:textId="43BD8C84"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w:t>
                </w:r>
              </w:p>
            </w:tc>
            <w:tc>
              <w:tcPr>
                <w:tcW w:w="417" w:type="pct"/>
                <w:shd w:val="clear" w:color="auto" w:fill="FFFFFF" w:themeFill="background2"/>
                <w:vAlign w:val="center"/>
              </w:tcPr>
              <w:p w14:paraId="6F0587C5" w14:textId="624004BC"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10</w:t>
                </w:r>
              </w:p>
            </w:tc>
            <w:tc>
              <w:tcPr>
                <w:tcW w:w="417" w:type="pct"/>
                <w:shd w:val="clear" w:color="auto" w:fill="FFFFFF" w:themeFill="background2"/>
                <w:vAlign w:val="center"/>
              </w:tcPr>
              <w:p w14:paraId="42368D06" w14:textId="767B5B33"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26</w:t>
                </w:r>
              </w:p>
            </w:tc>
            <w:tc>
              <w:tcPr>
                <w:tcW w:w="417" w:type="pct"/>
                <w:shd w:val="clear" w:color="auto" w:fill="FFFFFF" w:themeFill="background2"/>
                <w:vAlign w:val="center"/>
              </w:tcPr>
              <w:p w14:paraId="41CD04B5" w14:textId="7CD0E3B8"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43</w:t>
                </w:r>
              </w:p>
            </w:tc>
            <w:tc>
              <w:tcPr>
                <w:tcW w:w="417" w:type="pct"/>
                <w:shd w:val="clear" w:color="auto" w:fill="FFFFFF" w:themeFill="background2"/>
                <w:vAlign w:val="center"/>
              </w:tcPr>
              <w:p w14:paraId="713A7250" w14:textId="122ECC02"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68</w:t>
                </w:r>
              </w:p>
            </w:tc>
            <w:tc>
              <w:tcPr>
                <w:tcW w:w="417" w:type="pct"/>
                <w:shd w:val="clear" w:color="auto" w:fill="FFFFFF" w:themeFill="background2"/>
                <w:vAlign w:val="center"/>
              </w:tcPr>
              <w:p w14:paraId="6A4049BE" w14:textId="647844F0"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0.05%</w:t>
                </w:r>
              </w:p>
            </w:tc>
            <w:tc>
              <w:tcPr>
                <w:tcW w:w="417" w:type="pct"/>
                <w:shd w:val="clear" w:color="auto" w:fill="FFFFFF" w:themeFill="background2"/>
                <w:vAlign w:val="center"/>
              </w:tcPr>
              <w:p w14:paraId="3F59E068" w14:textId="29142E4C"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0.26%</w:t>
                </w:r>
              </w:p>
            </w:tc>
            <w:tc>
              <w:tcPr>
                <w:tcW w:w="417" w:type="pct"/>
                <w:shd w:val="clear" w:color="auto" w:fill="FFFFFF" w:themeFill="background2"/>
                <w:vAlign w:val="center"/>
              </w:tcPr>
              <w:p w14:paraId="7602BC36" w14:textId="7F649286"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0.68%</w:t>
                </w:r>
              </w:p>
            </w:tc>
            <w:tc>
              <w:tcPr>
                <w:tcW w:w="417" w:type="pct"/>
                <w:shd w:val="clear" w:color="auto" w:fill="FFFFFF" w:themeFill="background2"/>
                <w:vAlign w:val="center"/>
              </w:tcPr>
              <w:p w14:paraId="61FB59ED" w14:textId="10567399"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1.13%</w:t>
                </w:r>
              </w:p>
            </w:tc>
            <w:tc>
              <w:tcPr>
                <w:tcW w:w="413" w:type="pct"/>
                <w:shd w:val="clear" w:color="auto" w:fill="FFFFFF" w:themeFill="background2"/>
                <w:vAlign w:val="center"/>
              </w:tcPr>
              <w:p w14:paraId="02B5D21C" w14:textId="33F8C145"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1.78%</w:t>
                </w:r>
              </w:p>
            </w:tc>
          </w:tr>
          <w:tr w:rsidR="007155EE" w:rsidRPr="00B80369" w14:paraId="0080EEDE"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7F154DD3" w14:textId="77777777" w:rsidR="007155EE" w:rsidRPr="00B80369" w:rsidRDefault="007155EE"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B1.1</w:t>
                </w:r>
              </w:p>
            </w:tc>
            <w:tc>
              <w:tcPr>
                <w:tcW w:w="491" w:type="pct"/>
                <w:shd w:val="clear" w:color="auto" w:fill="FFFFFF" w:themeFill="background2"/>
                <w:tcMar>
                  <w:top w:w="60" w:type="dxa"/>
                  <w:left w:w="114" w:type="dxa"/>
                  <w:bottom w:w="60" w:type="dxa"/>
                  <w:right w:w="114" w:type="dxa"/>
                </w:tcMar>
                <w:vAlign w:val="center"/>
              </w:tcPr>
              <w:p w14:paraId="6F57A5A4" w14:textId="56213F1E"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9,249</w:t>
                </w:r>
              </w:p>
            </w:tc>
            <w:tc>
              <w:tcPr>
                <w:tcW w:w="417" w:type="pct"/>
                <w:shd w:val="clear" w:color="auto" w:fill="FFFFFF" w:themeFill="background2"/>
                <w:tcMar>
                  <w:top w:w="60" w:type="dxa"/>
                  <w:left w:w="114" w:type="dxa"/>
                  <w:bottom w:w="60" w:type="dxa"/>
                  <w:right w:w="114" w:type="dxa"/>
                </w:tcMar>
                <w:vAlign w:val="center"/>
              </w:tcPr>
              <w:p w14:paraId="107A6683" w14:textId="3287D7C9"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38</w:t>
                </w:r>
              </w:p>
            </w:tc>
            <w:tc>
              <w:tcPr>
                <w:tcW w:w="417" w:type="pct"/>
                <w:shd w:val="clear" w:color="auto" w:fill="FFFFFF" w:themeFill="background2"/>
                <w:vAlign w:val="center"/>
              </w:tcPr>
              <w:p w14:paraId="42BB72A7" w14:textId="3A9AC97B"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81</w:t>
                </w:r>
              </w:p>
            </w:tc>
            <w:tc>
              <w:tcPr>
                <w:tcW w:w="417" w:type="pct"/>
                <w:shd w:val="clear" w:color="auto" w:fill="FFFFFF" w:themeFill="background2"/>
                <w:vAlign w:val="center"/>
              </w:tcPr>
              <w:p w14:paraId="2C2A39F3" w14:textId="5B90BA0C"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181</w:t>
                </w:r>
              </w:p>
            </w:tc>
            <w:tc>
              <w:tcPr>
                <w:tcW w:w="417" w:type="pct"/>
                <w:shd w:val="clear" w:color="auto" w:fill="FFFFFF" w:themeFill="background2"/>
                <w:vAlign w:val="center"/>
              </w:tcPr>
              <w:p w14:paraId="6AFDEB7A" w14:textId="235A4788"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286</w:t>
                </w:r>
              </w:p>
            </w:tc>
            <w:tc>
              <w:tcPr>
                <w:tcW w:w="417" w:type="pct"/>
                <w:shd w:val="clear" w:color="auto" w:fill="FFFFFF" w:themeFill="background2"/>
                <w:vAlign w:val="center"/>
              </w:tcPr>
              <w:p w14:paraId="2A3F9D1C" w14:textId="4576D939"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373</w:t>
                </w:r>
              </w:p>
            </w:tc>
            <w:tc>
              <w:tcPr>
                <w:tcW w:w="417" w:type="pct"/>
                <w:shd w:val="clear" w:color="auto" w:fill="FFFFFF" w:themeFill="background2"/>
                <w:vAlign w:val="center"/>
              </w:tcPr>
              <w:p w14:paraId="657B0353" w14:textId="4F55953F"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0.41%</w:t>
                </w:r>
              </w:p>
            </w:tc>
            <w:tc>
              <w:tcPr>
                <w:tcW w:w="417" w:type="pct"/>
                <w:shd w:val="clear" w:color="auto" w:fill="FFFFFF" w:themeFill="background2"/>
                <w:vAlign w:val="center"/>
              </w:tcPr>
              <w:p w14:paraId="3B3B8449" w14:textId="64345E77"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0.88%</w:t>
                </w:r>
              </w:p>
            </w:tc>
            <w:tc>
              <w:tcPr>
                <w:tcW w:w="417" w:type="pct"/>
                <w:shd w:val="clear" w:color="auto" w:fill="FFFFFF" w:themeFill="background2"/>
                <w:vAlign w:val="center"/>
              </w:tcPr>
              <w:p w14:paraId="754EA508" w14:textId="00532FEF"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1.96%</w:t>
                </w:r>
              </w:p>
            </w:tc>
            <w:tc>
              <w:tcPr>
                <w:tcW w:w="417" w:type="pct"/>
                <w:shd w:val="clear" w:color="auto" w:fill="FFFFFF" w:themeFill="background2"/>
                <w:vAlign w:val="center"/>
              </w:tcPr>
              <w:p w14:paraId="651E0CCE" w14:textId="69C6887E"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3.09%</w:t>
                </w:r>
              </w:p>
            </w:tc>
            <w:tc>
              <w:tcPr>
                <w:tcW w:w="413" w:type="pct"/>
                <w:shd w:val="clear" w:color="auto" w:fill="FFFFFF" w:themeFill="background2"/>
                <w:vAlign w:val="center"/>
              </w:tcPr>
              <w:p w14:paraId="4CDE2010" w14:textId="43C94B58"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4.03%</w:t>
                </w:r>
              </w:p>
            </w:tc>
          </w:tr>
          <w:tr w:rsidR="007155EE" w:rsidRPr="00B80369" w14:paraId="4DFDBD10"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6D586116" w14:textId="77777777" w:rsidR="007155EE" w:rsidRPr="00B80369" w:rsidRDefault="007155EE"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B1.2</w:t>
                </w:r>
              </w:p>
            </w:tc>
            <w:tc>
              <w:tcPr>
                <w:tcW w:w="491" w:type="pct"/>
                <w:shd w:val="clear" w:color="auto" w:fill="FFFFFF" w:themeFill="background2"/>
                <w:tcMar>
                  <w:top w:w="60" w:type="dxa"/>
                  <w:left w:w="114" w:type="dxa"/>
                  <w:bottom w:w="60" w:type="dxa"/>
                  <w:right w:w="114" w:type="dxa"/>
                </w:tcMar>
                <w:vAlign w:val="center"/>
              </w:tcPr>
              <w:p w14:paraId="729169CC" w14:textId="19EF3B05"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5,773</w:t>
                </w:r>
              </w:p>
            </w:tc>
            <w:tc>
              <w:tcPr>
                <w:tcW w:w="417" w:type="pct"/>
                <w:shd w:val="clear" w:color="auto" w:fill="FFFFFF" w:themeFill="background2"/>
                <w:tcMar>
                  <w:top w:w="60" w:type="dxa"/>
                  <w:left w:w="114" w:type="dxa"/>
                  <w:bottom w:w="60" w:type="dxa"/>
                  <w:right w:w="114" w:type="dxa"/>
                </w:tcMar>
                <w:vAlign w:val="center"/>
              </w:tcPr>
              <w:p w14:paraId="4F94B690" w14:textId="721A3EC1"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62</w:t>
                </w:r>
              </w:p>
            </w:tc>
            <w:tc>
              <w:tcPr>
                <w:tcW w:w="417" w:type="pct"/>
                <w:shd w:val="clear" w:color="auto" w:fill="FFFFFF" w:themeFill="background2"/>
                <w:vAlign w:val="center"/>
              </w:tcPr>
              <w:p w14:paraId="172C8B1B" w14:textId="6A8E613D"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141</w:t>
                </w:r>
              </w:p>
            </w:tc>
            <w:tc>
              <w:tcPr>
                <w:tcW w:w="417" w:type="pct"/>
                <w:shd w:val="clear" w:color="auto" w:fill="FFFFFF" w:themeFill="background2"/>
                <w:vAlign w:val="center"/>
              </w:tcPr>
              <w:p w14:paraId="22E147A7" w14:textId="614405B3"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299</w:t>
                </w:r>
              </w:p>
            </w:tc>
            <w:tc>
              <w:tcPr>
                <w:tcW w:w="417" w:type="pct"/>
                <w:shd w:val="clear" w:color="auto" w:fill="FFFFFF" w:themeFill="background2"/>
                <w:vAlign w:val="center"/>
              </w:tcPr>
              <w:p w14:paraId="37869807" w14:textId="2D43FECE"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438</w:t>
                </w:r>
              </w:p>
            </w:tc>
            <w:tc>
              <w:tcPr>
                <w:tcW w:w="417" w:type="pct"/>
                <w:shd w:val="clear" w:color="auto" w:fill="FFFFFF" w:themeFill="background2"/>
                <w:vAlign w:val="center"/>
              </w:tcPr>
              <w:p w14:paraId="41830D86" w14:textId="33B761C0"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554</w:t>
                </w:r>
              </w:p>
            </w:tc>
            <w:tc>
              <w:tcPr>
                <w:tcW w:w="417" w:type="pct"/>
                <w:shd w:val="clear" w:color="auto" w:fill="FFFFFF" w:themeFill="background2"/>
                <w:vAlign w:val="center"/>
              </w:tcPr>
              <w:p w14:paraId="5BAAA45F" w14:textId="7F3B8F26"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1.07%</w:t>
                </w:r>
              </w:p>
            </w:tc>
            <w:tc>
              <w:tcPr>
                <w:tcW w:w="417" w:type="pct"/>
                <w:shd w:val="clear" w:color="auto" w:fill="FFFFFF" w:themeFill="background2"/>
                <w:vAlign w:val="center"/>
              </w:tcPr>
              <w:p w14:paraId="3C70B06C" w14:textId="48C7B662"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2.44%</w:t>
                </w:r>
              </w:p>
            </w:tc>
            <w:tc>
              <w:tcPr>
                <w:tcW w:w="417" w:type="pct"/>
                <w:shd w:val="clear" w:color="auto" w:fill="FFFFFF" w:themeFill="background2"/>
                <w:vAlign w:val="center"/>
              </w:tcPr>
              <w:p w14:paraId="4A2CE5E4" w14:textId="6C8635DD"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5.18%</w:t>
                </w:r>
              </w:p>
            </w:tc>
            <w:tc>
              <w:tcPr>
                <w:tcW w:w="417" w:type="pct"/>
                <w:shd w:val="clear" w:color="auto" w:fill="FFFFFF" w:themeFill="background2"/>
                <w:vAlign w:val="center"/>
              </w:tcPr>
              <w:p w14:paraId="377C40AF" w14:textId="27E0BB3A"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7.59%</w:t>
                </w:r>
              </w:p>
            </w:tc>
            <w:tc>
              <w:tcPr>
                <w:tcW w:w="413" w:type="pct"/>
                <w:shd w:val="clear" w:color="auto" w:fill="FFFFFF" w:themeFill="background2"/>
                <w:vAlign w:val="center"/>
              </w:tcPr>
              <w:p w14:paraId="34CA3FC8" w14:textId="6009D375"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9.60%</w:t>
                </w:r>
              </w:p>
            </w:tc>
          </w:tr>
          <w:tr w:rsidR="007155EE" w:rsidRPr="00B80369" w14:paraId="581F342A"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1A4AEDC0" w14:textId="77777777" w:rsidR="007155EE" w:rsidRPr="00B80369" w:rsidRDefault="007155EE"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B2.1</w:t>
                </w:r>
              </w:p>
            </w:tc>
            <w:tc>
              <w:tcPr>
                <w:tcW w:w="491" w:type="pct"/>
                <w:shd w:val="clear" w:color="auto" w:fill="FFFFFF" w:themeFill="background2"/>
                <w:tcMar>
                  <w:top w:w="60" w:type="dxa"/>
                  <w:left w:w="114" w:type="dxa"/>
                  <w:bottom w:w="60" w:type="dxa"/>
                  <w:right w:w="114" w:type="dxa"/>
                </w:tcMar>
                <w:vAlign w:val="center"/>
              </w:tcPr>
              <w:p w14:paraId="478F978C" w14:textId="0F32AF5E"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7,151</w:t>
                </w:r>
              </w:p>
            </w:tc>
            <w:tc>
              <w:tcPr>
                <w:tcW w:w="417" w:type="pct"/>
                <w:shd w:val="clear" w:color="auto" w:fill="FFFFFF" w:themeFill="background2"/>
                <w:tcMar>
                  <w:top w:w="60" w:type="dxa"/>
                  <w:left w:w="114" w:type="dxa"/>
                  <w:bottom w:w="60" w:type="dxa"/>
                  <w:right w:w="114" w:type="dxa"/>
                </w:tcMar>
                <w:vAlign w:val="center"/>
              </w:tcPr>
              <w:p w14:paraId="6AB5A38F" w14:textId="56BA4E8F"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191</w:t>
                </w:r>
              </w:p>
            </w:tc>
            <w:tc>
              <w:tcPr>
                <w:tcW w:w="417" w:type="pct"/>
                <w:shd w:val="clear" w:color="auto" w:fill="FFFFFF" w:themeFill="background2"/>
                <w:vAlign w:val="center"/>
              </w:tcPr>
              <w:p w14:paraId="55508CA6" w14:textId="626AE709"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376</w:t>
                </w:r>
              </w:p>
            </w:tc>
            <w:tc>
              <w:tcPr>
                <w:tcW w:w="417" w:type="pct"/>
                <w:shd w:val="clear" w:color="auto" w:fill="FFFFFF" w:themeFill="background2"/>
                <w:vAlign w:val="center"/>
              </w:tcPr>
              <w:p w14:paraId="0E30A522" w14:textId="1ACF3599"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685</w:t>
                </w:r>
              </w:p>
            </w:tc>
            <w:tc>
              <w:tcPr>
                <w:tcW w:w="417" w:type="pct"/>
                <w:shd w:val="clear" w:color="auto" w:fill="FFFFFF" w:themeFill="background2"/>
                <w:vAlign w:val="center"/>
              </w:tcPr>
              <w:p w14:paraId="7B3BC13F" w14:textId="561C4410"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964</w:t>
                </w:r>
              </w:p>
            </w:tc>
            <w:tc>
              <w:tcPr>
                <w:tcW w:w="417" w:type="pct"/>
                <w:shd w:val="clear" w:color="auto" w:fill="FFFFFF" w:themeFill="background2"/>
                <w:vAlign w:val="center"/>
              </w:tcPr>
              <w:p w14:paraId="3E717B0F" w14:textId="6C93FB20"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1,152</w:t>
                </w:r>
              </w:p>
            </w:tc>
            <w:tc>
              <w:tcPr>
                <w:tcW w:w="417" w:type="pct"/>
                <w:shd w:val="clear" w:color="auto" w:fill="FFFFFF" w:themeFill="background2"/>
                <w:vAlign w:val="center"/>
              </w:tcPr>
              <w:p w14:paraId="228ABAF4" w14:textId="59C02EB6"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2.67%</w:t>
                </w:r>
              </w:p>
            </w:tc>
            <w:tc>
              <w:tcPr>
                <w:tcW w:w="417" w:type="pct"/>
                <w:shd w:val="clear" w:color="auto" w:fill="FFFFFF" w:themeFill="background2"/>
                <w:vAlign w:val="center"/>
              </w:tcPr>
              <w:p w14:paraId="3F32E793" w14:textId="19DCC24F" w:rsidR="007155EE" w:rsidRPr="00B80369" w:rsidRDefault="007155EE"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5.26%</w:t>
                </w:r>
              </w:p>
            </w:tc>
            <w:tc>
              <w:tcPr>
                <w:tcW w:w="417" w:type="pct"/>
                <w:shd w:val="clear" w:color="auto" w:fill="FFFFFF" w:themeFill="background2"/>
                <w:vAlign w:val="center"/>
              </w:tcPr>
              <w:p w14:paraId="1EEAD071" w14:textId="4516FF01" w:rsidR="007155EE" w:rsidRPr="00B80369" w:rsidRDefault="007155EE"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9.58%</w:t>
                </w:r>
              </w:p>
            </w:tc>
            <w:tc>
              <w:tcPr>
                <w:tcW w:w="417" w:type="pct"/>
                <w:shd w:val="clear" w:color="auto" w:fill="FFFFFF" w:themeFill="background2"/>
                <w:vAlign w:val="center"/>
              </w:tcPr>
              <w:p w14:paraId="314B30F4" w14:textId="589482C0" w:rsidR="007155EE" w:rsidRPr="00B80369" w:rsidRDefault="007155EE"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13.48%</w:t>
                </w:r>
              </w:p>
            </w:tc>
            <w:tc>
              <w:tcPr>
                <w:tcW w:w="413" w:type="pct"/>
                <w:shd w:val="clear" w:color="auto" w:fill="FFFFFF" w:themeFill="background2"/>
                <w:vAlign w:val="center"/>
              </w:tcPr>
              <w:p w14:paraId="2CA1D96F" w14:textId="5592C5F9" w:rsidR="007155EE" w:rsidRPr="00B80369" w:rsidRDefault="007155EE"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16.11%</w:t>
                </w:r>
              </w:p>
            </w:tc>
          </w:tr>
          <w:tr w:rsidR="007155EE" w:rsidRPr="00B80369" w14:paraId="644D4BD5"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40211BFB" w14:textId="77777777" w:rsidR="007155EE" w:rsidRPr="00B80369" w:rsidRDefault="007155EE"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B2.2</w:t>
                </w:r>
              </w:p>
            </w:tc>
            <w:tc>
              <w:tcPr>
                <w:tcW w:w="491" w:type="pct"/>
                <w:shd w:val="clear" w:color="auto" w:fill="FFFFFF" w:themeFill="background2"/>
                <w:tcMar>
                  <w:top w:w="60" w:type="dxa"/>
                  <w:left w:w="114" w:type="dxa"/>
                  <w:bottom w:w="60" w:type="dxa"/>
                  <w:right w:w="114" w:type="dxa"/>
                </w:tcMar>
                <w:vAlign w:val="center"/>
              </w:tcPr>
              <w:p w14:paraId="513B352A" w14:textId="794035FB"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5,114</w:t>
                </w:r>
              </w:p>
            </w:tc>
            <w:tc>
              <w:tcPr>
                <w:tcW w:w="417" w:type="pct"/>
                <w:shd w:val="clear" w:color="auto" w:fill="FFFFFF" w:themeFill="background2"/>
                <w:tcMar>
                  <w:top w:w="60" w:type="dxa"/>
                  <w:left w:w="114" w:type="dxa"/>
                  <w:bottom w:w="60" w:type="dxa"/>
                  <w:right w:w="114" w:type="dxa"/>
                </w:tcMar>
                <w:vAlign w:val="center"/>
              </w:tcPr>
              <w:p w14:paraId="677362F3" w14:textId="22A56CC0"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264</w:t>
                </w:r>
              </w:p>
            </w:tc>
            <w:tc>
              <w:tcPr>
                <w:tcW w:w="417" w:type="pct"/>
                <w:shd w:val="clear" w:color="auto" w:fill="FFFFFF" w:themeFill="background2"/>
                <w:vAlign w:val="center"/>
              </w:tcPr>
              <w:p w14:paraId="50A7E42F" w14:textId="0F3224C4"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454</w:t>
                </w:r>
              </w:p>
            </w:tc>
            <w:tc>
              <w:tcPr>
                <w:tcW w:w="417" w:type="pct"/>
                <w:shd w:val="clear" w:color="auto" w:fill="FFFFFF" w:themeFill="background2"/>
                <w:vAlign w:val="center"/>
              </w:tcPr>
              <w:p w14:paraId="53E9CC18" w14:textId="052DA87C"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790</w:t>
                </w:r>
              </w:p>
            </w:tc>
            <w:tc>
              <w:tcPr>
                <w:tcW w:w="417" w:type="pct"/>
                <w:shd w:val="clear" w:color="auto" w:fill="FFFFFF" w:themeFill="background2"/>
                <w:vAlign w:val="center"/>
              </w:tcPr>
              <w:p w14:paraId="4B479992" w14:textId="37A49B23"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1,038</w:t>
                </w:r>
              </w:p>
            </w:tc>
            <w:tc>
              <w:tcPr>
                <w:tcW w:w="417" w:type="pct"/>
                <w:shd w:val="clear" w:color="auto" w:fill="FFFFFF" w:themeFill="background2"/>
                <w:vAlign w:val="center"/>
              </w:tcPr>
              <w:p w14:paraId="14DB629D" w14:textId="7BBAE6B6"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1,200</w:t>
                </w:r>
              </w:p>
            </w:tc>
            <w:tc>
              <w:tcPr>
                <w:tcW w:w="417" w:type="pct"/>
                <w:shd w:val="clear" w:color="auto" w:fill="FFFFFF" w:themeFill="background2"/>
                <w:vAlign w:val="center"/>
              </w:tcPr>
              <w:p w14:paraId="3F62DC14" w14:textId="2ED63DAC"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5.16%</w:t>
                </w:r>
              </w:p>
            </w:tc>
            <w:tc>
              <w:tcPr>
                <w:tcW w:w="417" w:type="pct"/>
                <w:shd w:val="clear" w:color="auto" w:fill="FFFFFF" w:themeFill="background2"/>
                <w:vAlign w:val="center"/>
              </w:tcPr>
              <w:p w14:paraId="4EA1CA33" w14:textId="26A1F807"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8.88%</w:t>
                </w:r>
              </w:p>
            </w:tc>
            <w:tc>
              <w:tcPr>
                <w:tcW w:w="417" w:type="pct"/>
                <w:shd w:val="clear" w:color="auto" w:fill="FFFFFF" w:themeFill="background2"/>
                <w:vAlign w:val="center"/>
              </w:tcPr>
              <w:p w14:paraId="2FD6E5B0" w14:textId="6C68371F"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15.45%</w:t>
                </w:r>
              </w:p>
            </w:tc>
            <w:tc>
              <w:tcPr>
                <w:tcW w:w="417" w:type="pct"/>
                <w:shd w:val="clear" w:color="auto" w:fill="FFFFFF" w:themeFill="background2"/>
                <w:vAlign w:val="center"/>
              </w:tcPr>
              <w:p w14:paraId="62365EA3" w14:textId="24ECD891"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20.30%</w:t>
                </w:r>
              </w:p>
            </w:tc>
            <w:tc>
              <w:tcPr>
                <w:tcW w:w="413" w:type="pct"/>
                <w:shd w:val="clear" w:color="auto" w:fill="FFFFFF" w:themeFill="background2"/>
                <w:vAlign w:val="center"/>
              </w:tcPr>
              <w:p w14:paraId="5AD97AEA" w14:textId="18D4041D"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23.47%</w:t>
                </w:r>
              </w:p>
            </w:tc>
          </w:tr>
          <w:tr w:rsidR="007155EE" w:rsidRPr="00B80369" w14:paraId="1496FE63"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046308A5" w14:textId="77777777" w:rsidR="007155EE" w:rsidRPr="00B80369" w:rsidRDefault="007155EE"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C1.1</w:t>
                </w:r>
              </w:p>
            </w:tc>
            <w:tc>
              <w:tcPr>
                <w:tcW w:w="491" w:type="pct"/>
                <w:shd w:val="clear" w:color="auto" w:fill="FFFFFF" w:themeFill="background2"/>
                <w:tcMar>
                  <w:top w:w="60" w:type="dxa"/>
                  <w:left w:w="114" w:type="dxa"/>
                  <w:bottom w:w="60" w:type="dxa"/>
                  <w:right w:w="114" w:type="dxa"/>
                </w:tcMar>
                <w:vAlign w:val="center"/>
              </w:tcPr>
              <w:p w14:paraId="664F4262" w14:textId="798E8377"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3,866</w:t>
                </w:r>
              </w:p>
            </w:tc>
            <w:tc>
              <w:tcPr>
                <w:tcW w:w="417" w:type="pct"/>
                <w:shd w:val="clear" w:color="auto" w:fill="FFFFFF" w:themeFill="background2"/>
                <w:tcMar>
                  <w:top w:w="60" w:type="dxa"/>
                  <w:left w:w="114" w:type="dxa"/>
                  <w:bottom w:w="60" w:type="dxa"/>
                  <w:right w:w="114" w:type="dxa"/>
                </w:tcMar>
                <w:vAlign w:val="center"/>
              </w:tcPr>
              <w:p w14:paraId="09B29C65" w14:textId="6D0C35C2"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386</w:t>
                </w:r>
              </w:p>
            </w:tc>
            <w:tc>
              <w:tcPr>
                <w:tcW w:w="417" w:type="pct"/>
                <w:shd w:val="clear" w:color="auto" w:fill="FFFFFF" w:themeFill="background2"/>
                <w:vAlign w:val="center"/>
              </w:tcPr>
              <w:p w14:paraId="24268CA9" w14:textId="643C92AE"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590</w:t>
                </w:r>
              </w:p>
            </w:tc>
            <w:tc>
              <w:tcPr>
                <w:tcW w:w="417" w:type="pct"/>
                <w:shd w:val="clear" w:color="auto" w:fill="FFFFFF" w:themeFill="background2"/>
                <w:vAlign w:val="center"/>
              </w:tcPr>
              <w:p w14:paraId="75EEEB2F" w14:textId="1D11ED59"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909</w:t>
                </w:r>
              </w:p>
            </w:tc>
            <w:tc>
              <w:tcPr>
                <w:tcW w:w="417" w:type="pct"/>
                <w:shd w:val="clear" w:color="auto" w:fill="FFFFFF" w:themeFill="background2"/>
                <w:vAlign w:val="center"/>
              </w:tcPr>
              <w:p w14:paraId="69C16853" w14:textId="35678C54"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1,143</w:t>
                </w:r>
              </w:p>
            </w:tc>
            <w:tc>
              <w:tcPr>
                <w:tcW w:w="417" w:type="pct"/>
                <w:shd w:val="clear" w:color="auto" w:fill="FFFFFF" w:themeFill="background2"/>
                <w:vAlign w:val="center"/>
              </w:tcPr>
              <w:p w14:paraId="3BCC3AE7" w14:textId="0DE35945"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1,290</w:t>
                </w:r>
              </w:p>
            </w:tc>
            <w:tc>
              <w:tcPr>
                <w:tcW w:w="417" w:type="pct"/>
                <w:shd w:val="clear" w:color="auto" w:fill="FFFFFF" w:themeFill="background2"/>
                <w:vAlign w:val="center"/>
              </w:tcPr>
              <w:p w14:paraId="24FC8856" w14:textId="05A52400"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9.98%</w:t>
                </w:r>
              </w:p>
            </w:tc>
            <w:tc>
              <w:tcPr>
                <w:tcW w:w="417" w:type="pct"/>
                <w:shd w:val="clear" w:color="auto" w:fill="FFFFFF" w:themeFill="background2"/>
                <w:vAlign w:val="center"/>
              </w:tcPr>
              <w:p w14:paraId="07070B9C" w14:textId="05C5396E"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15.26%</w:t>
                </w:r>
              </w:p>
            </w:tc>
            <w:tc>
              <w:tcPr>
                <w:tcW w:w="417" w:type="pct"/>
                <w:shd w:val="clear" w:color="auto" w:fill="FFFFFF" w:themeFill="background2"/>
                <w:vAlign w:val="center"/>
              </w:tcPr>
              <w:p w14:paraId="34551446" w14:textId="7366F0F1"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23.51%</w:t>
                </w:r>
              </w:p>
            </w:tc>
            <w:tc>
              <w:tcPr>
                <w:tcW w:w="417" w:type="pct"/>
                <w:shd w:val="clear" w:color="auto" w:fill="FFFFFF" w:themeFill="background2"/>
                <w:vAlign w:val="center"/>
              </w:tcPr>
              <w:p w14:paraId="3EF78889" w14:textId="7220AD8C"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29.57%</w:t>
                </w:r>
              </w:p>
            </w:tc>
            <w:tc>
              <w:tcPr>
                <w:tcW w:w="413" w:type="pct"/>
                <w:shd w:val="clear" w:color="auto" w:fill="FFFFFF" w:themeFill="background2"/>
                <w:vAlign w:val="center"/>
              </w:tcPr>
              <w:p w14:paraId="393DD812" w14:textId="4CCB8102"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33.37%</w:t>
                </w:r>
              </w:p>
            </w:tc>
          </w:tr>
          <w:tr w:rsidR="007155EE" w:rsidRPr="00B80369" w14:paraId="6B0870C9"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7FA9D941" w14:textId="77777777" w:rsidR="007155EE" w:rsidRPr="00B80369" w:rsidRDefault="007155EE"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C1.2</w:t>
                </w:r>
              </w:p>
            </w:tc>
            <w:tc>
              <w:tcPr>
                <w:tcW w:w="491" w:type="pct"/>
                <w:shd w:val="clear" w:color="auto" w:fill="FFFFFF" w:themeFill="background2"/>
                <w:tcMar>
                  <w:top w:w="60" w:type="dxa"/>
                  <w:left w:w="114" w:type="dxa"/>
                  <w:bottom w:w="60" w:type="dxa"/>
                  <w:right w:w="114" w:type="dxa"/>
                </w:tcMar>
                <w:vAlign w:val="center"/>
              </w:tcPr>
              <w:p w14:paraId="320082C8" w14:textId="2DDA2919"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1,062</w:t>
                </w:r>
              </w:p>
            </w:tc>
            <w:tc>
              <w:tcPr>
                <w:tcW w:w="417" w:type="pct"/>
                <w:shd w:val="clear" w:color="auto" w:fill="FFFFFF" w:themeFill="background2"/>
                <w:tcMar>
                  <w:top w:w="60" w:type="dxa"/>
                  <w:left w:w="114" w:type="dxa"/>
                  <w:bottom w:w="60" w:type="dxa"/>
                  <w:right w:w="114" w:type="dxa"/>
                </w:tcMar>
                <w:vAlign w:val="center"/>
              </w:tcPr>
              <w:p w14:paraId="58A60959" w14:textId="09A22E99"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243</w:t>
                </w:r>
              </w:p>
            </w:tc>
            <w:tc>
              <w:tcPr>
                <w:tcW w:w="417" w:type="pct"/>
                <w:shd w:val="clear" w:color="auto" w:fill="FFFFFF" w:themeFill="background2"/>
                <w:vAlign w:val="center"/>
              </w:tcPr>
              <w:p w14:paraId="74C17B3D" w14:textId="5F2FCC40"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301</w:t>
                </w:r>
              </w:p>
            </w:tc>
            <w:tc>
              <w:tcPr>
                <w:tcW w:w="417" w:type="pct"/>
                <w:shd w:val="clear" w:color="auto" w:fill="FFFFFF" w:themeFill="background2"/>
                <w:vAlign w:val="center"/>
              </w:tcPr>
              <w:p w14:paraId="3DA1C02E" w14:textId="01AD56B2"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417</w:t>
                </w:r>
              </w:p>
            </w:tc>
            <w:tc>
              <w:tcPr>
                <w:tcW w:w="417" w:type="pct"/>
                <w:shd w:val="clear" w:color="auto" w:fill="FFFFFF" w:themeFill="background2"/>
                <w:vAlign w:val="center"/>
              </w:tcPr>
              <w:p w14:paraId="015689A5" w14:textId="42A14EFD"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476</w:t>
                </w:r>
              </w:p>
            </w:tc>
            <w:tc>
              <w:tcPr>
                <w:tcW w:w="417" w:type="pct"/>
                <w:shd w:val="clear" w:color="auto" w:fill="FFFFFF" w:themeFill="background2"/>
                <w:vAlign w:val="center"/>
              </w:tcPr>
              <w:p w14:paraId="6FEB25C0" w14:textId="1D41BE03"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524</w:t>
                </w:r>
              </w:p>
            </w:tc>
            <w:tc>
              <w:tcPr>
                <w:tcW w:w="417" w:type="pct"/>
                <w:shd w:val="clear" w:color="auto" w:fill="FFFFFF" w:themeFill="background2"/>
                <w:vAlign w:val="center"/>
              </w:tcPr>
              <w:p w14:paraId="2B143A67" w14:textId="29E120C7"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22.88%</w:t>
                </w:r>
              </w:p>
            </w:tc>
            <w:tc>
              <w:tcPr>
                <w:tcW w:w="417" w:type="pct"/>
                <w:shd w:val="clear" w:color="auto" w:fill="FFFFFF" w:themeFill="background2"/>
                <w:vAlign w:val="center"/>
              </w:tcPr>
              <w:p w14:paraId="421145FA" w14:textId="4069407B"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28.34%</w:t>
                </w:r>
              </w:p>
            </w:tc>
            <w:tc>
              <w:tcPr>
                <w:tcW w:w="417" w:type="pct"/>
                <w:shd w:val="clear" w:color="auto" w:fill="FFFFFF" w:themeFill="background2"/>
                <w:vAlign w:val="center"/>
              </w:tcPr>
              <w:p w14:paraId="2BB66961" w14:textId="1E70AC9E"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39.27%</w:t>
                </w:r>
              </w:p>
            </w:tc>
            <w:tc>
              <w:tcPr>
                <w:tcW w:w="417" w:type="pct"/>
                <w:shd w:val="clear" w:color="auto" w:fill="FFFFFF" w:themeFill="background2"/>
                <w:vAlign w:val="center"/>
              </w:tcPr>
              <w:p w14:paraId="0FF574C0" w14:textId="47D046C5"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44.82%</w:t>
                </w:r>
              </w:p>
            </w:tc>
            <w:tc>
              <w:tcPr>
                <w:tcW w:w="413" w:type="pct"/>
                <w:shd w:val="clear" w:color="auto" w:fill="FFFFFF" w:themeFill="background2"/>
                <w:vAlign w:val="center"/>
              </w:tcPr>
              <w:p w14:paraId="568C9A4D" w14:textId="247698F4"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49.34%</w:t>
                </w:r>
              </w:p>
            </w:tc>
          </w:tr>
          <w:tr w:rsidR="007155EE" w:rsidRPr="00B80369" w14:paraId="3570F1E5"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3DDBAFAD" w14:textId="77777777" w:rsidR="007155EE" w:rsidRPr="00B80369" w:rsidRDefault="007155EE"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C2.1</w:t>
                </w:r>
              </w:p>
            </w:tc>
            <w:tc>
              <w:tcPr>
                <w:tcW w:w="491" w:type="pct"/>
                <w:shd w:val="clear" w:color="auto" w:fill="FFFFFF" w:themeFill="background2"/>
                <w:tcMar>
                  <w:top w:w="60" w:type="dxa"/>
                  <w:left w:w="114" w:type="dxa"/>
                  <w:bottom w:w="60" w:type="dxa"/>
                  <w:right w:w="114" w:type="dxa"/>
                </w:tcMar>
                <w:vAlign w:val="center"/>
              </w:tcPr>
              <w:p w14:paraId="2FEF65FA" w14:textId="70ED2498"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1,026</w:t>
                </w:r>
              </w:p>
            </w:tc>
            <w:tc>
              <w:tcPr>
                <w:tcW w:w="417" w:type="pct"/>
                <w:shd w:val="clear" w:color="auto" w:fill="FFFFFF" w:themeFill="background2"/>
                <w:tcMar>
                  <w:top w:w="60" w:type="dxa"/>
                  <w:left w:w="114" w:type="dxa"/>
                  <w:bottom w:w="60" w:type="dxa"/>
                  <w:right w:w="114" w:type="dxa"/>
                </w:tcMar>
                <w:vAlign w:val="center"/>
              </w:tcPr>
              <w:p w14:paraId="0E27F167" w14:textId="60DBAB03"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519</w:t>
                </w:r>
              </w:p>
            </w:tc>
            <w:tc>
              <w:tcPr>
                <w:tcW w:w="417" w:type="pct"/>
                <w:shd w:val="clear" w:color="auto" w:fill="FFFFFF" w:themeFill="background2"/>
                <w:vAlign w:val="center"/>
              </w:tcPr>
              <w:p w14:paraId="2D64BE22" w14:textId="37F3F066"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558</w:t>
                </w:r>
              </w:p>
            </w:tc>
            <w:tc>
              <w:tcPr>
                <w:tcW w:w="417" w:type="pct"/>
                <w:shd w:val="clear" w:color="auto" w:fill="FFFFFF" w:themeFill="background2"/>
                <w:vAlign w:val="center"/>
              </w:tcPr>
              <w:p w14:paraId="0CDEDD4B" w14:textId="38954814"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643</w:t>
                </w:r>
              </w:p>
            </w:tc>
            <w:tc>
              <w:tcPr>
                <w:tcW w:w="417" w:type="pct"/>
                <w:shd w:val="clear" w:color="auto" w:fill="FFFFFF" w:themeFill="background2"/>
                <w:vAlign w:val="center"/>
              </w:tcPr>
              <w:p w14:paraId="5CDC4FE6" w14:textId="257A5994"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690</w:t>
                </w:r>
              </w:p>
            </w:tc>
            <w:tc>
              <w:tcPr>
                <w:tcW w:w="417" w:type="pct"/>
                <w:shd w:val="clear" w:color="auto" w:fill="FFFFFF" w:themeFill="background2"/>
                <w:vAlign w:val="center"/>
              </w:tcPr>
              <w:p w14:paraId="0AF2199A" w14:textId="4D488A8C"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716</w:t>
                </w:r>
              </w:p>
            </w:tc>
            <w:tc>
              <w:tcPr>
                <w:tcW w:w="417" w:type="pct"/>
                <w:shd w:val="clear" w:color="auto" w:fill="FFFFFF" w:themeFill="background2"/>
                <w:vAlign w:val="center"/>
              </w:tcPr>
              <w:p w14:paraId="04CCE3C5" w14:textId="2DB1A359"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50.58%</w:t>
                </w:r>
              </w:p>
            </w:tc>
            <w:tc>
              <w:tcPr>
                <w:tcW w:w="417" w:type="pct"/>
                <w:shd w:val="clear" w:color="auto" w:fill="FFFFFF" w:themeFill="background2"/>
                <w:vAlign w:val="center"/>
              </w:tcPr>
              <w:p w14:paraId="434AA03B" w14:textId="76CF33F3"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54.39%</w:t>
                </w:r>
              </w:p>
            </w:tc>
            <w:tc>
              <w:tcPr>
                <w:tcW w:w="417" w:type="pct"/>
                <w:shd w:val="clear" w:color="auto" w:fill="FFFFFF" w:themeFill="background2"/>
                <w:vAlign w:val="center"/>
              </w:tcPr>
              <w:p w14:paraId="20F1E2F5" w14:textId="200DCE78"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62.67%</w:t>
                </w:r>
              </w:p>
            </w:tc>
            <w:tc>
              <w:tcPr>
                <w:tcW w:w="417" w:type="pct"/>
                <w:shd w:val="clear" w:color="auto" w:fill="FFFFFF" w:themeFill="background2"/>
                <w:vAlign w:val="center"/>
              </w:tcPr>
              <w:p w14:paraId="7A9C9D94" w14:textId="1146F346"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67.25%</w:t>
                </w:r>
              </w:p>
            </w:tc>
            <w:tc>
              <w:tcPr>
                <w:tcW w:w="413" w:type="pct"/>
                <w:shd w:val="clear" w:color="auto" w:fill="FFFFFF" w:themeFill="background2"/>
                <w:vAlign w:val="center"/>
              </w:tcPr>
              <w:p w14:paraId="65562908" w14:textId="250297FF"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69.79%</w:t>
                </w:r>
              </w:p>
            </w:tc>
          </w:tr>
          <w:tr w:rsidR="007155EE" w:rsidRPr="00B80369" w14:paraId="37E17D30" w14:textId="77777777" w:rsidTr="00AC7D4E">
            <w:trPr>
              <w:trHeight w:val="227"/>
            </w:trPr>
            <w:tc>
              <w:tcPr>
                <w:tcW w:w="343" w:type="pct"/>
                <w:shd w:val="clear" w:color="auto" w:fill="FFFFFF" w:themeFill="background2"/>
                <w:tcMar>
                  <w:top w:w="60" w:type="dxa"/>
                  <w:left w:w="114" w:type="dxa"/>
                  <w:bottom w:w="60" w:type="dxa"/>
                  <w:right w:w="114" w:type="dxa"/>
                </w:tcMar>
                <w:vAlign w:val="center"/>
              </w:tcPr>
              <w:p w14:paraId="48FCBDCD" w14:textId="77777777" w:rsidR="007155EE" w:rsidRPr="00B80369" w:rsidRDefault="007155EE" w:rsidP="00B80369">
                <w:pPr>
                  <w:spacing w:before="0" w:line="240" w:lineRule="auto"/>
                  <w:jc w:val="center"/>
                  <w:rPr>
                    <w:rFonts w:cs="Segoe UI"/>
                    <w:b/>
                    <w:bCs/>
                    <w:sz w:val="14"/>
                    <w:szCs w:val="14"/>
                    <w:lang w:eastAsia="it-IT"/>
                  </w:rPr>
                </w:pPr>
                <w:r w:rsidRPr="00B80369">
                  <w:rPr>
                    <w:rFonts w:cs="Segoe UI"/>
                    <w:b/>
                    <w:bCs/>
                    <w:sz w:val="14"/>
                    <w:szCs w:val="14"/>
                    <w:lang w:eastAsia="it-IT"/>
                  </w:rPr>
                  <w:t>TOTAL</w:t>
                </w:r>
              </w:p>
            </w:tc>
            <w:tc>
              <w:tcPr>
                <w:tcW w:w="491" w:type="pct"/>
                <w:shd w:val="clear" w:color="auto" w:fill="FFFFFF" w:themeFill="background2"/>
                <w:tcMar>
                  <w:top w:w="60" w:type="dxa"/>
                  <w:left w:w="114" w:type="dxa"/>
                  <w:bottom w:w="60" w:type="dxa"/>
                  <w:right w:w="114" w:type="dxa"/>
                </w:tcMar>
                <w:vAlign w:val="center"/>
              </w:tcPr>
              <w:p w14:paraId="230A329F" w14:textId="2E484A44"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40,043</w:t>
                </w:r>
              </w:p>
            </w:tc>
            <w:tc>
              <w:tcPr>
                <w:tcW w:w="417" w:type="pct"/>
                <w:shd w:val="clear" w:color="auto" w:fill="FFFFFF" w:themeFill="background2"/>
                <w:tcMar>
                  <w:top w:w="60" w:type="dxa"/>
                  <w:left w:w="114" w:type="dxa"/>
                  <w:bottom w:w="60" w:type="dxa"/>
                  <w:right w:w="114" w:type="dxa"/>
                </w:tcMar>
                <w:vAlign w:val="center"/>
              </w:tcPr>
              <w:p w14:paraId="5944CCBC" w14:textId="48E7A799"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1,705</w:t>
                </w:r>
              </w:p>
            </w:tc>
            <w:tc>
              <w:tcPr>
                <w:tcW w:w="417" w:type="pct"/>
                <w:shd w:val="clear" w:color="auto" w:fill="FFFFFF" w:themeFill="background2"/>
                <w:vAlign w:val="center"/>
              </w:tcPr>
              <w:p w14:paraId="3F6F335F" w14:textId="26B349CD"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2,515</w:t>
                </w:r>
              </w:p>
            </w:tc>
            <w:tc>
              <w:tcPr>
                <w:tcW w:w="417" w:type="pct"/>
                <w:shd w:val="clear" w:color="auto" w:fill="FFFFFF" w:themeFill="background2"/>
                <w:vAlign w:val="center"/>
              </w:tcPr>
              <w:p w14:paraId="28128CA5" w14:textId="2556CB5C"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3,958</w:t>
                </w:r>
              </w:p>
            </w:tc>
            <w:tc>
              <w:tcPr>
                <w:tcW w:w="417" w:type="pct"/>
                <w:shd w:val="clear" w:color="auto" w:fill="FFFFFF" w:themeFill="background2"/>
                <w:vAlign w:val="center"/>
              </w:tcPr>
              <w:p w14:paraId="6AAA5434" w14:textId="4181BB72"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5,095</w:t>
                </w:r>
              </w:p>
            </w:tc>
            <w:tc>
              <w:tcPr>
                <w:tcW w:w="417" w:type="pct"/>
                <w:shd w:val="clear" w:color="auto" w:fill="FFFFFF" w:themeFill="background2"/>
                <w:vAlign w:val="center"/>
              </w:tcPr>
              <w:p w14:paraId="236D4CEC" w14:textId="1E7B5665" w:rsidR="007155EE" w:rsidRPr="00B80369" w:rsidRDefault="007155EE"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5,898</w:t>
                </w:r>
              </w:p>
            </w:tc>
            <w:tc>
              <w:tcPr>
                <w:tcW w:w="417" w:type="pct"/>
                <w:shd w:val="clear" w:color="auto" w:fill="FFFFFF" w:themeFill="background2"/>
                <w:vAlign w:val="center"/>
              </w:tcPr>
              <w:p w14:paraId="332CC124" w14:textId="401726F6"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4.26%</w:t>
                </w:r>
              </w:p>
            </w:tc>
            <w:tc>
              <w:tcPr>
                <w:tcW w:w="417" w:type="pct"/>
                <w:shd w:val="clear" w:color="auto" w:fill="FFFFFF" w:themeFill="background2"/>
                <w:vAlign w:val="center"/>
              </w:tcPr>
              <w:p w14:paraId="56FA5FE3" w14:textId="214C8B22"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6.28%</w:t>
                </w:r>
              </w:p>
            </w:tc>
            <w:tc>
              <w:tcPr>
                <w:tcW w:w="417" w:type="pct"/>
                <w:shd w:val="clear" w:color="auto" w:fill="FFFFFF" w:themeFill="background2"/>
                <w:vAlign w:val="center"/>
              </w:tcPr>
              <w:p w14:paraId="5E3D7130" w14:textId="756B8B6C"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9.88%</w:t>
                </w:r>
              </w:p>
            </w:tc>
            <w:tc>
              <w:tcPr>
                <w:tcW w:w="417" w:type="pct"/>
                <w:shd w:val="clear" w:color="auto" w:fill="FFFFFF" w:themeFill="background2"/>
                <w:vAlign w:val="center"/>
              </w:tcPr>
              <w:p w14:paraId="762C2396" w14:textId="123FF8C9"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12.72%</w:t>
                </w:r>
              </w:p>
            </w:tc>
            <w:tc>
              <w:tcPr>
                <w:tcW w:w="413" w:type="pct"/>
                <w:shd w:val="clear" w:color="auto" w:fill="FFFFFF" w:themeFill="background2"/>
                <w:vAlign w:val="center"/>
              </w:tcPr>
              <w:p w14:paraId="165E39F1" w14:textId="6F1CCE6A" w:rsidR="007155EE" w:rsidRPr="00B80369" w:rsidRDefault="007155EE"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14.73%</w:t>
                </w:r>
              </w:p>
            </w:tc>
          </w:tr>
        </w:tbl>
        <w:p w14:paraId="7A83DC97" w14:textId="77777777" w:rsidR="007155EE" w:rsidRPr="007155EE" w:rsidRDefault="007155EE" w:rsidP="007155EE">
          <w:pPr>
            <w:rPr>
              <w:lang w:val="en-GB"/>
            </w:rPr>
          </w:pPr>
        </w:p>
        <w:p w14:paraId="339968AC" w14:textId="57B52A88" w:rsidR="004101BF" w:rsidRDefault="004101BF" w:rsidP="004101BF">
          <w:pPr>
            <w:pStyle w:val="Didascalia"/>
            <w:rPr>
              <w:rFonts w:ascii="Segoe UI" w:hAnsi="Segoe UI" w:cs="Segoe UI"/>
              <w:i/>
              <w:sz w:val="14"/>
              <w:lang w:val="en-GB"/>
            </w:rPr>
          </w:pPr>
          <w:bookmarkStart w:id="123" w:name="_Toc130806335"/>
          <w:bookmarkStart w:id="124" w:name="_Toc166675675"/>
          <w:bookmarkStart w:id="125" w:name="_Toc167131802"/>
          <w:r w:rsidRPr="0032337D">
            <w:rPr>
              <w:rFonts w:ascii="Segoe UI" w:hAnsi="Segoe UI" w:cs="Segoe UI"/>
              <w:i/>
              <w:sz w:val="14"/>
              <w:lang w:val="en-GB"/>
            </w:rPr>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34</w:t>
          </w:r>
          <w:r>
            <w:rPr>
              <w:rFonts w:ascii="Segoe UI" w:hAnsi="Segoe UI" w:cs="Segoe UI"/>
              <w:i/>
              <w:sz w:val="14"/>
              <w:lang w:val="en-GB"/>
            </w:rPr>
            <w:fldChar w:fldCharType="end"/>
          </w:r>
          <w:r w:rsidRPr="0032337D">
            <w:rPr>
              <w:rFonts w:ascii="Segoe UI" w:hAnsi="Segoe UI" w:cs="Segoe UI"/>
              <w:i/>
              <w:sz w:val="14"/>
              <w:lang w:val="en-GB"/>
            </w:rPr>
            <w:t>: Static pool as of 31</w:t>
          </w:r>
          <w:r w:rsidRPr="0032337D">
            <w:rPr>
              <w:rFonts w:ascii="Segoe UI" w:hAnsi="Segoe UI" w:cs="Segoe UI"/>
              <w:i/>
              <w:sz w:val="14"/>
              <w:vertAlign w:val="superscript"/>
              <w:lang w:val="en-GB"/>
            </w:rPr>
            <w:t>st</w:t>
          </w:r>
          <w:r w:rsidRPr="0032337D">
            <w:rPr>
              <w:rFonts w:ascii="Segoe UI" w:hAnsi="Segoe UI" w:cs="Segoe UI"/>
              <w:i/>
              <w:sz w:val="14"/>
              <w:lang w:val="en-GB"/>
            </w:rPr>
            <w:t xml:space="preserve"> December 2012</w:t>
          </w:r>
          <w:bookmarkEnd w:id="123"/>
          <w:bookmarkEnd w:id="124"/>
          <w:bookmarkEnd w:id="125"/>
        </w:p>
        <w:tbl>
          <w:tblPr>
            <w:tblW w:w="5000" w:type="pct"/>
            <w:tblBorders>
              <w:top w:val="single" w:sz="4" w:space="0" w:color="AFAFB4" w:themeColor="accent4"/>
              <w:bottom w:val="single" w:sz="4" w:space="0" w:color="AFAFB4" w:themeColor="accent4"/>
              <w:insideH w:val="single" w:sz="4" w:space="0" w:color="AFAFB4" w:themeColor="accent4"/>
            </w:tblBorders>
            <w:shd w:val="clear" w:color="auto" w:fill="FFFFFF" w:themeFill="background2"/>
            <w:tblCellMar>
              <w:left w:w="0" w:type="dxa"/>
              <w:right w:w="0" w:type="dxa"/>
            </w:tblCellMar>
            <w:tblLook w:val="0620" w:firstRow="1" w:lastRow="0" w:firstColumn="0" w:lastColumn="0" w:noHBand="1" w:noVBand="1"/>
            <w:tblDescription w:val="{&quot;Ott&quot;:{&quot;FirstRow&quot;:{&quot;BackgroundColor&quot;:{&quot;Key&quot;:&quot;Light2&quot;},&quot;Font&quot;:{&quot;Name&quot;:&quot;Source Sans Pro&quot;,&quot;Size&quot;:14.0,&quot;Bold&quot;:false,&quot;Italic&quot;:false,&quot;Color&quot;:{&quot;Key&quot;:&quot;Dark2&quot;}},&quot;ExcelCellFormatting&quot;:&quot;General&quot;,&quot;Alignment&quot;:{&quot;Horizontal&quot;:&quot;Left&quot;,&quot;Vertical&quot;:&quot;Bottom&quot;},&quot;Borders&quot;:{&quot;Vertical&quot;:{&quot;Visible&quot;:false},&quot;Left&quot;:{&quot;Visible&quot;:false},&quot;Top&quot;:{&quot;Visible&quot;:false},&quot;Right&quot;:{&quot;Visible&quot;:false},&quot;Bottom&quot;:{&quot;Color&quot;:{&quot;Key&quot;:&quot;Accent4&quot;},&quot;BorderWeight&quot;:&quot;Pt1_5&quot;,&quot;Type&quot;:&quot;Solid&quot;,&quot;Visible&quot;:true}}},&quot;FitRowHeightPp&quot;:true,&quot;ZeroMarginsWord&quot;:true,&quot;BackgroundColor&quot;:{&quot;Key&quot;:&quot;Light2&quot;},&quot;Font&quot;:{&quot;Name&quot;:&quot;Source Sans Pro&quot;,&quot;Size&quot;:11.0,&quot;Bold&quot;:false,&quot;Italic&quot;:false,&quot;Color&quot;:{&quot;Key&quot;:&quot;Dark2&quot;}},&quot;LineSpacing&quot;:{&quot;Rule&quot;:&quot;Single&quot;},&quot;Alignment&quot;:{&quot;Horizontal&quot;:&quot;Left&quot;,&quot;Vertical&quot;:&quot;Top&quot;},&quot;Margin&quot;:{&quot;Left&quot;:5.7,&quot;Top&quot;:3.0,&quot;Right&quot;:5.7,&quot;Bottom&quot;:3.0},&quot;Borders&quot;:{&quot;Vertical&quot;:{&quot;Visible&quot;:false},&quot;Horizontal&quot;:{&quot;Color&quot;:{&quot;Key&quot;:&quot;Accent4&quot;},&quot;BorderWeight&quot;:&quot;Pt0_5&quot;,&quot;Type&quot;:&quot;Solid&quot;,&quot;Visible&quot;:true}},&quot;ParagraphSpacing&quot;:{&quot;SpaceBefore&quot;:2.0,&quot;SpaceAfter&quot;:2.0},&quot;ExcelWrapText&quot;:true},&quot;Ccs&quot;:{&quot;DarkBlue&quot;:&quot;0, 20, 55&quot;,&quot;Turquoise&quot;:&quot;0, 164, 230&quot;,&quot;Red&quot;:&quot;214, 70, 65&quot;,&quot;LightGrey&quot;:&quot;174, 174, 180&quot;,&quot;BlueGrey&quot;:&quot;77, 91, 115&quot;,&quot;IceBlue&quot;:&quot;178, 184, 195&quot;,&quot;Grey&quot;:&quot;145, 147, 153&quot;,&quot;Background&quot;:&quot;0, 0, 0, 0&quot;,&quot;White&quot;:&quot;White&quot;,&quot;Accent1&quot;:&quot;1, 1, 1, 1&quot;,&quot;Accent2&quot;:&quot;1, 1, 1, 2&quot;,&quot;Accent3&quot;:&quot;1, 1, 1, 3&quot;,&quot;Accent4&quot;:&quot;1, 1, 1, 4&quot;,&quot;Accent5&quot;:&quot;1, 1, 1, 5&quot;,&quot;Accent6&quot;:&quot;1, 1, 1, 6&quot;,&quot;Dark1&quot;:&quot;1, 1, 1, 7&quot;,&quot;Dark2&quot;:&quot;1, 1, 1, 9&quot;,&quot;Light1&quot;:&quot;1, 1, 1, 8&quot;,&quot;Light2&quot;:&quot;1, 1, 1, 10&quot;},&quot;Cop&quot;:{&quot;FirstRow&quot;:true,&quot;LastRow&quot;:false,&quot;FirstColumn&quot;:false,&quot;LastColumn&quot;:false,&quot;BandedRows&quot;:false,&quot;BandedColumns&quot;:false},&quot;Aaf&quot;:false}"/>
          </w:tblPr>
          <w:tblGrid>
            <w:gridCol w:w="710"/>
            <w:gridCol w:w="1016"/>
            <w:gridCol w:w="863"/>
            <w:gridCol w:w="863"/>
            <w:gridCol w:w="863"/>
            <w:gridCol w:w="863"/>
            <w:gridCol w:w="863"/>
            <w:gridCol w:w="863"/>
            <w:gridCol w:w="863"/>
            <w:gridCol w:w="863"/>
            <w:gridCol w:w="863"/>
            <w:gridCol w:w="855"/>
          </w:tblGrid>
          <w:tr w:rsidR="00707524" w:rsidRPr="00B80369" w14:paraId="2541BD5A" w14:textId="77777777" w:rsidTr="00AC7D4E">
            <w:trPr>
              <w:trHeight w:val="227"/>
              <w:tblHeader/>
            </w:trPr>
            <w:tc>
              <w:tcPr>
                <w:tcW w:w="343" w:type="pct"/>
                <w:vMerge w:val="restar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543965BD" w14:textId="77777777"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Rating</w:t>
                </w:r>
              </w:p>
            </w:tc>
            <w:tc>
              <w:tcPr>
                <w:tcW w:w="491"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3900F481" w14:textId="77777777"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Static pool</w:t>
                </w:r>
              </w:p>
            </w:tc>
            <w:tc>
              <w:tcPr>
                <w:tcW w:w="2085" w:type="pct"/>
                <w:gridSpan w:val="5"/>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74B0C177" w14:textId="48027822"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Observed defaults by years since rating issuance</w:t>
                </w:r>
              </w:p>
            </w:tc>
            <w:tc>
              <w:tcPr>
                <w:tcW w:w="2081" w:type="pct"/>
                <w:gridSpan w:val="5"/>
                <w:tcBorders>
                  <w:top w:val="single" w:sz="12" w:space="0" w:color="AFAFB4" w:themeColor="accent4"/>
                </w:tcBorders>
                <w:shd w:val="clear" w:color="auto" w:fill="FFFFFF" w:themeFill="background2"/>
                <w:vAlign w:val="center"/>
              </w:tcPr>
              <w:p w14:paraId="3BFAF2CF" w14:textId="77777777"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Percentage of cumulative default rates</w:t>
                </w:r>
              </w:p>
            </w:tc>
          </w:tr>
          <w:tr w:rsidR="00466A1F" w:rsidRPr="00B80369" w14:paraId="55F65F79" w14:textId="77777777" w:rsidTr="00AC7D4E">
            <w:trPr>
              <w:trHeight w:val="227"/>
              <w:tblHeader/>
            </w:trPr>
            <w:tc>
              <w:tcPr>
                <w:tcW w:w="343" w:type="pct"/>
                <w:vMerge/>
                <w:shd w:val="clear" w:color="auto" w:fill="FFFFFF" w:themeFill="background2"/>
                <w:tcMar>
                  <w:top w:w="60" w:type="dxa"/>
                  <w:left w:w="114" w:type="dxa"/>
                  <w:bottom w:w="60" w:type="dxa"/>
                  <w:right w:w="114" w:type="dxa"/>
                </w:tcMar>
                <w:vAlign w:val="center"/>
              </w:tcPr>
              <w:p w14:paraId="6609EA7A" w14:textId="77777777" w:rsidR="00466A1F" w:rsidRPr="00B80369" w:rsidRDefault="00466A1F" w:rsidP="00B80369">
                <w:pPr>
                  <w:spacing w:before="0" w:line="240" w:lineRule="auto"/>
                  <w:jc w:val="center"/>
                  <w:rPr>
                    <w:b/>
                    <w:color w:val="33A1AB" w:themeColor="accent2"/>
                    <w:sz w:val="14"/>
                    <w:szCs w:val="14"/>
                  </w:rPr>
                </w:pPr>
              </w:p>
            </w:tc>
            <w:tc>
              <w:tcPr>
                <w:tcW w:w="491"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257540C9" w14:textId="330B3C2B" w:rsidR="00466A1F" w:rsidRPr="00B80369" w:rsidRDefault="00466A1F" w:rsidP="00B80369">
                <w:pPr>
                  <w:spacing w:before="0" w:line="240" w:lineRule="auto"/>
                  <w:jc w:val="center"/>
                  <w:rPr>
                    <w:b/>
                    <w:color w:val="33A1AB" w:themeColor="accent2"/>
                    <w:sz w:val="14"/>
                    <w:szCs w:val="14"/>
                  </w:rPr>
                </w:pPr>
                <w:r w:rsidRPr="00B80369">
                  <w:rPr>
                    <w:b/>
                    <w:color w:val="33A1AB" w:themeColor="accent2"/>
                    <w:sz w:val="14"/>
                    <w:szCs w:val="14"/>
                  </w:rPr>
                  <w:t>31 Dec 2012</w:t>
                </w:r>
              </w:p>
            </w:tc>
            <w:tc>
              <w:tcPr>
                <w:tcW w:w="417"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1E43192B" w14:textId="77777777" w:rsidR="00466A1F" w:rsidRPr="00B80369" w:rsidRDefault="00466A1F" w:rsidP="00B80369">
                <w:pPr>
                  <w:spacing w:before="0" w:line="240" w:lineRule="auto"/>
                  <w:jc w:val="center"/>
                  <w:rPr>
                    <w:b/>
                    <w:color w:val="33A1AB" w:themeColor="accent2"/>
                    <w:sz w:val="14"/>
                    <w:szCs w:val="14"/>
                  </w:rPr>
                </w:pPr>
                <w:r w:rsidRPr="00B80369">
                  <w:rPr>
                    <w:b/>
                    <w:color w:val="33A1AB" w:themeColor="accent2"/>
                    <w:sz w:val="14"/>
                    <w:szCs w:val="14"/>
                  </w:rPr>
                  <w:t>1-Y DR</w:t>
                </w:r>
              </w:p>
            </w:tc>
            <w:tc>
              <w:tcPr>
                <w:tcW w:w="417" w:type="pct"/>
                <w:tcBorders>
                  <w:top w:val="single" w:sz="12" w:space="0" w:color="AFAFB4" w:themeColor="accent4"/>
                </w:tcBorders>
                <w:shd w:val="clear" w:color="auto" w:fill="FFFFFF" w:themeFill="background2"/>
                <w:vAlign w:val="center"/>
              </w:tcPr>
              <w:p w14:paraId="0F29384D" w14:textId="77777777" w:rsidR="00466A1F" w:rsidRPr="00B80369" w:rsidRDefault="00466A1F" w:rsidP="00B80369">
                <w:pPr>
                  <w:spacing w:before="0" w:line="240" w:lineRule="auto"/>
                  <w:jc w:val="center"/>
                  <w:rPr>
                    <w:b/>
                    <w:color w:val="33A1AB" w:themeColor="accent2"/>
                    <w:sz w:val="14"/>
                    <w:szCs w:val="14"/>
                  </w:rPr>
                </w:pPr>
                <w:r w:rsidRPr="00B80369">
                  <w:rPr>
                    <w:b/>
                    <w:color w:val="33A1AB" w:themeColor="accent2"/>
                    <w:sz w:val="14"/>
                    <w:szCs w:val="14"/>
                  </w:rPr>
                  <w:t>2-Y DR</w:t>
                </w:r>
              </w:p>
            </w:tc>
            <w:tc>
              <w:tcPr>
                <w:tcW w:w="417" w:type="pct"/>
                <w:tcBorders>
                  <w:top w:val="single" w:sz="12" w:space="0" w:color="AFAFB4" w:themeColor="accent4"/>
                </w:tcBorders>
                <w:shd w:val="clear" w:color="auto" w:fill="FFFFFF" w:themeFill="background2"/>
                <w:vAlign w:val="center"/>
              </w:tcPr>
              <w:p w14:paraId="3B61A5DC" w14:textId="77777777" w:rsidR="00466A1F" w:rsidRPr="00B80369" w:rsidRDefault="00466A1F" w:rsidP="00B80369">
                <w:pPr>
                  <w:spacing w:before="0" w:line="240" w:lineRule="auto"/>
                  <w:jc w:val="center"/>
                  <w:rPr>
                    <w:b/>
                    <w:color w:val="33A1AB" w:themeColor="accent2"/>
                    <w:sz w:val="14"/>
                    <w:szCs w:val="14"/>
                  </w:rPr>
                </w:pPr>
                <w:r w:rsidRPr="00B80369">
                  <w:rPr>
                    <w:b/>
                    <w:color w:val="33A1AB" w:themeColor="accent2"/>
                    <w:sz w:val="14"/>
                    <w:szCs w:val="14"/>
                  </w:rPr>
                  <w:t>3-Y DR</w:t>
                </w:r>
              </w:p>
            </w:tc>
            <w:tc>
              <w:tcPr>
                <w:tcW w:w="417" w:type="pct"/>
                <w:tcBorders>
                  <w:top w:val="single" w:sz="12" w:space="0" w:color="AFAFB4" w:themeColor="accent4"/>
                </w:tcBorders>
                <w:shd w:val="clear" w:color="auto" w:fill="FFFFFF" w:themeFill="background2"/>
                <w:vAlign w:val="center"/>
              </w:tcPr>
              <w:p w14:paraId="2C24B221" w14:textId="77777777" w:rsidR="00466A1F" w:rsidRPr="00B80369" w:rsidRDefault="00466A1F" w:rsidP="00B80369">
                <w:pPr>
                  <w:spacing w:before="0" w:line="240" w:lineRule="auto"/>
                  <w:jc w:val="center"/>
                  <w:rPr>
                    <w:b/>
                    <w:color w:val="33A1AB" w:themeColor="accent2"/>
                    <w:sz w:val="14"/>
                    <w:szCs w:val="14"/>
                  </w:rPr>
                </w:pPr>
                <w:r w:rsidRPr="00B80369">
                  <w:rPr>
                    <w:b/>
                    <w:color w:val="33A1AB" w:themeColor="accent2"/>
                    <w:sz w:val="14"/>
                    <w:szCs w:val="14"/>
                  </w:rPr>
                  <w:t>4-Y DR</w:t>
                </w:r>
              </w:p>
            </w:tc>
            <w:tc>
              <w:tcPr>
                <w:tcW w:w="417" w:type="pct"/>
                <w:tcBorders>
                  <w:top w:val="single" w:sz="12" w:space="0" w:color="AFAFB4" w:themeColor="accent4"/>
                </w:tcBorders>
                <w:shd w:val="clear" w:color="auto" w:fill="FFFFFF" w:themeFill="background2"/>
                <w:vAlign w:val="center"/>
              </w:tcPr>
              <w:p w14:paraId="16D2613A" w14:textId="77777777" w:rsidR="00466A1F" w:rsidRPr="00B80369" w:rsidRDefault="00466A1F" w:rsidP="00B80369">
                <w:pPr>
                  <w:spacing w:before="0" w:line="240" w:lineRule="auto"/>
                  <w:jc w:val="center"/>
                  <w:rPr>
                    <w:b/>
                    <w:color w:val="33A1AB" w:themeColor="accent2"/>
                    <w:sz w:val="14"/>
                    <w:szCs w:val="14"/>
                  </w:rPr>
                </w:pPr>
                <w:r w:rsidRPr="00B80369">
                  <w:rPr>
                    <w:b/>
                    <w:color w:val="33A1AB" w:themeColor="accent2"/>
                    <w:sz w:val="14"/>
                    <w:szCs w:val="14"/>
                  </w:rPr>
                  <w:t>5-Y DR</w:t>
                </w:r>
              </w:p>
            </w:tc>
            <w:tc>
              <w:tcPr>
                <w:tcW w:w="417" w:type="pct"/>
                <w:tcBorders>
                  <w:top w:val="single" w:sz="12" w:space="0" w:color="AFAFB4" w:themeColor="accent4"/>
                </w:tcBorders>
                <w:shd w:val="clear" w:color="auto" w:fill="FFFFFF" w:themeFill="background2"/>
                <w:vAlign w:val="center"/>
              </w:tcPr>
              <w:p w14:paraId="1FE89B41" w14:textId="77777777" w:rsidR="00466A1F" w:rsidRPr="00B80369" w:rsidRDefault="00466A1F" w:rsidP="00B80369">
                <w:pPr>
                  <w:spacing w:before="0" w:line="240" w:lineRule="auto"/>
                  <w:jc w:val="center"/>
                  <w:rPr>
                    <w:b/>
                    <w:color w:val="33A1AB" w:themeColor="accent2"/>
                    <w:sz w:val="14"/>
                    <w:szCs w:val="14"/>
                  </w:rPr>
                </w:pPr>
                <w:r w:rsidRPr="00B80369">
                  <w:rPr>
                    <w:b/>
                    <w:color w:val="33A1AB" w:themeColor="accent2"/>
                    <w:sz w:val="14"/>
                    <w:szCs w:val="14"/>
                  </w:rPr>
                  <w:t>1-Y DR</w:t>
                </w:r>
              </w:p>
            </w:tc>
            <w:tc>
              <w:tcPr>
                <w:tcW w:w="417" w:type="pct"/>
                <w:tcBorders>
                  <w:top w:val="single" w:sz="12" w:space="0" w:color="AFAFB4" w:themeColor="accent4"/>
                </w:tcBorders>
                <w:shd w:val="clear" w:color="auto" w:fill="FFFFFF" w:themeFill="background2"/>
                <w:vAlign w:val="center"/>
              </w:tcPr>
              <w:p w14:paraId="3998D465" w14:textId="77777777" w:rsidR="00466A1F" w:rsidRPr="00B80369" w:rsidRDefault="00466A1F" w:rsidP="00B80369">
                <w:pPr>
                  <w:spacing w:before="0" w:line="240" w:lineRule="auto"/>
                  <w:jc w:val="center"/>
                  <w:rPr>
                    <w:b/>
                    <w:color w:val="33A1AB" w:themeColor="accent2"/>
                    <w:sz w:val="14"/>
                    <w:szCs w:val="14"/>
                  </w:rPr>
                </w:pPr>
                <w:r w:rsidRPr="00B80369">
                  <w:rPr>
                    <w:b/>
                    <w:color w:val="33A1AB" w:themeColor="accent2"/>
                    <w:sz w:val="14"/>
                    <w:szCs w:val="14"/>
                  </w:rPr>
                  <w:t>2-Y DR</w:t>
                </w:r>
              </w:p>
            </w:tc>
            <w:tc>
              <w:tcPr>
                <w:tcW w:w="417" w:type="pct"/>
                <w:tcBorders>
                  <w:top w:val="single" w:sz="12" w:space="0" w:color="AFAFB4" w:themeColor="accent4"/>
                </w:tcBorders>
                <w:shd w:val="clear" w:color="auto" w:fill="FFFFFF" w:themeFill="background2"/>
                <w:vAlign w:val="center"/>
              </w:tcPr>
              <w:p w14:paraId="371900FB" w14:textId="77777777" w:rsidR="00466A1F" w:rsidRPr="00B80369" w:rsidRDefault="00466A1F" w:rsidP="00B80369">
                <w:pPr>
                  <w:spacing w:before="0" w:line="240" w:lineRule="auto"/>
                  <w:jc w:val="center"/>
                  <w:rPr>
                    <w:b/>
                    <w:color w:val="33A1AB" w:themeColor="accent2"/>
                    <w:sz w:val="14"/>
                    <w:szCs w:val="14"/>
                  </w:rPr>
                </w:pPr>
                <w:r w:rsidRPr="00B80369">
                  <w:rPr>
                    <w:b/>
                    <w:color w:val="33A1AB" w:themeColor="accent2"/>
                    <w:sz w:val="14"/>
                    <w:szCs w:val="14"/>
                  </w:rPr>
                  <w:t>3-Y DR</w:t>
                </w:r>
              </w:p>
            </w:tc>
            <w:tc>
              <w:tcPr>
                <w:tcW w:w="417" w:type="pct"/>
                <w:tcBorders>
                  <w:top w:val="single" w:sz="12" w:space="0" w:color="AFAFB4" w:themeColor="accent4"/>
                </w:tcBorders>
                <w:shd w:val="clear" w:color="auto" w:fill="FFFFFF" w:themeFill="background2"/>
                <w:vAlign w:val="center"/>
              </w:tcPr>
              <w:p w14:paraId="5547724D" w14:textId="77777777" w:rsidR="00466A1F" w:rsidRPr="00B80369" w:rsidRDefault="00466A1F" w:rsidP="00B80369">
                <w:pPr>
                  <w:spacing w:before="0" w:line="240" w:lineRule="auto"/>
                  <w:jc w:val="center"/>
                  <w:rPr>
                    <w:b/>
                    <w:color w:val="33A1AB" w:themeColor="accent2"/>
                    <w:sz w:val="14"/>
                    <w:szCs w:val="14"/>
                  </w:rPr>
                </w:pPr>
                <w:r w:rsidRPr="00B80369">
                  <w:rPr>
                    <w:b/>
                    <w:color w:val="33A1AB" w:themeColor="accent2"/>
                    <w:sz w:val="14"/>
                    <w:szCs w:val="14"/>
                  </w:rPr>
                  <w:t>4-Y DR</w:t>
                </w:r>
              </w:p>
            </w:tc>
            <w:tc>
              <w:tcPr>
                <w:tcW w:w="413" w:type="pct"/>
                <w:tcBorders>
                  <w:top w:val="single" w:sz="12" w:space="0" w:color="AFAFB4" w:themeColor="accent4"/>
                </w:tcBorders>
                <w:shd w:val="clear" w:color="auto" w:fill="FFFFFF" w:themeFill="background2"/>
                <w:vAlign w:val="center"/>
              </w:tcPr>
              <w:p w14:paraId="30F8DB00" w14:textId="77777777" w:rsidR="00466A1F" w:rsidRPr="00B80369" w:rsidRDefault="00466A1F" w:rsidP="00B80369">
                <w:pPr>
                  <w:spacing w:before="0" w:line="240" w:lineRule="auto"/>
                  <w:jc w:val="center"/>
                  <w:rPr>
                    <w:b/>
                    <w:color w:val="33A1AB" w:themeColor="accent2"/>
                    <w:sz w:val="14"/>
                    <w:szCs w:val="14"/>
                  </w:rPr>
                </w:pPr>
                <w:r w:rsidRPr="00B80369">
                  <w:rPr>
                    <w:b/>
                    <w:color w:val="33A1AB" w:themeColor="accent2"/>
                    <w:sz w:val="14"/>
                    <w:szCs w:val="14"/>
                  </w:rPr>
                  <w:t>5-Y DR</w:t>
                </w:r>
              </w:p>
            </w:tc>
          </w:tr>
          <w:tr w:rsidR="00466A1F" w:rsidRPr="00B80369" w14:paraId="2C1FE796"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67B981F1" w14:textId="77777777" w:rsidR="00466A1F" w:rsidRPr="00B80369" w:rsidRDefault="00466A1F"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A1.1</w:t>
                </w:r>
              </w:p>
            </w:tc>
            <w:tc>
              <w:tcPr>
                <w:tcW w:w="491" w:type="pct"/>
                <w:shd w:val="clear" w:color="auto" w:fill="FFFFFF" w:themeFill="background2"/>
                <w:tcMar>
                  <w:top w:w="60" w:type="dxa"/>
                  <w:left w:w="114" w:type="dxa"/>
                  <w:bottom w:w="60" w:type="dxa"/>
                  <w:right w:w="114" w:type="dxa"/>
                </w:tcMar>
                <w:vAlign w:val="center"/>
              </w:tcPr>
              <w:p w14:paraId="52BAE459" w14:textId="6A0B0C40"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w:t>
                </w:r>
              </w:p>
            </w:tc>
            <w:tc>
              <w:tcPr>
                <w:tcW w:w="417" w:type="pct"/>
                <w:shd w:val="clear" w:color="auto" w:fill="FFFFFF" w:themeFill="background2"/>
                <w:tcMar>
                  <w:top w:w="60" w:type="dxa"/>
                  <w:left w:w="114" w:type="dxa"/>
                  <w:bottom w:w="60" w:type="dxa"/>
                  <w:right w:w="114" w:type="dxa"/>
                </w:tcMar>
                <w:vAlign w:val="center"/>
              </w:tcPr>
              <w:p w14:paraId="66D71674" w14:textId="2B6DB901"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64853E19" w14:textId="7B91FFB4"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66AC3CBE" w14:textId="73C33028"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78A321EE" w14:textId="11BBD0BD"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2559B0A8" w14:textId="56A11A57"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7CDAE6FB" w14:textId="27DAF196"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74DC3619" w14:textId="6F307A1B"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3F14544B" w14:textId="13344158"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09F29ACA" w14:textId="716F5044"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3" w:type="pct"/>
                <w:shd w:val="clear" w:color="auto" w:fill="FFFFFF" w:themeFill="background2"/>
                <w:vAlign w:val="center"/>
              </w:tcPr>
              <w:p w14:paraId="3B28ED2F" w14:textId="4FFB8F94"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r>
          <w:tr w:rsidR="00466A1F" w:rsidRPr="00B80369" w14:paraId="5AD47F93"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5F043238" w14:textId="77777777" w:rsidR="00466A1F" w:rsidRPr="00B80369" w:rsidRDefault="00466A1F"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A1.2</w:t>
                </w:r>
              </w:p>
            </w:tc>
            <w:tc>
              <w:tcPr>
                <w:tcW w:w="491" w:type="pct"/>
                <w:shd w:val="clear" w:color="auto" w:fill="FFFFFF" w:themeFill="background2"/>
                <w:tcMar>
                  <w:top w:w="60" w:type="dxa"/>
                  <w:left w:w="114" w:type="dxa"/>
                  <w:bottom w:w="60" w:type="dxa"/>
                  <w:right w:w="114" w:type="dxa"/>
                </w:tcMar>
                <w:vAlign w:val="center"/>
              </w:tcPr>
              <w:p w14:paraId="3F07682F" w14:textId="00C00E51"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42</w:t>
                </w:r>
              </w:p>
            </w:tc>
            <w:tc>
              <w:tcPr>
                <w:tcW w:w="417" w:type="pct"/>
                <w:shd w:val="clear" w:color="auto" w:fill="FFFFFF" w:themeFill="background2"/>
                <w:tcMar>
                  <w:top w:w="60" w:type="dxa"/>
                  <w:left w:w="114" w:type="dxa"/>
                  <w:bottom w:w="60" w:type="dxa"/>
                  <w:right w:w="114" w:type="dxa"/>
                </w:tcMar>
                <w:vAlign w:val="center"/>
              </w:tcPr>
              <w:p w14:paraId="1A34A4C0" w14:textId="739088D1"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70A10CC6" w14:textId="74B9527F"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6D73FC84" w14:textId="5BA4C92D"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15AB4612" w14:textId="70380D33"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66ABEC97" w14:textId="2EAAAE00"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6CA044B4" w14:textId="4DC33115"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5B78A427" w14:textId="075F52F8"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3E3E4243" w14:textId="3AB17ABD"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7580D2DD" w14:textId="3544A5FD"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3" w:type="pct"/>
                <w:shd w:val="clear" w:color="auto" w:fill="FFFFFF" w:themeFill="background2"/>
                <w:vAlign w:val="center"/>
              </w:tcPr>
              <w:p w14:paraId="6A264FE9" w14:textId="1DE4A239"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r>
          <w:tr w:rsidR="00466A1F" w:rsidRPr="00B80369" w14:paraId="178770FF"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252F13C1" w14:textId="77777777" w:rsidR="00466A1F" w:rsidRPr="00B80369" w:rsidRDefault="00466A1F"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A1.3</w:t>
                </w:r>
              </w:p>
            </w:tc>
            <w:tc>
              <w:tcPr>
                <w:tcW w:w="491" w:type="pct"/>
                <w:shd w:val="clear" w:color="auto" w:fill="FFFFFF" w:themeFill="background2"/>
                <w:tcMar>
                  <w:top w:w="60" w:type="dxa"/>
                  <w:left w:w="114" w:type="dxa"/>
                  <w:bottom w:w="60" w:type="dxa"/>
                  <w:right w:w="114" w:type="dxa"/>
                </w:tcMar>
                <w:vAlign w:val="center"/>
              </w:tcPr>
              <w:p w14:paraId="1A15956D" w14:textId="6730206C"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123</w:t>
                </w:r>
              </w:p>
            </w:tc>
            <w:tc>
              <w:tcPr>
                <w:tcW w:w="417" w:type="pct"/>
                <w:shd w:val="clear" w:color="auto" w:fill="FFFFFF" w:themeFill="background2"/>
                <w:tcMar>
                  <w:top w:w="60" w:type="dxa"/>
                  <w:left w:w="114" w:type="dxa"/>
                  <w:bottom w:w="60" w:type="dxa"/>
                  <w:right w:w="114" w:type="dxa"/>
                </w:tcMar>
                <w:vAlign w:val="center"/>
              </w:tcPr>
              <w:p w14:paraId="491246EC" w14:textId="34C4BCC0"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5D379AC8" w14:textId="16CF80A9"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3939DCB3" w14:textId="3A8405B2"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7BD48408" w14:textId="7C3FAFF2"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22DA3246" w14:textId="6BB61483"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27C77B93" w14:textId="338F4927"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2ADC8F92" w14:textId="72BD387E"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6A7C8D5B" w14:textId="3DB2100F"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4747DA8A" w14:textId="03DA2E35"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3" w:type="pct"/>
                <w:shd w:val="clear" w:color="auto" w:fill="FFFFFF" w:themeFill="background2"/>
                <w:vAlign w:val="center"/>
              </w:tcPr>
              <w:p w14:paraId="2A97AAFD" w14:textId="6B8CE8E6"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r>
          <w:tr w:rsidR="00466A1F" w:rsidRPr="00B80369" w14:paraId="62D48BEB"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4206AC3F" w14:textId="77777777" w:rsidR="00466A1F" w:rsidRPr="00B80369" w:rsidRDefault="00466A1F"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A2.1</w:t>
                </w:r>
              </w:p>
            </w:tc>
            <w:tc>
              <w:tcPr>
                <w:tcW w:w="491" w:type="pct"/>
                <w:shd w:val="clear" w:color="auto" w:fill="FFFFFF" w:themeFill="background2"/>
                <w:tcMar>
                  <w:top w:w="60" w:type="dxa"/>
                  <w:left w:w="114" w:type="dxa"/>
                  <w:bottom w:w="60" w:type="dxa"/>
                  <w:right w:w="114" w:type="dxa"/>
                </w:tcMar>
                <w:vAlign w:val="center"/>
              </w:tcPr>
              <w:p w14:paraId="150ABCEA" w14:textId="17CFBF29"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295</w:t>
                </w:r>
              </w:p>
            </w:tc>
            <w:tc>
              <w:tcPr>
                <w:tcW w:w="417" w:type="pct"/>
                <w:shd w:val="clear" w:color="auto" w:fill="FFFFFF" w:themeFill="background2"/>
                <w:tcMar>
                  <w:top w:w="60" w:type="dxa"/>
                  <w:left w:w="114" w:type="dxa"/>
                  <w:bottom w:w="60" w:type="dxa"/>
                  <w:right w:w="114" w:type="dxa"/>
                </w:tcMar>
                <w:vAlign w:val="center"/>
              </w:tcPr>
              <w:p w14:paraId="57FE102F" w14:textId="5211E6F0"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48BFB73C" w14:textId="7E9C7F54"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w:t>
                </w:r>
              </w:p>
            </w:tc>
            <w:tc>
              <w:tcPr>
                <w:tcW w:w="417" w:type="pct"/>
                <w:shd w:val="clear" w:color="auto" w:fill="FFFFFF" w:themeFill="background2"/>
                <w:vAlign w:val="center"/>
              </w:tcPr>
              <w:p w14:paraId="7DE562AB" w14:textId="7274A3EF"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w:t>
                </w:r>
              </w:p>
            </w:tc>
            <w:tc>
              <w:tcPr>
                <w:tcW w:w="417" w:type="pct"/>
                <w:shd w:val="clear" w:color="auto" w:fill="FFFFFF" w:themeFill="background2"/>
                <w:vAlign w:val="center"/>
              </w:tcPr>
              <w:p w14:paraId="64072D36" w14:textId="505EF603"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w:t>
                </w:r>
              </w:p>
            </w:tc>
            <w:tc>
              <w:tcPr>
                <w:tcW w:w="417" w:type="pct"/>
                <w:shd w:val="clear" w:color="auto" w:fill="FFFFFF" w:themeFill="background2"/>
                <w:vAlign w:val="center"/>
              </w:tcPr>
              <w:p w14:paraId="025E4A76" w14:textId="2A7FA6DB"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w:t>
                </w:r>
              </w:p>
            </w:tc>
            <w:tc>
              <w:tcPr>
                <w:tcW w:w="417" w:type="pct"/>
                <w:shd w:val="clear" w:color="auto" w:fill="FFFFFF" w:themeFill="background2"/>
                <w:vAlign w:val="center"/>
              </w:tcPr>
              <w:p w14:paraId="765B3C2C" w14:textId="35DCE6BF"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252063BE" w14:textId="1BFC0681"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0.34%</w:t>
                </w:r>
              </w:p>
            </w:tc>
            <w:tc>
              <w:tcPr>
                <w:tcW w:w="417" w:type="pct"/>
                <w:shd w:val="clear" w:color="auto" w:fill="FFFFFF" w:themeFill="background2"/>
                <w:vAlign w:val="center"/>
              </w:tcPr>
              <w:p w14:paraId="669F2EE3" w14:textId="3A18FAD4"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0.34%</w:t>
                </w:r>
              </w:p>
            </w:tc>
            <w:tc>
              <w:tcPr>
                <w:tcW w:w="417" w:type="pct"/>
                <w:shd w:val="clear" w:color="auto" w:fill="FFFFFF" w:themeFill="background2"/>
                <w:vAlign w:val="center"/>
              </w:tcPr>
              <w:p w14:paraId="03D6A385" w14:textId="2F9D80DE"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0.34%</w:t>
                </w:r>
              </w:p>
            </w:tc>
            <w:tc>
              <w:tcPr>
                <w:tcW w:w="413" w:type="pct"/>
                <w:shd w:val="clear" w:color="auto" w:fill="FFFFFF" w:themeFill="background2"/>
                <w:vAlign w:val="center"/>
              </w:tcPr>
              <w:p w14:paraId="5C4BCBC1" w14:textId="7BF704AB"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0.34%</w:t>
                </w:r>
              </w:p>
            </w:tc>
          </w:tr>
          <w:tr w:rsidR="00466A1F" w:rsidRPr="00B80369" w14:paraId="62CB9F54"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0F08AA4A" w14:textId="77777777" w:rsidR="00466A1F" w:rsidRPr="00B80369" w:rsidRDefault="00466A1F"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A2.2</w:t>
                </w:r>
              </w:p>
            </w:tc>
            <w:tc>
              <w:tcPr>
                <w:tcW w:w="491" w:type="pct"/>
                <w:shd w:val="clear" w:color="auto" w:fill="FFFFFF" w:themeFill="background2"/>
                <w:tcMar>
                  <w:top w:w="60" w:type="dxa"/>
                  <w:left w:w="114" w:type="dxa"/>
                  <w:bottom w:w="60" w:type="dxa"/>
                  <w:right w:w="114" w:type="dxa"/>
                </w:tcMar>
                <w:vAlign w:val="center"/>
              </w:tcPr>
              <w:p w14:paraId="5A798C48" w14:textId="6077608A"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1,472</w:t>
                </w:r>
              </w:p>
            </w:tc>
            <w:tc>
              <w:tcPr>
                <w:tcW w:w="417" w:type="pct"/>
                <w:shd w:val="clear" w:color="auto" w:fill="FFFFFF" w:themeFill="background2"/>
                <w:tcMar>
                  <w:top w:w="60" w:type="dxa"/>
                  <w:left w:w="114" w:type="dxa"/>
                  <w:bottom w:w="60" w:type="dxa"/>
                  <w:right w:w="114" w:type="dxa"/>
                </w:tcMar>
                <w:vAlign w:val="center"/>
              </w:tcPr>
              <w:p w14:paraId="0407973A" w14:textId="71BC5957"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32414338" w14:textId="0FFBBAA4"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w:t>
                </w:r>
              </w:p>
            </w:tc>
            <w:tc>
              <w:tcPr>
                <w:tcW w:w="417" w:type="pct"/>
                <w:shd w:val="clear" w:color="auto" w:fill="FFFFFF" w:themeFill="background2"/>
                <w:vAlign w:val="center"/>
              </w:tcPr>
              <w:p w14:paraId="0CBC8933" w14:textId="2AD2E2FE"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w:t>
                </w:r>
              </w:p>
            </w:tc>
            <w:tc>
              <w:tcPr>
                <w:tcW w:w="417" w:type="pct"/>
                <w:shd w:val="clear" w:color="auto" w:fill="FFFFFF" w:themeFill="background2"/>
                <w:vAlign w:val="center"/>
              </w:tcPr>
              <w:p w14:paraId="37E81270" w14:textId="77D993CD"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11</w:t>
                </w:r>
              </w:p>
            </w:tc>
            <w:tc>
              <w:tcPr>
                <w:tcW w:w="417" w:type="pct"/>
                <w:shd w:val="clear" w:color="auto" w:fill="FFFFFF" w:themeFill="background2"/>
                <w:vAlign w:val="center"/>
              </w:tcPr>
              <w:p w14:paraId="5D183345" w14:textId="5F4C8640"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16</w:t>
                </w:r>
              </w:p>
            </w:tc>
            <w:tc>
              <w:tcPr>
                <w:tcW w:w="417" w:type="pct"/>
                <w:shd w:val="clear" w:color="auto" w:fill="FFFFFF" w:themeFill="background2"/>
                <w:vAlign w:val="center"/>
              </w:tcPr>
              <w:p w14:paraId="0473BD14" w14:textId="133A0472"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67296807" w14:textId="4946131B"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0.14%</w:t>
                </w:r>
              </w:p>
            </w:tc>
            <w:tc>
              <w:tcPr>
                <w:tcW w:w="417" w:type="pct"/>
                <w:shd w:val="clear" w:color="auto" w:fill="FFFFFF" w:themeFill="background2"/>
                <w:vAlign w:val="center"/>
              </w:tcPr>
              <w:p w14:paraId="3A88C47D" w14:textId="6227DB6D"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0.48%</w:t>
                </w:r>
              </w:p>
            </w:tc>
            <w:tc>
              <w:tcPr>
                <w:tcW w:w="417" w:type="pct"/>
                <w:shd w:val="clear" w:color="auto" w:fill="FFFFFF" w:themeFill="background2"/>
                <w:vAlign w:val="center"/>
              </w:tcPr>
              <w:p w14:paraId="2BE6B120" w14:textId="2D9755C2"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0.75%</w:t>
                </w:r>
              </w:p>
            </w:tc>
            <w:tc>
              <w:tcPr>
                <w:tcW w:w="413" w:type="pct"/>
                <w:shd w:val="clear" w:color="auto" w:fill="FFFFFF" w:themeFill="background2"/>
                <w:vAlign w:val="center"/>
              </w:tcPr>
              <w:p w14:paraId="4C25D790" w14:textId="1E37246B"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1.09%</w:t>
                </w:r>
              </w:p>
            </w:tc>
          </w:tr>
          <w:tr w:rsidR="00466A1F" w:rsidRPr="00B80369" w14:paraId="7784EBF9"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38AC488F" w14:textId="77777777" w:rsidR="00466A1F" w:rsidRPr="00B80369" w:rsidRDefault="00466A1F"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A3.1</w:t>
                </w:r>
              </w:p>
            </w:tc>
            <w:tc>
              <w:tcPr>
                <w:tcW w:w="491" w:type="pct"/>
                <w:shd w:val="clear" w:color="auto" w:fill="FFFFFF" w:themeFill="background2"/>
                <w:tcMar>
                  <w:top w:w="60" w:type="dxa"/>
                  <w:left w:w="114" w:type="dxa"/>
                  <w:bottom w:w="60" w:type="dxa"/>
                  <w:right w:w="114" w:type="dxa"/>
                </w:tcMar>
                <w:vAlign w:val="center"/>
              </w:tcPr>
              <w:p w14:paraId="44687722" w14:textId="03ECF106"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2,360</w:t>
                </w:r>
              </w:p>
            </w:tc>
            <w:tc>
              <w:tcPr>
                <w:tcW w:w="417" w:type="pct"/>
                <w:shd w:val="clear" w:color="auto" w:fill="FFFFFF" w:themeFill="background2"/>
                <w:tcMar>
                  <w:top w:w="60" w:type="dxa"/>
                  <w:left w:w="114" w:type="dxa"/>
                  <w:bottom w:w="60" w:type="dxa"/>
                  <w:right w:w="114" w:type="dxa"/>
                </w:tcMar>
                <w:vAlign w:val="center"/>
              </w:tcPr>
              <w:p w14:paraId="76AF1D61" w14:textId="46D6C04A"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w:t>
                </w:r>
              </w:p>
            </w:tc>
            <w:tc>
              <w:tcPr>
                <w:tcW w:w="417" w:type="pct"/>
                <w:shd w:val="clear" w:color="auto" w:fill="FFFFFF" w:themeFill="background2"/>
                <w:vAlign w:val="center"/>
              </w:tcPr>
              <w:p w14:paraId="3706FDC3" w14:textId="68FA5058"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w:t>
                </w:r>
              </w:p>
            </w:tc>
            <w:tc>
              <w:tcPr>
                <w:tcW w:w="417" w:type="pct"/>
                <w:shd w:val="clear" w:color="auto" w:fill="FFFFFF" w:themeFill="background2"/>
                <w:vAlign w:val="center"/>
              </w:tcPr>
              <w:p w14:paraId="2241EE7E" w14:textId="3F47358E"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18</w:t>
                </w:r>
              </w:p>
            </w:tc>
            <w:tc>
              <w:tcPr>
                <w:tcW w:w="417" w:type="pct"/>
                <w:shd w:val="clear" w:color="auto" w:fill="FFFFFF" w:themeFill="background2"/>
                <w:vAlign w:val="center"/>
              </w:tcPr>
              <w:p w14:paraId="56672AA5" w14:textId="52B509CE"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34</w:t>
                </w:r>
              </w:p>
            </w:tc>
            <w:tc>
              <w:tcPr>
                <w:tcW w:w="417" w:type="pct"/>
                <w:shd w:val="clear" w:color="auto" w:fill="FFFFFF" w:themeFill="background2"/>
                <w:vAlign w:val="center"/>
              </w:tcPr>
              <w:p w14:paraId="4EDBD1BC" w14:textId="4694A259"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43</w:t>
                </w:r>
              </w:p>
            </w:tc>
            <w:tc>
              <w:tcPr>
                <w:tcW w:w="417" w:type="pct"/>
                <w:shd w:val="clear" w:color="auto" w:fill="FFFFFF" w:themeFill="background2"/>
                <w:vAlign w:val="center"/>
              </w:tcPr>
              <w:p w14:paraId="6209F24F" w14:textId="593DE017"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0.08%</w:t>
                </w:r>
              </w:p>
            </w:tc>
            <w:tc>
              <w:tcPr>
                <w:tcW w:w="417" w:type="pct"/>
                <w:shd w:val="clear" w:color="auto" w:fill="FFFFFF" w:themeFill="background2"/>
                <w:vAlign w:val="center"/>
              </w:tcPr>
              <w:p w14:paraId="32A1B8CF" w14:textId="3B034E6C"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0.17%</w:t>
                </w:r>
              </w:p>
            </w:tc>
            <w:tc>
              <w:tcPr>
                <w:tcW w:w="417" w:type="pct"/>
                <w:shd w:val="clear" w:color="auto" w:fill="FFFFFF" w:themeFill="background2"/>
                <w:vAlign w:val="center"/>
              </w:tcPr>
              <w:p w14:paraId="013BBD90" w14:textId="3CE96486"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0.76%</w:t>
                </w:r>
              </w:p>
            </w:tc>
            <w:tc>
              <w:tcPr>
                <w:tcW w:w="417" w:type="pct"/>
                <w:shd w:val="clear" w:color="auto" w:fill="FFFFFF" w:themeFill="background2"/>
                <w:vAlign w:val="center"/>
              </w:tcPr>
              <w:p w14:paraId="6BE3E10D" w14:textId="1470DD2B"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1.44%</w:t>
                </w:r>
              </w:p>
            </w:tc>
            <w:tc>
              <w:tcPr>
                <w:tcW w:w="413" w:type="pct"/>
                <w:shd w:val="clear" w:color="auto" w:fill="FFFFFF" w:themeFill="background2"/>
                <w:vAlign w:val="center"/>
              </w:tcPr>
              <w:p w14:paraId="203DA237" w14:textId="0C7A390C"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1.82%</w:t>
                </w:r>
              </w:p>
            </w:tc>
          </w:tr>
          <w:tr w:rsidR="00466A1F" w:rsidRPr="00B80369" w14:paraId="24EE3A5F"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415DA10C" w14:textId="77777777" w:rsidR="00466A1F" w:rsidRPr="00B80369" w:rsidRDefault="00466A1F"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B1.1</w:t>
                </w:r>
              </w:p>
            </w:tc>
            <w:tc>
              <w:tcPr>
                <w:tcW w:w="491" w:type="pct"/>
                <w:shd w:val="clear" w:color="auto" w:fill="FFFFFF" w:themeFill="background2"/>
                <w:tcMar>
                  <w:top w:w="60" w:type="dxa"/>
                  <w:left w:w="114" w:type="dxa"/>
                  <w:bottom w:w="60" w:type="dxa"/>
                  <w:right w:w="114" w:type="dxa"/>
                </w:tcMar>
                <w:vAlign w:val="center"/>
              </w:tcPr>
              <w:p w14:paraId="3FF83149" w14:textId="28CC1F95"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6,336</w:t>
                </w:r>
              </w:p>
            </w:tc>
            <w:tc>
              <w:tcPr>
                <w:tcW w:w="417" w:type="pct"/>
                <w:shd w:val="clear" w:color="auto" w:fill="FFFFFF" w:themeFill="background2"/>
                <w:tcMar>
                  <w:top w:w="60" w:type="dxa"/>
                  <w:left w:w="114" w:type="dxa"/>
                  <w:bottom w:w="60" w:type="dxa"/>
                  <w:right w:w="114" w:type="dxa"/>
                </w:tcMar>
                <w:vAlign w:val="center"/>
              </w:tcPr>
              <w:p w14:paraId="2F8794E3" w14:textId="0B3EF23C"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17</w:t>
                </w:r>
              </w:p>
            </w:tc>
            <w:tc>
              <w:tcPr>
                <w:tcW w:w="417" w:type="pct"/>
                <w:shd w:val="clear" w:color="auto" w:fill="FFFFFF" w:themeFill="background2"/>
                <w:vAlign w:val="center"/>
              </w:tcPr>
              <w:p w14:paraId="7F679A5C" w14:textId="0765864F"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59</w:t>
                </w:r>
              </w:p>
            </w:tc>
            <w:tc>
              <w:tcPr>
                <w:tcW w:w="417" w:type="pct"/>
                <w:shd w:val="clear" w:color="auto" w:fill="FFFFFF" w:themeFill="background2"/>
                <w:vAlign w:val="center"/>
              </w:tcPr>
              <w:p w14:paraId="4499A9B7" w14:textId="55659946"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114</w:t>
                </w:r>
              </w:p>
            </w:tc>
            <w:tc>
              <w:tcPr>
                <w:tcW w:w="417" w:type="pct"/>
                <w:shd w:val="clear" w:color="auto" w:fill="FFFFFF" w:themeFill="background2"/>
                <w:vAlign w:val="center"/>
              </w:tcPr>
              <w:p w14:paraId="5610B9B4" w14:textId="237A3399"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163</w:t>
                </w:r>
              </w:p>
            </w:tc>
            <w:tc>
              <w:tcPr>
                <w:tcW w:w="417" w:type="pct"/>
                <w:shd w:val="clear" w:color="auto" w:fill="FFFFFF" w:themeFill="background2"/>
                <w:vAlign w:val="center"/>
              </w:tcPr>
              <w:p w14:paraId="5AB121A1" w14:textId="6176CDFF"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212</w:t>
                </w:r>
              </w:p>
            </w:tc>
            <w:tc>
              <w:tcPr>
                <w:tcW w:w="417" w:type="pct"/>
                <w:shd w:val="clear" w:color="auto" w:fill="FFFFFF" w:themeFill="background2"/>
                <w:vAlign w:val="center"/>
              </w:tcPr>
              <w:p w14:paraId="58640543" w14:textId="43FBAD55"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0.27%</w:t>
                </w:r>
              </w:p>
            </w:tc>
            <w:tc>
              <w:tcPr>
                <w:tcW w:w="417" w:type="pct"/>
                <w:shd w:val="clear" w:color="auto" w:fill="FFFFFF" w:themeFill="background2"/>
                <w:vAlign w:val="center"/>
              </w:tcPr>
              <w:p w14:paraId="102ACB23" w14:textId="293565AE"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0.93%</w:t>
                </w:r>
              </w:p>
            </w:tc>
            <w:tc>
              <w:tcPr>
                <w:tcW w:w="417" w:type="pct"/>
                <w:shd w:val="clear" w:color="auto" w:fill="FFFFFF" w:themeFill="background2"/>
                <w:vAlign w:val="center"/>
              </w:tcPr>
              <w:p w14:paraId="54BFB17D" w14:textId="5DB0AEFE"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1.80%</w:t>
                </w:r>
              </w:p>
            </w:tc>
            <w:tc>
              <w:tcPr>
                <w:tcW w:w="417" w:type="pct"/>
                <w:shd w:val="clear" w:color="auto" w:fill="FFFFFF" w:themeFill="background2"/>
                <w:vAlign w:val="center"/>
              </w:tcPr>
              <w:p w14:paraId="5908F5F4" w14:textId="5FB6DBEF"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2.57%</w:t>
                </w:r>
              </w:p>
            </w:tc>
            <w:tc>
              <w:tcPr>
                <w:tcW w:w="413" w:type="pct"/>
                <w:shd w:val="clear" w:color="auto" w:fill="FFFFFF" w:themeFill="background2"/>
                <w:vAlign w:val="center"/>
              </w:tcPr>
              <w:p w14:paraId="47D080E9" w14:textId="42A125CA"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3.35%</w:t>
                </w:r>
              </w:p>
            </w:tc>
          </w:tr>
          <w:tr w:rsidR="00466A1F" w:rsidRPr="00B80369" w14:paraId="657528EC"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62420C2D" w14:textId="77777777" w:rsidR="00466A1F" w:rsidRPr="00B80369" w:rsidRDefault="00466A1F"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B1.2</w:t>
                </w:r>
              </w:p>
            </w:tc>
            <w:tc>
              <w:tcPr>
                <w:tcW w:w="491" w:type="pct"/>
                <w:shd w:val="clear" w:color="auto" w:fill="FFFFFF" w:themeFill="background2"/>
                <w:tcMar>
                  <w:top w:w="60" w:type="dxa"/>
                  <w:left w:w="114" w:type="dxa"/>
                  <w:bottom w:w="60" w:type="dxa"/>
                  <w:right w:w="114" w:type="dxa"/>
                </w:tcMar>
                <w:vAlign w:val="center"/>
              </w:tcPr>
              <w:p w14:paraId="1ADA06FF" w14:textId="4361B5B1"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4,131</w:t>
                </w:r>
              </w:p>
            </w:tc>
            <w:tc>
              <w:tcPr>
                <w:tcW w:w="417" w:type="pct"/>
                <w:shd w:val="clear" w:color="auto" w:fill="FFFFFF" w:themeFill="background2"/>
                <w:tcMar>
                  <w:top w:w="60" w:type="dxa"/>
                  <w:left w:w="114" w:type="dxa"/>
                  <w:bottom w:w="60" w:type="dxa"/>
                  <w:right w:w="114" w:type="dxa"/>
                </w:tcMar>
                <w:vAlign w:val="center"/>
              </w:tcPr>
              <w:p w14:paraId="394B26A6" w14:textId="6460061D"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36</w:t>
                </w:r>
              </w:p>
            </w:tc>
            <w:tc>
              <w:tcPr>
                <w:tcW w:w="417" w:type="pct"/>
                <w:shd w:val="clear" w:color="auto" w:fill="FFFFFF" w:themeFill="background2"/>
                <w:vAlign w:val="center"/>
              </w:tcPr>
              <w:p w14:paraId="1316891F" w14:textId="2CFD8483"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97</w:t>
                </w:r>
              </w:p>
            </w:tc>
            <w:tc>
              <w:tcPr>
                <w:tcW w:w="417" w:type="pct"/>
                <w:shd w:val="clear" w:color="auto" w:fill="FFFFFF" w:themeFill="background2"/>
                <w:vAlign w:val="center"/>
              </w:tcPr>
              <w:p w14:paraId="6297236E" w14:textId="3FC3F69E"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173</w:t>
                </w:r>
              </w:p>
            </w:tc>
            <w:tc>
              <w:tcPr>
                <w:tcW w:w="417" w:type="pct"/>
                <w:shd w:val="clear" w:color="auto" w:fill="FFFFFF" w:themeFill="background2"/>
                <w:vAlign w:val="center"/>
              </w:tcPr>
              <w:p w14:paraId="5B372380" w14:textId="2C4F1648"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239</w:t>
                </w:r>
              </w:p>
            </w:tc>
            <w:tc>
              <w:tcPr>
                <w:tcW w:w="417" w:type="pct"/>
                <w:shd w:val="clear" w:color="auto" w:fill="FFFFFF" w:themeFill="background2"/>
                <w:vAlign w:val="center"/>
              </w:tcPr>
              <w:p w14:paraId="6D59DEF5" w14:textId="07F077C0"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306</w:t>
                </w:r>
              </w:p>
            </w:tc>
            <w:tc>
              <w:tcPr>
                <w:tcW w:w="417" w:type="pct"/>
                <w:shd w:val="clear" w:color="auto" w:fill="FFFFFF" w:themeFill="background2"/>
                <w:vAlign w:val="center"/>
              </w:tcPr>
              <w:p w14:paraId="2BCB47B4" w14:textId="2D186E81"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0.87%</w:t>
                </w:r>
              </w:p>
            </w:tc>
            <w:tc>
              <w:tcPr>
                <w:tcW w:w="417" w:type="pct"/>
                <w:shd w:val="clear" w:color="auto" w:fill="FFFFFF" w:themeFill="background2"/>
                <w:vAlign w:val="center"/>
              </w:tcPr>
              <w:p w14:paraId="308A910B" w14:textId="3CCF4491"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2.35%</w:t>
                </w:r>
              </w:p>
            </w:tc>
            <w:tc>
              <w:tcPr>
                <w:tcW w:w="417" w:type="pct"/>
                <w:shd w:val="clear" w:color="auto" w:fill="FFFFFF" w:themeFill="background2"/>
                <w:vAlign w:val="center"/>
              </w:tcPr>
              <w:p w14:paraId="4EEB25DE" w14:textId="1967B851"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4.19%</w:t>
                </w:r>
              </w:p>
            </w:tc>
            <w:tc>
              <w:tcPr>
                <w:tcW w:w="417" w:type="pct"/>
                <w:shd w:val="clear" w:color="auto" w:fill="FFFFFF" w:themeFill="background2"/>
                <w:vAlign w:val="center"/>
              </w:tcPr>
              <w:p w14:paraId="2E188B71" w14:textId="71BC1484"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5.79%</w:t>
                </w:r>
              </w:p>
            </w:tc>
            <w:tc>
              <w:tcPr>
                <w:tcW w:w="413" w:type="pct"/>
                <w:shd w:val="clear" w:color="auto" w:fill="FFFFFF" w:themeFill="background2"/>
                <w:vAlign w:val="center"/>
              </w:tcPr>
              <w:p w14:paraId="7EAA4710" w14:textId="660178F3"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7.41%</w:t>
                </w:r>
              </w:p>
            </w:tc>
          </w:tr>
          <w:tr w:rsidR="00466A1F" w:rsidRPr="00B80369" w14:paraId="0A4B96D0"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5AAFC62A" w14:textId="77777777" w:rsidR="00466A1F" w:rsidRPr="00B80369" w:rsidRDefault="00466A1F"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B2.1</w:t>
                </w:r>
              </w:p>
            </w:tc>
            <w:tc>
              <w:tcPr>
                <w:tcW w:w="491" w:type="pct"/>
                <w:shd w:val="clear" w:color="auto" w:fill="FFFFFF" w:themeFill="background2"/>
                <w:tcMar>
                  <w:top w:w="60" w:type="dxa"/>
                  <w:left w:w="114" w:type="dxa"/>
                  <w:bottom w:w="60" w:type="dxa"/>
                  <w:right w:w="114" w:type="dxa"/>
                </w:tcMar>
                <w:vAlign w:val="center"/>
              </w:tcPr>
              <w:p w14:paraId="245230B2" w14:textId="04D06E68"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4,871</w:t>
                </w:r>
              </w:p>
            </w:tc>
            <w:tc>
              <w:tcPr>
                <w:tcW w:w="417" w:type="pct"/>
                <w:shd w:val="clear" w:color="auto" w:fill="FFFFFF" w:themeFill="background2"/>
                <w:tcMar>
                  <w:top w:w="60" w:type="dxa"/>
                  <w:left w:w="114" w:type="dxa"/>
                  <w:bottom w:w="60" w:type="dxa"/>
                  <w:right w:w="114" w:type="dxa"/>
                </w:tcMar>
                <w:vAlign w:val="center"/>
              </w:tcPr>
              <w:p w14:paraId="0022E4AD" w14:textId="5FFBD092"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85</w:t>
                </w:r>
              </w:p>
            </w:tc>
            <w:tc>
              <w:tcPr>
                <w:tcW w:w="417" w:type="pct"/>
                <w:shd w:val="clear" w:color="auto" w:fill="FFFFFF" w:themeFill="background2"/>
                <w:vAlign w:val="center"/>
              </w:tcPr>
              <w:p w14:paraId="55AB6350" w14:textId="18A21261"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219</w:t>
                </w:r>
              </w:p>
            </w:tc>
            <w:tc>
              <w:tcPr>
                <w:tcW w:w="417" w:type="pct"/>
                <w:shd w:val="clear" w:color="auto" w:fill="FFFFFF" w:themeFill="background2"/>
                <w:vAlign w:val="center"/>
              </w:tcPr>
              <w:p w14:paraId="2B0DE32F" w14:textId="6F08A36A"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375</w:t>
                </w:r>
              </w:p>
            </w:tc>
            <w:tc>
              <w:tcPr>
                <w:tcW w:w="417" w:type="pct"/>
                <w:shd w:val="clear" w:color="auto" w:fill="FFFFFF" w:themeFill="background2"/>
                <w:vAlign w:val="center"/>
              </w:tcPr>
              <w:p w14:paraId="4ED1523F" w14:textId="646EC50B"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512</w:t>
                </w:r>
              </w:p>
            </w:tc>
            <w:tc>
              <w:tcPr>
                <w:tcW w:w="417" w:type="pct"/>
                <w:shd w:val="clear" w:color="auto" w:fill="FFFFFF" w:themeFill="background2"/>
                <w:vAlign w:val="center"/>
              </w:tcPr>
              <w:p w14:paraId="4F4D225D" w14:textId="37D3A3F4"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634</w:t>
                </w:r>
              </w:p>
            </w:tc>
            <w:tc>
              <w:tcPr>
                <w:tcW w:w="417" w:type="pct"/>
                <w:shd w:val="clear" w:color="auto" w:fill="FFFFFF" w:themeFill="background2"/>
                <w:vAlign w:val="center"/>
              </w:tcPr>
              <w:p w14:paraId="5D2C1DB4" w14:textId="00CFBA33"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1.75%</w:t>
                </w:r>
              </w:p>
            </w:tc>
            <w:tc>
              <w:tcPr>
                <w:tcW w:w="417" w:type="pct"/>
                <w:shd w:val="clear" w:color="auto" w:fill="FFFFFF" w:themeFill="background2"/>
                <w:vAlign w:val="center"/>
              </w:tcPr>
              <w:p w14:paraId="007C6D05" w14:textId="3B989DCA" w:rsidR="00466A1F" w:rsidRPr="00B80369" w:rsidRDefault="00466A1F"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4.50%</w:t>
                </w:r>
              </w:p>
            </w:tc>
            <w:tc>
              <w:tcPr>
                <w:tcW w:w="417" w:type="pct"/>
                <w:shd w:val="clear" w:color="auto" w:fill="FFFFFF" w:themeFill="background2"/>
                <w:vAlign w:val="center"/>
              </w:tcPr>
              <w:p w14:paraId="406EF823" w14:textId="76A64BF3" w:rsidR="00466A1F" w:rsidRPr="00B80369" w:rsidRDefault="00466A1F"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7.70%</w:t>
                </w:r>
              </w:p>
            </w:tc>
            <w:tc>
              <w:tcPr>
                <w:tcW w:w="417" w:type="pct"/>
                <w:shd w:val="clear" w:color="auto" w:fill="FFFFFF" w:themeFill="background2"/>
                <w:vAlign w:val="center"/>
              </w:tcPr>
              <w:p w14:paraId="7C322DB4" w14:textId="33EFAEBE" w:rsidR="00466A1F" w:rsidRPr="00B80369" w:rsidRDefault="00466A1F"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10.51%</w:t>
                </w:r>
              </w:p>
            </w:tc>
            <w:tc>
              <w:tcPr>
                <w:tcW w:w="413" w:type="pct"/>
                <w:shd w:val="clear" w:color="auto" w:fill="FFFFFF" w:themeFill="background2"/>
                <w:vAlign w:val="center"/>
              </w:tcPr>
              <w:p w14:paraId="2C1059A3" w14:textId="27757E4C" w:rsidR="00466A1F" w:rsidRPr="00B80369" w:rsidRDefault="00466A1F"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13.02%</w:t>
                </w:r>
              </w:p>
            </w:tc>
          </w:tr>
          <w:tr w:rsidR="00466A1F" w:rsidRPr="00B80369" w14:paraId="75CCE669"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10E55FD0" w14:textId="77777777" w:rsidR="00466A1F" w:rsidRPr="00B80369" w:rsidRDefault="00466A1F"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B2.2</w:t>
                </w:r>
              </w:p>
            </w:tc>
            <w:tc>
              <w:tcPr>
                <w:tcW w:w="491" w:type="pct"/>
                <w:shd w:val="clear" w:color="auto" w:fill="FFFFFF" w:themeFill="background2"/>
                <w:tcMar>
                  <w:top w:w="60" w:type="dxa"/>
                  <w:left w:w="114" w:type="dxa"/>
                  <w:bottom w:w="60" w:type="dxa"/>
                  <w:right w:w="114" w:type="dxa"/>
                </w:tcMar>
                <w:vAlign w:val="center"/>
              </w:tcPr>
              <w:p w14:paraId="4A997585" w14:textId="0FF1DE91"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3,346</w:t>
                </w:r>
              </w:p>
            </w:tc>
            <w:tc>
              <w:tcPr>
                <w:tcW w:w="417" w:type="pct"/>
                <w:shd w:val="clear" w:color="auto" w:fill="FFFFFF" w:themeFill="background2"/>
                <w:tcMar>
                  <w:top w:w="60" w:type="dxa"/>
                  <w:left w:w="114" w:type="dxa"/>
                  <w:bottom w:w="60" w:type="dxa"/>
                  <w:right w:w="114" w:type="dxa"/>
                </w:tcMar>
                <w:vAlign w:val="center"/>
              </w:tcPr>
              <w:p w14:paraId="7C3E49AD" w14:textId="4DDDA980"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138</w:t>
                </w:r>
              </w:p>
            </w:tc>
            <w:tc>
              <w:tcPr>
                <w:tcW w:w="417" w:type="pct"/>
                <w:shd w:val="clear" w:color="auto" w:fill="FFFFFF" w:themeFill="background2"/>
                <w:vAlign w:val="center"/>
              </w:tcPr>
              <w:p w14:paraId="7C9D744B" w14:textId="15992158"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322</w:t>
                </w:r>
              </w:p>
            </w:tc>
            <w:tc>
              <w:tcPr>
                <w:tcW w:w="417" w:type="pct"/>
                <w:shd w:val="clear" w:color="auto" w:fill="FFFFFF" w:themeFill="background2"/>
                <w:vAlign w:val="center"/>
              </w:tcPr>
              <w:p w14:paraId="3F836A97" w14:textId="6BE0B1D1"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490</w:t>
                </w:r>
              </w:p>
            </w:tc>
            <w:tc>
              <w:tcPr>
                <w:tcW w:w="417" w:type="pct"/>
                <w:shd w:val="clear" w:color="auto" w:fill="FFFFFF" w:themeFill="background2"/>
                <w:vAlign w:val="center"/>
              </w:tcPr>
              <w:p w14:paraId="2F9CFABF" w14:textId="32E2AD26"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607</w:t>
                </w:r>
              </w:p>
            </w:tc>
            <w:tc>
              <w:tcPr>
                <w:tcW w:w="417" w:type="pct"/>
                <w:shd w:val="clear" w:color="auto" w:fill="FFFFFF" w:themeFill="background2"/>
                <w:vAlign w:val="center"/>
              </w:tcPr>
              <w:p w14:paraId="344C4DB3" w14:textId="10009918"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692</w:t>
                </w:r>
              </w:p>
            </w:tc>
            <w:tc>
              <w:tcPr>
                <w:tcW w:w="417" w:type="pct"/>
                <w:shd w:val="clear" w:color="auto" w:fill="FFFFFF" w:themeFill="background2"/>
                <w:vAlign w:val="center"/>
              </w:tcPr>
              <w:p w14:paraId="6E4D9D79" w14:textId="049262E2"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4.12%</w:t>
                </w:r>
              </w:p>
            </w:tc>
            <w:tc>
              <w:tcPr>
                <w:tcW w:w="417" w:type="pct"/>
                <w:shd w:val="clear" w:color="auto" w:fill="FFFFFF" w:themeFill="background2"/>
                <w:vAlign w:val="center"/>
              </w:tcPr>
              <w:p w14:paraId="329F15CE" w14:textId="2A3BE82F"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9.62%</w:t>
                </w:r>
              </w:p>
            </w:tc>
            <w:tc>
              <w:tcPr>
                <w:tcW w:w="417" w:type="pct"/>
                <w:shd w:val="clear" w:color="auto" w:fill="FFFFFF" w:themeFill="background2"/>
                <w:vAlign w:val="center"/>
              </w:tcPr>
              <w:p w14:paraId="1C145A94" w14:textId="60312313"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14.64%</w:t>
                </w:r>
              </w:p>
            </w:tc>
            <w:tc>
              <w:tcPr>
                <w:tcW w:w="417" w:type="pct"/>
                <w:shd w:val="clear" w:color="auto" w:fill="FFFFFF" w:themeFill="background2"/>
                <w:vAlign w:val="center"/>
              </w:tcPr>
              <w:p w14:paraId="53E391F7" w14:textId="32634547"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18.14%</w:t>
                </w:r>
              </w:p>
            </w:tc>
            <w:tc>
              <w:tcPr>
                <w:tcW w:w="413" w:type="pct"/>
                <w:shd w:val="clear" w:color="auto" w:fill="FFFFFF" w:themeFill="background2"/>
                <w:vAlign w:val="center"/>
              </w:tcPr>
              <w:p w14:paraId="5C63A564" w14:textId="42B37ED2"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20.68%</w:t>
                </w:r>
              </w:p>
            </w:tc>
          </w:tr>
          <w:tr w:rsidR="00466A1F" w:rsidRPr="00B80369" w14:paraId="7202CB7A"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50B0385D" w14:textId="77777777" w:rsidR="00466A1F" w:rsidRPr="00B80369" w:rsidRDefault="00466A1F"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C1.1</w:t>
                </w:r>
              </w:p>
            </w:tc>
            <w:tc>
              <w:tcPr>
                <w:tcW w:w="491" w:type="pct"/>
                <w:shd w:val="clear" w:color="auto" w:fill="FFFFFF" w:themeFill="background2"/>
                <w:tcMar>
                  <w:top w:w="60" w:type="dxa"/>
                  <w:left w:w="114" w:type="dxa"/>
                  <w:bottom w:w="60" w:type="dxa"/>
                  <w:right w:w="114" w:type="dxa"/>
                </w:tcMar>
                <w:vAlign w:val="center"/>
              </w:tcPr>
              <w:p w14:paraId="136F291F" w14:textId="708E1B37"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2,665</w:t>
                </w:r>
              </w:p>
            </w:tc>
            <w:tc>
              <w:tcPr>
                <w:tcW w:w="417" w:type="pct"/>
                <w:shd w:val="clear" w:color="auto" w:fill="FFFFFF" w:themeFill="background2"/>
                <w:tcMar>
                  <w:top w:w="60" w:type="dxa"/>
                  <w:left w:w="114" w:type="dxa"/>
                  <w:bottom w:w="60" w:type="dxa"/>
                  <w:right w:w="114" w:type="dxa"/>
                </w:tcMar>
                <w:vAlign w:val="center"/>
              </w:tcPr>
              <w:p w14:paraId="2A893BDE" w14:textId="02ECCA97"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259</w:t>
                </w:r>
              </w:p>
            </w:tc>
            <w:tc>
              <w:tcPr>
                <w:tcW w:w="417" w:type="pct"/>
                <w:shd w:val="clear" w:color="auto" w:fill="FFFFFF" w:themeFill="background2"/>
                <w:vAlign w:val="center"/>
              </w:tcPr>
              <w:p w14:paraId="6DCA7090" w14:textId="0870CCB0"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469</w:t>
                </w:r>
              </w:p>
            </w:tc>
            <w:tc>
              <w:tcPr>
                <w:tcW w:w="417" w:type="pct"/>
                <w:shd w:val="clear" w:color="auto" w:fill="FFFFFF" w:themeFill="background2"/>
                <w:vAlign w:val="center"/>
              </w:tcPr>
              <w:p w14:paraId="0A4D3801" w14:textId="5E8C5B5A"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649</w:t>
                </w:r>
              </w:p>
            </w:tc>
            <w:tc>
              <w:tcPr>
                <w:tcW w:w="417" w:type="pct"/>
                <w:shd w:val="clear" w:color="auto" w:fill="FFFFFF" w:themeFill="background2"/>
                <w:vAlign w:val="center"/>
              </w:tcPr>
              <w:p w14:paraId="4F6A4339" w14:textId="2123190B"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762</w:t>
                </w:r>
              </w:p>
            </w:tc>
            <w:tc>
              <w:tcPr>
                <w:tcW w:w="417" w:type="pct"/>
                <w:shd w:val="clear" w:color="auto" w:fill="FFFFFF" w:themeFill="background2"/>
                <w:vAlign w:val="center"/>
              </w:tcPr>
              <w:p w14:paraId="3AA1B8C6" w14:textId="2549ECBC"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855</w:t>
                </w:r>
              </w:p>
            </w:tc>
            <w:tc>
              <w:tcPr>
                <w:tcW w:w="417" w:type="pct"/>
                <w:shd w:val="clear" w:color="auto" w:fill="FFFFFF" w:themeFill="background2"/>
                <w:vAlign w:val="center"/>
              </w:tcPr>
              <w:p w14:paraId="693A6050" w14:textId="7BA56718"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9.72%</w:t>
                </w:r>
              </w:p>
            </w:tc>
            <w:tc>
              <w:tcPr>
                <w:tcW w:w="417" w:type="pct"/>
                <w:shd w:val="clear" w:color="auto" w:fill="FFFFFF" w:themeFill="background2"/>
                <w:vAlign w:val="center"/>
              </w:tcPr>
              <w:p w14:paraId="7F8DDBD6" w14:textId="70BED158"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17.60%</w:t>
                </w:r>
              </w:p>
            </w:tc>
            <w:tc>
              <w:tcPr>
                <w:tcW w:w="417" w:type="pct"/>
                <w:shd w:val="clear" w:color="auto" w:fill="FFFFFF" w:themeFill="background2"/>
                <w:vAlign w:val="center"/>
              </w:tcPr>
              <w:p w14:paraId="0037ADD6" w14:textId="2732C838"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24.35%</w:t>
                </w:r>
              </w:p>
            </w:tc>
            <w:tc>
              <w:tcPr>
                <w:tcW w:w="417" w:type="pct"/>
                <w:shd w:val="clear" w:color="auto" w:fill="FFFFFF" w:themeFill="background2"/>
                <w:vAlign w:val="center"/>
              </w:tcPr>
              <w:p w14:paraId="73149F6A" w14:textId="13E59D80"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28.59%</w:t>
                </w:r>
              </w:p>
            </w:tc>
            <w:tc>
              <w:tcPr>
                <w:tcW w:w="413" w:type="pct"/>
                <w:shd w:val="clear" w:color="auto" w:fill="FFFFFF" w:themeFill="background2"/>
                <w:vAlign w:val="center"/>
              </w:tcPr>
              <w:p w14:paraId="793499F2" w14:textId="7B9D051D"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32.08%</w:t>
                </w:r>
              </w:p>
            </w:tc>
          </w:tr>
          <w:tr w:rsidR="00466A1F" w:rsidRPr="00B80369" w14:paraId="00981221"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7044FD2E" w14:textId="77777777" w:rsidR="00466A1F" w:rsidRPr="00B80369" w:rsidRDefault="00466A1F"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C1.2</w:t>
                </w:r>
              </w:p>
            </w:tc>
            <w:tc>
              <w:tcPr>
                <w:tcW w:w="491" w:type="pct"/>
                <w:shd w:val="clear" w:color="auto" w:fill="FFFFFF" w:themeFill="background2"/>
                <w:tcMar>
                  <w:top w:w="60" w:type="dxa"/>
                  <w:left w:w="114" w:type="dxa"/>
                  <w:bottom w:w="60" w:type="dxa"/>
                  <w:right w:w="114" w:type="dxa"/>
                </w:tcMar>
                <w:vAlign w:val="center"/>
              </w:tcPr>
              <w:p w14:paraId="21B1C347" w14:textId="392F8D07"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556</w:t>
                </w:r>
              </w:p>
            </w:tc>
            <w:tc>
              <w:tcPr>
                <w:tcW w:w="417" w:type="pct"/>
                <w:shd w:val="clear" w:color="auto" w:fill="FFFFFF" w:themeFill="background2"/>
                <w:tcMar>
                  <w:top w:w="60" w:type="dxa"/>
                  <w:left w:w="114" w:type="dxa"/>
                  <w:bottom w:w="60" w:type="dxa"/>
                  <w:right w:w="114" w:type="dxa"/>
                </w:tcMar>
                <w:vAlign w:val="center"/>
              </w:tcPr>
              <w:p w14:paraId="3B9D2E1F" w14:textId="34C05881"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117</w:t>
                </w:r>
              </w:p>
            </w:tc>
            <w:tc>
              <w:tcPr>
                <w:tcW w:w="417" w:type="pct"/>
                <w:shd w:val="clear" w:color="auto" w:fill="FFFFFF" w:themeFill="background2"/>
                <w:vAlign w:val="center"/>
              </w:tcPr>
              <w:p w14:paraId="17FF1F00" w14:textId="51E5CAD6"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174</w:t>
                </w:r>
              </w:p>
            </w:tc>
            <w:tc>
              <w:tcPr>
                <w:tcW w:w="417" w:type="pct"/>
                <w:shd w:val="clear" w:color="auto" w:fill="FFFFFF" w:themeFill="background2"/>
                <w:vAlign w:val="center"/>
              </w:tcPr>
              <w:p w14:paraId="3154FE45" w14:textId="4FE1136B"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228</w:t>
                </w:r>
              </w:p>
            </w:tc>
            <w:tc>
              <w:tcPr>
                <w:tcW w:w="417" w:type="pct"/>
                <w:shd w:val="clear" w:color="auto" w:fill="FFFFFF" w:themeFill="background2"/>
                <w:vAlign w:val="center"/>
              </w:tcPr>
              <w:p w14:paraId="24AB6A8B" w14:textId="510A7918"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255</w:t>
                </w:r>
              </w:p>
            </w:tc>
            <w:tc>
              <w:tcPr>
                <w:tcW w:w="417" w:type="pct"/>
                <w:shd w:val="clear" w:color="auto" w:fill="FFFFFF" w:themeFill="background2"/>
                <w:vAlign w:val="center"/>
              </w:tcPr>
              <w:p w14:paraId="5F23294A" w14:textId="0689D41F"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268</w:t>
                </w:r>
              </w:p>
            </w:tc>
            <w:tc>
              <w:tcPr>
                <w:tcW w:w="417" w:type="pct"/>
                <w:shd w:val="clear" w:color="auto" w:fill="FFFFFF" w:themeFill="background2"/>
                <w:vAlign w:val="center"/>
              </w:tcPr>
              <w:p w14:paraId="62F3F112" w14:textId="14F67CAD"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21.04%</w:t>
                </w:r>
              </w:p>
            </w:tc>
            <w:tc>
              <w:tcPr>
                <w:tcW w:w="417" w:type="pct"/>
                <w:shd w:val="clear" w:color="auto" w:fill="FFFFFF" w:themeFill="background2"/>
                <w:vAlign w:val="center"/>
              </w:tcPr>
              <w:p w14:paraId="43741CAD" w14:textId="2AC611DB"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31.30%</w:t>
                </w:r>
              </w:p>
            </w:tc>
            <w:tc>
              <w:tcPr>
                <w:tcW w:w="417" w:type="pct"/>
                <w:shd w:val="clear" w:color="auto" w:fill="FFFFFF" w:themeFill="background2"/>
                <w:vAlign w:val="center"/>
              </w:tcPr>
              <w:p w14:paraId="587CEA38" w14:textId="3E11F62A"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41.01%</w:t>
                </w:r>
              </w:p>
            </w:tc>
            <w:tc>
              <w:tcPr>
                <w:tcW w:w="417" w:type="pct"/>
                <w:shd w:val="clear" w:color="auto" w:fill="FFFFFF" w:themeFill="background2"/>
                <w:vAlign w:val="center"/>
              </w:tcPr>
              <w:p w14:paraId="4B324A39" w14:textId="4DE84E09"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45.86%</w:t>
                </w:r>
              </w:p>
            </w:tc>
            <w:tc>
              <w:tcPr>
                <w:tcW w:w="413" w:type="pct"/>
                <w:shd w:val="clear" w:color="auto" w:fill="FFFFFF" w:themeFill="background2"/>
                <w:vAlign w:val="center"/>
              </w:tcPr>
              <w:p w14:paraId="63564B6A" w14:textId="688A9711"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48.20%</w:t>
                </w:r>
              </w:p>
            </w:tc>
          </w:tr>
          <w:tr w:rsidR="00466A1F" w:rsidRPr="00B80369" w14:paraId="349FC6EB"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64FC2FB0" w14:textId="77777777" w:rsidR="00466A1F" w:rsidRPr="00B80369" w:rsidRDefault="00466A1F"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C2.1</w:t>
                </w:r>
              </w:p>
            </w:tc>
            <w:tc>
              <w:tcPr>
                <w:tcW w:w="491" w:type="pct"/>
                <w:shd w:val="clear" w:color="auto" w:fill="FFFFFF" w:themeFill="background2"/>
                <w:tcMar>
                  <w:top w:w="60" w:type="dxa"/>
                  <w:left w:w="114" w:type="dxa"/>
                  <w:bottom w:w="60" w:type="dxa"/>
                  <w:right w:w="114" w:type="dxa"/>
                </w:tcMar>
                <w:vAlign w:val="center"/>
              </w:tcPr>
              <w:p w14:paraId="39BE5984" w14:textId="4CB552D8"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572</w:t>
                </w:r>
              </w:p>
            </w:tc>
            <w:tc>
              <w:tcPr>
                <w:tcW w:w="417" w:type="pct"/>
                <w:shd w:val="clear" w:color="auto" w:fill="FFFFFF" w:themeFill="background2"/>
                <w:tcMar>
                  <w:top w:w="60" w:type="dxa"/>
                  <w:left w:w="114" w:type="dxa"/>
                  <w:bottom w:w="60" w:type="dxa"/>
                  <w:right w:w="114" w:type="dxa"/>
                </w:tcMar>
                <w:vAlign w:val="center"/>
              </w:tcPr>
              <w:p w14:paraId="567CF571" w14:textId="7530B437"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339</w:t>
                </w:r>
              </w:p>
            </w:tc>
            <w:tc>
              <w:tcPr>
                <w:tcW w:w="417" w:type="pct"/>
                <w:shd w:val="clear" w:color="auto" w:fill="FFFFFF" w:themeFill="background2"/>
                <w:vAlign w:val="center"/>
              </w:tcPr>
              <w:p w14:paraId="12E0DDC0" w14:textId="5C0CC33C"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400</w:t>
                </w:r>
              </w:p>
            </w:tc>
            <w:tc>
              <w:tcPr>
                <w:tcW w:w="417" w:type="pct"/>
                <w:shd w:val="clear" w:color="auto" w:fill="FFFFFF" w:themeFill="background2"/>
                <w:vAlign w:val="center"/>
              </w:tcPr>
              <w:p w14:paraId="57A7BF3A" w14:textId="61C074F1"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431</w:t>
                </w:r>
              </w:p>
            </w:tc>
            <w:tc>
              <w:tcPr>
                <w:tcW w:w="417" w:type="pct"/>
                <w:shd w:val="clear" w:color="auto" w:fill="FFFFFF" w:themeFill="background2"/>
                <w:vAlign w:val="center"/>
              </w:tcPr>
              <w:p w14:paraId="596001EA" w14:textId="24EF3EBD"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449</w:t>
                </w:r>
              </w:p>
            </w:tc>
            <w:tc>
              <w:tcPr>
                <w:tcW w:w="417" w:type="pct"/>
                <w:shd w:val="clear" w:color="auto" w:fill="FFFFFF" w:themeFill="background2"/>
                <w:vAlign w:val="center"/>
              </w:tcPr>
              <w:p w14:paraId="533652C9" w14:textId="776033FF"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458</w:t>
                </w:r>
              </w:p>
            </w:tc>
            <w:tc>
              <w:tcPr>
                <w:tcW w:w="417" w:type="pct"/>
                <w:shd w:val="clear" w:color="auto" w:fill="FFFFFF" w:themeFill="background2"/>
                <w:vAlign w:val="center"/>
              </w:tcPr>
              <w:p w14:paraId="6612CE9F" w14:textId="64DAE8C3"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59.27%</w:t>
                </w:r>
              </w:p>
            </w:tc>
            <w:tc>
              <w:tcPr>
                <w:tcW w:w="417" w:type="pct"/>
                <w:shd w:val="clear" w:color="auto" w:fill="FFFFFF" w:themeFill="background2"/>
                <w:vAlign w:val="center"/>
              </w:tcPr>
              <w:p w14:paraId="7A8D8F49" w14:textId="21CFC282"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69.93%</w:t>
                </w:r>
              </w:p>
            </w:tc>
            <w:tc>
              <w:tcPr>
                <w:tcW w:w="417" w:type="pct"/>
                <w:shd w:val="clear" w:color="auto" w:fill="FFFFFF" w:themeFill="background2"/>
                <w:vAlign w:val="center"/>
              </w:tcPr>
              <w:p w14:paraId="23BEE872" w14:textId="6BCBD31E"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75.35%</w:t>
                </w:r>
              </w:p>
            </w:tc>
            <w:tc>
              <w:tcPr>
                <w:tcW w:w="417" w:type="pct"/>
                <w:shd w:val="clear" w:color="auto" w:fill="FFFFFF" w:themeFill="background2"/>
                <w:vAlign w:val="center"/>
              </w:tcPr>
              <w:p w14:paraId="6DE819E1" w14:textId="10F38934"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78.50%</w:t>
                </w:r>
              </w:p>
            </w:tc>
            <w:tc>
              <w:tcPr>
                <w:tcW w:w="413" w:type="pct"/>
                <w:shd w:val="clear" w:color="auto" w:fill="FFFFFF" w:themeFill="background2"/>
                <w:vAlign w:val="center"/>
              </w:tcPr>
              <w:p w14:paraId="7C35BCFA" w14:textId="4E5FE189"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80.07%</w:t>
                </w:r>
              </w:p>
            </w:tc>
          </w:tr>
          <w:tr w:rsidR="00466A1F" w:rsidRPr="00B80369" w14:paraId="26BA24D0" w14:textId="77777777" w:rsidTr="00AC7D4E">
            <w:trPr>
              <w:trHeight w:val="227"/>
            </w:trPr>
            <w:tc>
              <w:tcPr>
                <w:tcW w:w="343" w:type="pct"/>
                <w:shd w:val="clear" w:color="auto" w:fill="FFFFFF" w:themeFill="background2"/>
                <w:tcMar>
                  <w:top w:w="60" w:type="dxa"/>
                  <w:left w:w="114" w:type="dxa"/>
                  <w:bottom w:w="60" w:type="dxa"/>
                  <w:right w:w="114" w:type="dxa"/>
                </w:tcMar>
                <w:vAlign w:val="center"/>
              </w:tcPr>
              <w:p w14:paraId="709F0833" w14:textId="77777777" w:rsidR="00466A1F" w:rsidRPr="00B80369" w:rsidRDefault="00466A1F" w:rsidP="00B80369">
                <w:pPr>
                  <w:spacing w:before="0" w:line="240" w:lineRule="auto"/>
                  <w:jc w:val="center"/>
                  <w:rPr>
                    <w:rFonts w:cs="Segoe UI"/>
                    <w:b/>
                    <w:bCs/>
                    <w:sz w:val="14"/>
                    <w:szCs w:val="14"/>
                    <w:lang w:eastAsia="it-IT"/>
                  </w:rPr>
                </w:pPr>
                <w:r w:rsidRPr="00B80369">
                  <w:rPr>
                    <w:rFonts w:cs="Segoe UI"/>
                    <w:b/>
                    <w:bCs/>
                    <w:sz w:val="14"/>
                    <w:szCs w:val="14"/>
                    <w:lang w:eastAsia="it-IT"/>
                  </w:rPr>
                  <w:t>TOTAL</w:t>
                </w:r>
              </w:p>
            </w:tc>
            <w:tc>
              <w:tcPr>
                <w:tcW w:w="491" w:type="pct"/>
                <w:shd w:val="clear" w:color="auto" w:fill="FFFFFF" w:themeFill="background2"/>
                <w:tcMar>
                  <w:top w:w="60" w:type="dxa"/>
                  <w:left w:w="114" w:type="dxa"/>
                  <w:bottom w:w="60" w:type="dxa"/>
                  <w:right w:w="114" w:type="dxa"/>
                </w:tcMar>
                <w:vAlign w:val="center"/>
              </w:tcPr>
              <w:p w14:paraId="200A7CC6" w14:textId="1D76682E"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26,770</w:t>
                </w:r>
              </w:p>
            </w:tc>
            <w:tc>
              <w:tcPr>
                <w:tcW w:w="417" w:type="pct"/>
                <w:shd w:val="clear" w:color="auto" w:fill="FFFFFF" w:themeFill="background2"/>
                <w:tcMar>
                  <w:top w:w="60" w:type="dxa"/>
                  <w:left w:w="114" w:type="dxa"/>
                  <w:bottom w:w="60" w:type="dxa"/>
                  <w:right w:w="114" w:type="dxa"/>
                </w:tcMar>
                <w:vAlign w:val="center"/>
              </w:tcPr>
              <w:p w14:paraId="4D616F4D" w14:textId="01BADDFF"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993</w:t>
                </w:r>
              </w:p>
            </w:tc>
            <w:tc>
              <w:tcPr>
                <w:tcW w:w="417" w:type="pct"/>
                <w:shd w:val="clear" w:color="auto" w:fill="FFFFFF" w:themeFill="background2"/>
                <w:vAlign w:val="center"/>
              </w:tcPr>
              <w:p w14:paraId="2DF7BFBB" w14:textId="401586BC"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1,747</w:t>
                </w:r>
              </w:p>
            </w:tc>
            <w:tc>
              <w:tcPr>
                <w:tcW w:w="417" w:type="pct"/>
                <w:shd w:val="clear" w:color="auto" w:fill="FFFFFF" w:themeFill="background2"/>
                <w:vAlign w:val="center"/>
              </w:tcPr>
              <w:p w14:paraId="14832BD9" w14:textId="3E0ABBE3"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2,486</w:t>
                </w:r>
              </w:p>
            </w:tc>
            <w:tc>
              <w:tcPr>
                <w:tcW w:w="417" w:type="pct"/>
                <w:shd w:val="clear" w:color="auto" w:fill="FFFFFF" w:themeFill="background2"/>
                <w:vAlign w:val="center"/>
              </w:tcPr>
              <w:p w14:paraId="0735DF2E" w14:textId="18D0EC87"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3,033</w:t>
                </w:r>
              </w:p>
            </w:tc>
            <w:tc>
              <w:tcPr>
                <w:tcW w:w="417" w:type="pct"/>
                <w:shd w:val="clear" w:color="auto" w:fill="FFFFFF" w:themeFill="background2"/>
                <w:vAlign w:val="center"/>
              </w:tcPr>
              <w:p w14:paraId="38BF95CB" w14:textId="277144D6" w:rsidR="00466A1F" w:rsidRPr="00B80369" w:rsidRDefault="00466A1F"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3,485</w:t>
                </w:r>
              </w:p>
            </w:tc>
            <w:tc>
              <w:tcPr>
                <w:tcW w:w="417" w:type="pct"/>
                <w:shd w:val="clear" w:color="auto" w:fill="FFFFFF" w:themeFill="background2"/>
                <w:vAlign w:val="center"/>
              </w:tcPr>
              <w:p w14:paraId="28E25B6C" w14:textId="74BE93BC"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3.71%</w:t>
                </w:r>
              </w:p>
            </w:tc>
            <w:tc>
              <w:tcPr>
                <w:tcW w:w="417" w:type="pct"/>
                <w:shd w:val="clear" w:color="auto" w:fill="FFFFFF" w:themeFill="background2"/>
                <w:vAlign w:val="center"/>
              </w:tcPr>
              <w:p w14:paraId="0EDA0D70" w14:textId="1CC5BE45"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6.53%</w:t>
                </w:r>
              </w:p>
            </w:tc>
            <w:tc>
              <w:tcPr>
                <w:tcW w:w="417" w:type="pct"/>
                <w:shd w:val="clear" w:color="auto" w:fill="FFFFFF" w:themeFill="background2"/>
                <w:vAlign w:val="center"/>
              </w:tcPr>
              <w:p w14:paraId="5E4234F0" w14:textId="3630C2E6"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9.29%</w:t>
                </w:r>
              </w:p>
            </w:tc>
            <w:tc>
              <w:tcPr>
                <w:tcW w:w="417" w:type="pct"/>
                <w:shd w:val="clear" w:color="auto" w:fill="FFFFFF" w:themeFill="background2"/>
                <w:vAlign w:val="center"/>
              </w:tcPr>
              <w:p w14:paraId="2CF5BE52" w14:textId="4ABAD487"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11.33%</w:t>
                </w:r>
              </w:p>
            </w:tc>
            <w:tc>
              <w:tcPr>
                <w:tcW w:w="413" w:type="pct"/>
                <w:shd w:val="clear" w:color="auto" w:fill="FFFFFF" w:themeFill="background2"/>
                <w:vAlign w:val="center"/>
              </w:tcPr>
              <w:p w14:paraId="6A930F2D" w14:textId="261D4AC0" w:rsidR="00466A1F" w:rsidRPr="00B80369" w:rsidRDefault="00466A1F"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13.02%</w:t>
                </w:r>
              </w:p>
            </w:tc>
          </w:tr>
        </w:tbl>
        <w:p w14:paraId="3DB847CE" w14:textId="0E64D007" w:rsidR="004101BF" w:rsidRDefault="004101BF" w:rsidP="004101BF">
          <w:pPr>
            <w:pStyle w:val="Didascalia"/>
            <w:rPr>
              <w:rFonts w:ascii="Segoe UI" w:hAnsi="Segoe UI" w:cs="Segoe UI"/>
              <w:i/>
              <w:sz w:val="14"/>
              <w:lang w:val="en-GB"/>
            </w:rPr>
          </w:pPr>
          <w:bookmarkStart w:id="126" w:name="_Toc130806336"/>
          <w:bookmarkStart w:id="127" w:name="_Toc166675676"/>
          <w:bookmarkStart w:id="128" w:name="_Toc167131803"/>
          <w:r w:rsidRPr="0032337D">
            <w:rPr>
              <w:rFonts w:ascii="Segoe UI" w:hAnsi="Segoe UI" w:cs="Segoe UI"/>
              <w:i/>
              <w:sz w:val="14"/>
              <w:lang w:val="en-GB"/>
            </w:rPr>
            <w:lastRenderedPageBreak/>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35</w:t>
          </w:r>
          <w:r>
            <w:rPr>
              <w:rFonts w:ascii="Segoe UI" w:hAnsi="Segoe UI" w:cs="Segoe UI"/>
              <w:i/>
              <w:sz w:val="14"/>
              <w:lang w:val="en-GB"/>
            </w:rPr>
            <w:fldChar w:fldCharType="end"/>
          </w:r>
          <w:r w:rsidRPr="0032337D">
            <w:rPr>
              <w:rFonts w:ascii="Segoe UI" w:hAnsi="Segoe UI" w:cs="Segoe UI"/>
              <w:i/>
              <w:sz w:val="14"/>
              <w:lang w:val="en-GB"/>
            </w:rPr>
            <w:t>: Static pool as of 31</w:t>
          </w:r>
          <w:r w:rsidRPr="0032337D">
            <w:rPr>
              <w:rFonts w:ascii="Segoe UI" w:hAnsi="Segoe UI" w:cs="Segoe UI"/>
              <w:i/>
              <w:sz w:val="14"/>
              <w:vertAlign w:val="superscript"/>
              <w:lang w:val="en-GB"/>
            </w:rPr>
            <w:t>st</w:t>
          </w:r>
          <w:r w:rsidRPr="0032337D">
            <w:rPr>
              <w:rFonts w:ascii="Segoe UI" w:hAnsi="Segoe UI" w:cs="Segoe UI"/>
              <w:i/>
              <w:sz w:val="14"/>
              <w:lang w:val="en-GB"/>
            </w:rPr>
            <w:t xml:space="preserve"> December 2013</w:t>
          </w:r>
          <w:bookmarkEnd w:id="126"/>
          <w:bookmarkEnd w:id="127"/>
          <w:bookmarkEnd w:id="128"/>
        </w:p>
        <w:tbl>
          <w:tblPr>
            <w:tblW w:w="5000" w:type="pct"/>
            <w:tblBorders>
              <w:top w:val="single" w:sz="4" w:space="0" w:color="AFAFB4" w:themeColor="accent4"/>
              <w:bottom w:val="single" w:sz="4" w:space="0" w:color="AFAFB4" w:themeColor="accent4"/>
              <w:insideH w:val="single" w:sz="4" w:space="0" w:color="AFAFB4" w:themeColor="accent4"/>
            </w:tblBorders>
            <w:shd w:val="clear" w:color="auto" w:fill="FFFFFF" w:themeFill="background2"/>
            <w:tblCellMar>
              <w:left w:w="0" w:type="dxa"/>
              <w:right w:w="0" w:type="dxa"/>
            </w:tblCellMar>
            <w:tblLook w:val="0620" w:firstRow="1" w:lastRow="0" w:firstColumn="0" w:lastColumn="0" w:noHBand="1" w:noVBand="1"/>
            <w:tblDescription w:val="{&quot;Ott&quot;:{&quot;FirstRow&quot;:{&quot;BackgroundColor&quot;:{&quot;Key&quot;:&quot;Light2&quot;},&quot;Font&quot;:{&quot;Name&quot;:&quot;Source Sans Pro&quot;,&quot;Size&quot;:14.0,&quot;Bold&quot;:false,&quot;Italic&quot;:false,&quot;Color&quot;:{&quot;Key&quot;:&quot;Dark2&quot;}},&quot;ExcelCellFormatting&quot;:&quot;General&quot;,&quot;Alignment&quot;:{&quot;Horizontal&quot;:&quot;Left&quot;,&quot;Vertical&quot;:&quot;Bottom&quot;},&quot;Borders&quot;:{&quot;Vertical&quot;:{&quot;Visible&quot;:false},&quot;Left&quot;:{&quot;Visible&quot;:false},&quot;Top&quot;:{&quot;Visible&quot;:false},&quot;Right&quot;:{&quot;Visible&quot;:false},&quot;Bottom&quot;:{&quot;Color&quot;:{&quot;Key&quot;:&quot;Accent4&quot;},&quot;BorderWeight&quot;:&quot;Pt1_5&quot;,&quot;Type&quot;:&quot;Solid&quot;,&quot;Visible&quot;:true}}},&quot;FitRowHeightPp&quot;:true,&quot;ZeroMarginsWord&quot;:true,&quot;BackgroundColor&quot;:{&quot;Key&quot;:&quot;Light2&quot;},&quot;Font&quot;:{&quot;Name&quot;:&quot;Source Sans Pro&quot;,&quot;Size&quot;:11.0,&quot;Bold&quot;:false,&quot;Italic&quot;:false,&quot;Color&quot;:{&quot;Key&quot;:&quot;Dark2&quot;}},&quot;LineSpacing&quot;:{&quot;Rule&quot;:&quot;Single&quot;},&quot;Alignment&quot;:{&quot;Horizontal&quot;:&quot;Left&quot;,&quot;Vertical&quot;:&quot;Top&quot;},&quot;Margin&quot;:{&quot;Left&quot;:5.7,&quot;Top&quot;:3.0,&quot;Right&quot;:5.7,&quot;Bottom&quot;:3.0},&quot;Borders&quot;:{&quot;Vertical&quot;:{&quot;Visible&quot;:false},&quot;Horizontal&quot;:{&quot;Color&quot;:{&quot;Key&quot;:&quot;Accent4&quot;},&quot;BorderWeight&quot;:&quot;Pt0_5&quot;,&quot;Type&quot;:&quot;Solid&quot;,&quot;Visible&quot;:true}},&quot;ParagraphSpacing&quot;:{&quot;SpaceBefore&quot;:2.0,&quot;SpaceAfter&quot;:2.0},&quot;ExcelWrapText&quot;:true},&quot;Ccs&quot;:{&quot;DarkBlue&quot;:&quot;0, 20, 55&quot;,&quot;Turquoise&quot;:&quot;0, 164, 230&quot;,&quot;Red&quot;:&quot;214, 70, 65&quot;,&quot;LightGrey&quot;:&quot;174, 174, 180&quot;,&quot;BlueGrey&quot;:&quot;77, 91, 115&quot;,&quot;IceBlue&quot;:&quot;178, 184, 195&quot;,&quot;Grey&quot;:&quot;145, 147, 153&quot;,&quot;Background&quot;:&quot;0, 0, 0, 0&quot;,&quot;White&quot;:&quot;White&quot;,&quot;Accent1&quot;:&quot;1, 1, 1, 1&quot;,&quot;Accent2&quot;:&quot;1, 1, 1, 2&quot;,&quot;Accent3&quot;:&quot;1, 1, 1, 3&quot;,&quot;Accent4&quot;:&quot;1, 1, 1, 4&quot;,&quot;Accent5&quot;:&quot;1, 1, 1, 5&quot;,&quot;Accent6&quot;:&quot;1, 1, 1, 6&quot;,&quot;Dark1&quot;:&quot;1, 1, 1, 7&quot;,&quot;Dark2&quot;:&quot;1, 1, 1, 9&quot;,&quot;Light1&quot;:&quot;1, 1, 1, 8&quot;,&quot;Light2&quot;:&quot;1, 1, 1, 10&quot;},&quot;Cop&quot;:{&quot;FirstRow&quot;:true,&quot;LastRow&quot;:false,&quot;FirstColumn&quot;:false,&quot;LastColumn&quot;:false,&quot;BandedRows&quot;:false,&quot;BandedColumns&quot;:false},&quot;Aaf&quot;:false}"/>
          </w:tblPr>
          <w:tblGrid>
            <w:gridCol w:w="710"/>
            <w:gridCol w:w="1016"/>
            <w:gridCol w:w="863"/>
            <w:gridCol w:w="863"/>
            <w:gridCol w:w="863"/>
            <w:gridCol w:w="863"/>
            <w:gridCol w:w="863"/>
            <w:gridCol w:w="863"/>
            <w:gridCol w:w="863"/>
            <w:gridCol w:w="863"/>
            <w:gridCol w:w="863"/>
            <w:gridCol w:w="855"/>
          </w:tblGrid>
          <w:tr w:rsidR="00707524" w:rsidRPr="00B80369" w14:paraId="2B688845" w14:textId="77777777" w:rsidTr="00AC7D4E">
            <w:trPr>
              <w:trHeight w:val="227"/>
              <w:tblHeader/>
            </w:trPr>
            <w:tc>
              <w:tcPr>
                <w:tcW w:w="343" w:type="pct"/>
                <w:vMerge w:val="restar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52C032C2" w14:textId="77777777"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Rating</w:t>
                </w:r>
              </w:p>
            </w:tc>
            <w:tc>
              <w:tcPr>
                <w:tcW w:w="491"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32681E1C" w14:textId="77777777"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Static pool</w:t>
                </w:r>
              </w:p>
            </w:tc>
            <w:tc>
              <w:tcPr>
                <w:tcW w:w="2085" w:type="pct"/>
                <w:gridSpan w:val="5"/>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5F57E5A5" w14:textId="08ED4C20"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Observed defaults by years since rating issuance</w:t>
                </w:r>
              </w:p>
            </w:tc>
            <w:tc>
              <w:tcPr>
                <w:tcW w:w="2081" w:type="pct"/>
                <w:gridSpan w:val="5"/>
                <w:tcBorders>
                  <w:top w:val="single" w:sz="12" w:space="0" w:color="AFAFB4" w:themeColor="accent4"/>
                </w:tcBorders>
                <w:shd w:val="clear" w:color="auto" w:fill="FFFFFF" w:themeFill="background2"/>
                <w:vAlign w:val="center"/>
              </w:tcPr>
              <w:p w14:paraId="4A11E41A" w14:textId="77777777"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Percentage of cumulative default rates</w:t>
                </w:r>
              </w:p>
            </w:tc>
          </w:tr>
          <w:tr w:rsidR="003F1085" w:rsidRPr="00B80369" w14:paraId="07040AD7" w14:textId="77777777" w:rsidTr="00AC7D4E">
            <w:trPr>
              <w:trHeight w:val="227"/>
              <w:tblHeader/>
            </w:trPr>
            <w:tc>
              <w:tcPr>
                <w:tcW w:w="343" w:type="pct"/>
                <w:vMerge/>
                <w:shd w:val="clear" w:color="auto" w:fill="FFFFFF" w:themeFill="background2"/>
                <w:tcMar>
                  <w:top w:w="60" w:type="dxa"/>
                  <w:left w:w="114" w:type="dxa"/>
                  <w:bottom w:w="60" w:type="dxa"/>
                  <w:right w:w="114" w:type="dxa"/>
                </w:tcMar>
                <w:vAlign w:val="center"/>
              </w:tcPr>
              <w:p w14:paraId="64409C33" w14:textId="77777777" w:rsidR="003F1085" w:rsidRPr="00B80369" w:rsidRDefault="003F1085" w:rsidP="00B80369">
                <w:pPr>
                  <w:spacing w:before="0" w:line="240" w:lineRule="auto"/>
                  <w:jc w:val="center"/>
                  <w:rPr>
                    <w:b/>
                    <w:color w:val="33A1AB" w:themeColor="accent2"/>
                    <w:sz w:val="14"/>
                    <w:szCs w:val="14"/>
                  </w:rPr>
                </w:pPr>
              </w:p>
            </w:tc>
            <w:tc>
              <w:tcPr>
                <w:tcW w:w="491"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1DB54844" w14:textId="0CDD914F" w:rsidR="003F1085" w:rsidRPr="00B80369" w:rsidRDefault="003F1085" w:rsidP="00B80369">
                <w:pPr>
                  <w:spacing w:before="0" w:line="240" w:lineRule="auto"/>
                  <w:jc w:val="center"/>
                  <w:rPr>
                    <w:b/>
                    <w:color w:val="33A1AB" w:themeColor="accent2"/>
                    <w:sz w:val="14"/>
                    <w:szCs w:val="14"/>
                  </w:rPr>
                </w:pPr>
                <w:r w:rsidRPr="00B80369">
                  <w:rPr>
                    <w:b/>
                    <w:color w:val="33A1AB" w:themeColor="accent2"/>
                    <w:sz w:val="14"/>
                    <w:szCs w:val="14"/>
                  </w:rPr>
                  <w:t>31 Dec 2013</w:t>
                </w:r>
              </w:p>
            </w:tc>
            <w:tc>
              <w:tcPr>
                <w:tcW w:w="417"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4EA21638" w14:textId="77777777" w:rsidR="003F1085" w:rsidRPr="00B80369" w:rsidRDefault="003F1085" w:rsidP="00B80369">
                <w:pPr>
                  <w:spacing w:before="0" w:line="240" w:lineRule="auto"/>
                  <w:jc w:val="center"/>
                  <w:rPr>
                    <w:b/>
                    <w:color w:val="33A1AB" w:themeColor="accent2"/>
                    <w:sz w:val="14"/>
                    <w:szCs w:val="14"/>
                  </w:rPr>
                </w:pPr>
                <w:r w:rsidRPr="00B80369">
                  <w:rPr>
                    <w:b/>
                    <w:color w:val="33A1AB" w:themeColor="accent2"/>
                    <w:sz w:val="14"/>
                    <w:szCs w:val="14"/>
                  </w:rPr>
                  <w:t>1-Y DR</w:t>
                </w:r>
              </w:p>
            </w:tc>
            <w:tc>
              <w:tcPr>
                <w:tcW w:w="417" w:type="pct"/>
                <w:tcBorders>
                  <w:top w:val="single" w:sz="12" w:space="0" w:color="AFAFB4" w:themeColor="accent4"/>
                </w:tcBorders>
                <w:shd w:val="clear" w:color="auto" w:fill="FFFFFF" w:themeFill="background2"/>
                <w:vAlign w:val="center"/>
              </w:tcPr>
              <w:p w14:paraId="3B3B410E" w14:textId="77777777" w:rsidR="003F1085" w:rsidRPr="00B80369" w:rsidRDefault="003F1085" w:rsidP="00B80369">
                <w:pPr>
                  <w:spacing w:before="0" w:line="240" w:lineRule="auto"/>
                  <w:jc w:val="center"/>
                  <w:rPr>
                    <w:b/>
                    <w:color w:val="33A1AB" w:themeColor="accent2"/>
                    <w:sz w:val="14"/>
                    <w:szCs w:val="14"/>
                  </w:rPr>
                </w:pPr>
                <w:r w:rsidRPr="00B80369">
                  <w:rPr>
                    <w:b/>
                    <w:color w:val="33A1AB" w:themeColor="accent2"/>
                    <w:sz w:val="14"/>
                    <w:szCs w:val="14"/>
                  </w:rPr>
                  <w:t>2-Y DR</w:t>
                </w:r>
              </w:p>
            </w:tc>
            <w:tc>
              <w:tcPr>
                <w:tcW w:w="417" w:type="pct"/>
                <w:tcBorders>
                  <w:top w:val="single" w:sz="12" w:space="0" w:color="AFAFB4" w:themeColor="accent4"/>
                </w:tcBorders>
                <w:shd w:val="clear" w:color="auto" w:fill="FFFFFF" w:themeFill="background2"/>
                <w:vAlign w:val="center"/>
              </w:tcPr>
              <w:p w14:paraId="6B3B8056" w14:textId="77777777" w:rsidR="003F1085" w:rsidRPr="00B80369" w:rsidRDefault="003F1085" w:rsidP="00B80369">
                <w:pPr>
                  <w:spacing w:before="0" w:line="240" w:lineRule="auto"/>
                  <w:jc w:val="center"/>
                  <w:rPr>
                    <w:b/>
                    <w:color w:val="33A1AB" w:themeColor="accent2"/>
                    <w:sz w:val="14"/>
                    <w:szCs w:val="14"/>
                  </w:rPr>
                </w:pPr>
                <w:r w:rsidRPr="00B80369">
                  <w:rPr>
                    <w:b/>
                    <w:color w:val="33A1AB" w:themeColor="accent2"/>
                    <w:sz w:val="14"/>
                    <w:szCs w:val="14"/>
                  </w:rPr>
                  <w:t>3-Y DR</w:t>
                </w:r>
              </w:p>
            </w:tc>
            <w:tc>
              <w:tcPr>
                <w:tcW w:w="417" w:type="pct"/>
                <w:tcBorders>
                  <w:top w:val="single" w:sz="12" w:space="0" w:color="AFAFB4" w:themeColor="accent4"/>
                </w:tcBorders>
                <w:shd w:val="clear" w:color="auto" w:fill="FFFFFF" w:themeFill="background2"/>
                <w:vAlign w:val="center"/>
              </w:tcPr>
              <w:p w14:paraId="64B763AB" w14:textId="77777777" w:rsidR="003F1085" w:rsidRPr="00B80369" w:rsidRDefault="003F1085" w:rsidP="00B80369">
                <w:pPr>
                  <w:spacing w:before="0" w:line="240" w:lineRule="auto"/>
                  <w:jc w:val="center"/>
                  <w:rPr>
                    <w:b/>
                    <w:color w:val="33A1AB" w:themeColor="accent2"/>
                    <w:sz w:val="14"/>
                    <w:szCs w:val="14"/>
                  </w:rPr>
                </w:pPr>
                <w:r w:rsidRPr="00B80369">
                  <w:rPr>
                    <w:b/>
                    <w:color w:val="33A1AB" w:themeColor="accent2"/>
                    <w:sz w:val="14"/>
                    <w:szCs w:val="14"/>
                  </w:rPr>
                  <w:t>4-Y DR</w:t>
                </w:r>
              </w:p>
            </w:tc>
            <w:tc>
              <w:tcPr>
                <w:tcW w:w="417" w:type="pct"/>
                <w:tcBorders>
                  <w:top w:val="single" w:sz="12" w:space="0" w:color="AFAFB4" w:themeColor="accent4"/>
                </w:tcBorders>
                <w:shd w:val="clear" w:color="auto" w:fill="FFFFFF" w:themeFill="background2"/>
                <w:vAlign w:val="center"/>
              </w:tcPr>
              <w:p w14:paraId="6A777DD8" w14:textId="77777777" w:rsidR="003F1085" w:rsidRPr="00B80369" w:rsidRDefault="003F1085" w:rsidP="00B80369">
                <w:pPr>
                  <w:spacing w:before="0" w:line="240" w:lineRule="auto"/>
                  <w:jc w:val="center"/>
                  <w:rPr>
                    <w:b/>
                    <w:color w:val="33A1AB" w:themeColor="accent2"/>
                    <w:sz w:val="14"/>
                    <w:szCs w:val="14"/>
                  </w:rPr>
                </w:pPr>
                <w:r w:rsidRPr="00B80369">
                  <w:rPr>
                    <w:b/>
                    <w:color w:val="33A1AB" w:themeColor="accent2"/>
                    <w:sz w:val="14"/>
                    <w:szCs w:val="14"/>
                  </w:rPr>
                  <w:t>5-Y DR</w:t>
                </w:r>
              </w:p>
            </w:tc>
            <w:tc>
              <w:tcPr>
                <w:tcW w:w="417" w:type="pct"/>
                <w:tcBorders>
                  <w:top w:val="single" w:sz="12" w:space="0" w:color="AFAFB4" w:themeColor="accent4"/>
                </w:tcBorders>
                <w:shd w:val="clear" w:color="auto" w:fill="FFFFFF" w:themeFill="background2"/>
                <w:vAlign w:val="center"/>
              </w:tcPr>
              <w:p w14:paraId="0523C8CD" w14:textId="77777777" w:rsidR="003F1085" w:rsidRPr="00B80369" w:rsidRDefault="003F1085" w:rsidP="00B80369">
                <w:pPr>
                  <w:spacing w:before="0" w:line="240" w:lineRule="auto"/>
                  <w:jc w:val="center"/>
                  <w:rPr>
                    <w:b/>
                    <w:color w:val="33A1AB" w:themeColor="accent2"/>
                    <w:sz w:val="14"/>
                    <w:szCs w:val="14"/>
                  </w:rPr>
                </w:pPr>
                <w:r w:rsidRPr="00B80369">
                  <w:rPr>
                    <w:b/>
                    <w:color w:val="33A1AB" w:themeColor="accent2"/>
                    <w:sz w:val="14"/>
                    <w:szCs w:val="14"/>
                  </w:rPr>
                  <w:t>1-Y DR</w:t>
                </w:r>
              </w:p>
            </w:tc>
            <w:tc>
              <w:tcPr>
                <w:tcW w:w="417" w:type="pct"/>
                <w:tcBorders>
                  <w:top w:val="single" w:sz="12" w:space="0" w:color="AFAFB4" w:themeColor="accent4"/>
                </w:tcBorders>
                <w:shd w:val="clear" w:color="auto" w:fill="FFFFFF" w:themeFill="background2"/>
                <w:vAlign w:val="center"/>
              </w:tcPr>
              <w:p w14:paraId="48DB0137" w14:textId="77777777" w:rsidR="003F1085" w:rsidRPr="00B80369" w:rsidRDefault="003F1085" w:rsidP="00B80369">
                <w:pPr>
                  <w:spacing w:before="0" w:line="240" w:lineRule="auto"/>
                  <w:jc w:val="center"/>
                  <w:rPr>
                    <w:b/>
                    <w:color w:val="33A1AB" w:themeColor="accent2"/>
                    <w:sz w:val="14"/>
                    <w:szCs w:val="14"/>
                  </w:rPr>
                </w:pPr>
                <w:r w:rsidRPr="00B80369">
                  <w:rPr>
                    <w:b/>
                    <w:color w:val="33A1AB" w:themeColor="accent2"/>
                    <w:sz w:val="14"/>
                    <w:szCs w:val="14"/>
                  </w:rPr>
                  <w:t>2-Y DR</w:t>
                </w:r>
              </w:p>
            </w:tc>
            <w:tc>
              <w:tcPr>
                <w:tcW w:w="417" w:type="pct"/>
                <w:tcBorders>
                  <w:top w:val="single" w:sz="12" w:space="0" w:color="AFAFB4" w:themeColor="accent4"/>
                </w:tcBorders>
                <w:shd w:val="clear" w:color="auto" w:fill="FFFFFF" w:themeFill="background2"/>
                <w:vAlign w:val="center"/>
              </w:tcPr>
              <w:p w14:paraId="14CA8349" w14:textId="77777777" w:rsidR="003F1085" w:rsidRPr="00B80369" w:rsidRDefault="003F1085" w:rsidP="00B80369">
                <w:pPr>
                  <w:spacing w:before="0" w:line="240" w:lineRule="auto"/>
                  <w:jc w:val="center"/>
                  <w:rPr>
                    <w:b/>
                    <w:color w:val="33A1AB" w:themeColor="accent2"/>
                    <w:sz w:val="14"/>
                    <w:szCs w:val="14"/>
                  </w:rPr>
                </w:pPr>
                <w:r w:rsidRPr="00B80369">
                  <w:rPr>
                    <w:b/>
                    <w:color w:val="33A1AB" w:themeColor="accent2"/>
                    <w:sz w:val="14"/>
                    <w:szCs w:val="14"/>
                  </w:rPr>
                  <w:t>3-Y DR</w:t>
                </w:r>
              </w:p>
            </w:tc>
            <w:tc>
              <w:tcPr>
                <w:tcW w:w="417" w:type="pct"/>
                <w:tcBorders>
                  <w:top w:val="single" w:sz="12" w:space="0" w:color="AFAFB4" w:themeColor="accent4"/>
                </w:tcBorders>
                <w:shd w:val="clear" w:color="auto" w:fill="FFFFFF" w:themeFill="background2"/>
                <w:vAlign w:val="center"/>
              </w:tcPr>
              <w:p w14:paraId="381B3500" w14:textId="77777777" w:rsidR="003F1085" w:rsidRPr="00B80369" w:rsidRDefault="003F1085" w:rsidP="00B80369">
                <w:pPr>
                  <w:spacing w:before="0" w:line="240" w:lineRule="auto"/>
                  <w:jc w:val="center"/>
                  <w:rPr>
                    <w:b/>
                    <w:color w:val="33A1AB" w:themeColor="accent2"/>
                    <w:sz w:val="14"/>
                    <w:szCs w:val="14"/>
                  </w:rPr>
                </w:pPr>
                <w:r w:rsidRPr="00B80369">
                  <w:rPr>
                    <w:b/>
                    <w:color w:val="33A1AB" w:themeColor="accent2"/>
                    <w:sz w:val="14"/>
                    <w:szCs w:val="14"/>
                  </w:rPr>
                  <w:t>4-Y DR</w:t>
                </w:r>
              </w:p>
            </w:tc>
            <w:tc>
              <w:tcPr>
                <w:tcW w:w="413" w:type="pct"/>
                <w:tcBorders>
                  <w:top w:val="single" w:sz="12" w:space="0" w:color="AFAFB4" w:themeColor="accent4"/>
                </w:tcBorders>
                <w:shd w:val="clear" w:color="auto" w:fill="FFFFFF" w:themeFill="background2"/>
                <w:vAlign w:val="center"/>
              </w:tcPr>
              <w:p w14:paraId="06CD24A9" w14:textId="77777777" w:rsidR="003F1085" w:rsidRPr="00B80369" w:rsidRDefault="003F1085" w:rsidP="00B80369">
                <w:pPr>
                  <w:spacing w:before="0" w:line="240" w:lineRule="auto"/>
                  <w:jc w:val="center"/>
                  <w:rPr>
                    <w:b/>
                    <w:color w:val="33A1AB" w:themeColor="accent2"/>
                    <w:sz w:val="14"/>
                    <w:szCs w:val="14"/>
                  </w:rPr>
                </w:pPr>
                <w:r w:rsidRPr="00B80369">
                  <w:rPr>
                    <w:b/>
                    <w:color w:val="33A1AB" w:themeColor="accent2"/>
                    <w:sz w:val="14"/>
                    <w:szCs w:val="14"/>
                  </w:rPr>
                  <w:t>5-Y DR</w:t>
                </w:r>
              </w:p>
            </w:tc>
          </w:tr>
          <w:tr w:rsidR="003F1085" w:rsidRPr="00B80369" w14:paraId="51EED51D"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41208A5C" w14:textId="77777777" w:rsidR="003F1085" w:rsidRPr="00B80369" w:rsidRDefault="003F1085"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A1.1</w:t>
                </w:r>
              </w:p>
            </w:tc>
            <w:tc>
              <w:tcPr>
                <w:tcW w:w="491" w:type="pct"/>
                <w:shd w:val="clear" w:color="auto" w:fill="FFFFFF" w:themeFill="background2"/>
                <w:tcMar>
                  <w:top w:w="60" w:type="dxa"/>
                  <w:left w:w="114" w:type="dxa"/>
                  <w:bottom w:w="60" w:type="dxa"/>
                  <w:right w:w="114" w:type="dxa"/>
                </w:tcMar>
                <w:vAlign w:val="center"/>
              </w:tcPr>
              <w:p w14:paraId="1868C45D" w14:textId="700D41E5"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8</w:t>
                </w:r>
              </w:p>
            </w:tc>
            <w:tc>
              <w:tcPr>
                <w:tcW w:w="417" w:type="pct"/>
                <w:shd w:val="clear" w:color="auto" w:fill="FFFFFF" w:themeFill="background2"/>
                <w:tcMar>
                  <w:top w:w="60" w:type="dxa"/>
                  <w:left w:w="114" w:type="dxa"/>
                  <w:bottom w:w="60" w:type="dxa"/>
                  <w:right w:w="114" w:type="dxa"/>
                </w:tcMar>
                <w:vAlign w:val="center"/>
              </w:tcPr>
              <w:p w14:paraId="0641EE91" w14:textId="3FF755A2"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2A69EECB" w14:textId="389E91BE"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3CFAAB7A" w14:textId="4BE76120"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779136F7" w14:textId="5B3F0A87"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18F6A528" w14:textId="065ED302"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492ABA16" w14:textId="4A9B37FD"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0731AD92" w14:textId="37E935BC"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17DC69C5" w14:textId="2E270F3B"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7DD27916" w14:textId="6D5B6A57"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3" w:type="pct"/>
                <w:shd w:val="clear" w:color="auto" w:fill="FFFFFF" w:themeFill="background2"/>
                <w:vAlign w:val="center"/>
              </w:tcPr>
              <w:p w14:paraId="0E7C4EFC" w14:textId="410515B0"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r>
          <w:tr w:rsidR="003F1085" w:rsidRPr="00B80369" w14:paraId="38F56298"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5272A2E2" w14:textId="77777777" w:rsidR="003F1085" w:rsidRPr="00B80369" w:rsidRDefault="003F1085"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A1.2</w:t>
                </w:r>
              </w:p>
            </w:tc>
            <w:tc>
              <w:tcPr>
                <w:tcW w:w="491" w:type="pct"/>
                <w:shd w:val="clear" w:color="auto" w:fill="FFFFFF" w:themeFill="background2"/>
                <w:tcMar>
                  <w:top w:w="60" w:type="dxa"/>
                  <w:left w:w="114" w:type="dxa"/>
                  <w:bottom w:w="60" w:type="dxa"/>
                  <w:right w:w="114" w:type="dxa"/>
                </w:tcMar>
                <w:vAlign w:val="center"/>
              </w:tcPr>
              <w:p w14:paraId="12DFA0C8" w14:textId="48EA7B2D"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46</w:t>
                </w:r>
              </w:p>
            </w:tc>
            <w:tc>
              <w:tcPr>
                <w:tcW w:w="417" w:type="pct"/>
                <w:shd w:val="clear" w:color="auto" w:fill="FFFFFF" w:themeFill="background2"/>
                <w:tcMar>
                  <w:top w:w="60" w:type="dxa"/>
                  <w:left w:w="114" w:type="dxa"/>
                  <w:bottom w:w="60" w:type="dxa"/>
                  <w:right w:w="114" w:type="dxa"/>
                </w:tcMar>
                <w:vAlign w:val="center"/>
              </w:tcPr>
              <w:p w14:paraId="2827C29E" w14:textId="7E12F26E"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1861F673" w14:textId="5CBB2B01"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01386576" w14:textId="707B744F"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6B98FE83" w14:textId="227D3942"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6768CC98" w14:textId="5EDB4501"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3A7DC2E7" w14:textId="36630CFB"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05AAF00A" w14:textId="431A6E6D"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09C75420" w14:textId="10A4D479"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3EF314B6" w14:textId="76B7EAAD"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3" w:type="pct"/>
                <w:shd w:val="clear" w:color="auto" w:fill="FFFFFF" w:themeFill="background2"/>
                <w:vAlign w:val="center"/>
              </w:tcPr>
              <w:p w14:paraId="0E6E4FBB" w14:textId="50002022"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r>
          <w:tr w:rsidR="003F1085" w:rsidRPr="00B80369" w14:paraId="55D720E4"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38D43AC2" w14:textId="77777777" w:rsidR="003F1085" w:rsidRPr="00B80369" w:rsidRDefault="003F1085"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A1.3</w:t>
                </w:r>
              </w:p>
            </w:tc>
            <w:tc>
              <w:tcPr>
                <w:tcW w:w="491" w:type="pct"/>
                <w:shd w:val="clear" w:color="auto" w:fill="FFFFFF" w:themeFill="background2"/>
                <w:tcMar>
                  <w:top w:w="60" w:type="dxa"/>
                  <w:left w:w="114" w:type="dxa"/>
                  <w:bottom w:w="60" w:type="dxa"/>
                  <w:right w:w="114" w:type="dxa"/>
                </w:tcMar>
                <w:vAlign w:val="center"/>
              </w:tcPr>
              <w:p w14:paraId="40DF00A3" w14:textId="2FDD8B86"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87</w:t>
                </w:r>
              </w:p>
            </w:tc>
            <w:tc>
              <w:tcPr>
                <w:tcW w:w="417" w:type="pct"/>
                <w:shd w:val="clear" w:color="auto" w:fill="FFFFFF" w:themeFill="background2"/>
                <w:tcMar>
                  <w:top w:w="60" w:type="dxa"/>
                  <w:left w:w="114" w:type="dxa"/>
                  <w:bottom w:w="60" w:type="dxa"/>
                  <w:right w:w="114" w:type="dxa"/>
                </w:tcMar>
                <w:vAlign w:val="center"/>
              </w:tcPr>
              <w:p w14:paraId="46285717" w14:textId="30CEB214"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14A1DA16" w14:textId="02BF7FDD"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20383178" w14:textId="147C514A"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26CE9A44" w14:textId="48EC458E"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5F00FC17" w14:textId="356A5233"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43D3F2F2" w14:textId="1570DBEC"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351BF9AB" w14:textId="2DEB404B"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0D45E11A" w14:textId="01D0DCF0"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4CD95CF7" w14:textId="75C9C857"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3" w:type="pct"/>
                <w:shd w:val="clear" w:color="auto" w:fill="FFFFFF" w:themeFill="background2"/>
                <w:vAlign w:val="center"/>
              </w:tcPr>
              <w:p w14:paraId="49D04440" w14:textId="78CE94D4"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r>
          <w:tr w:rsidR="003F1085" w:rsidRPr="00B80369" w14:paraId="4602BB84"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3915BC45" w14:textId="77777777" w:rsidR="003F1085" w:rsidRPr="00B80369" w:rsidRDefault="003F1085"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A2.1</w:t>
                </w:r>
              </w:p>
            </w:tc>
            <w:tc>
              <w:tcPr>
                <w:tcW w:w="491" w:type="pct"/>
                <w:shd w:val="clear" w:color="auto" w:fill="FFFFFF" w:themeFill="background2"/>
                <w:tcMar>
                  <w:top w:w="60" w:type="dxa"/>
                  <w:left w:w="114" w:type="dxa"/>
                  <w:bottom w:w="60" w:type="dxa"/>
                  <w:right w:w="114" w:type="dxa"/>
                </w:tcMar>
                <w:vAlign w:val="center"/>
              </w:tcPr>
              <w:p w14:paraId="11E47D0F" w14:textId="2830809A"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204</w:t>
                </w:r>
              </w:p>
            </w:tc>
            <w:tc>
              <w:tcPr>
                <w:tcW w:w="417" w:type="pct"/>
                <w:shd w:val="clear" w:color="auto" w:fill="FFFFFF" w:themeFill="background2"/>
                <w:tcMar>
                  <w:top w:w="60" w:type="dxa"/>
                  <w:left w:w="114" w:type="dxa"/>
                  <w:bottom w:w="60" w:type="dxa"/>
                  <w:right w:w="114" w:type="dxa"/>
                </w:tcMar>
                <w:vAlign w:val="center"/>
              </w:tcPr>
              <w:p w14:paraId="059E61B3" w14:textId="2865106B"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2816BAD0" w14:textId="7FE91DFA"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0B098C8A" w14:textId="27D39D07"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08614ED9" w14:textId="215B7FC9"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w:t>
                </w:r>
              </w:p>
            </w:tc>
            <w:tc>
              <w:tcPr>
                <w:tcW w:w="417" w:type="pct"/>
                <w:shd w:val="clear" w:color="auto" w:fill="FFFFFF" w:themeFill="background2"/>
                <w:vAlign w:val="center"/>
              </w:tcPr>
              <w:p w14:paraId="181A7D9A" w14:textId="569E7656"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w:t>
                </w:r>
              </w:p>
            </w:tc>
            <w:tc>
              <w:tcPr>
                <w:tcW w:w="417" w:type="pct"/>
                <w:shd w:val="clear" w:color="auto" w:fill="FFFFFF" w:themeFill="background2"/>
                <w:vAlign w:val="center"/>
              </w:tcPr>
              <w:p w14:paraId="4B513B36" w14:textId="52FF9843"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06595E4A" w14:textId="1CAD3333"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2D82DDED" w14:textId="65DFFE23"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1088AAE9" w14:textId="00EAD9C2"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0.49%</w:t>
                </w:r>
              </w:p>
            </w:tc>
            <w:tc>
              <w:tcPr>
                <w:tcW w:w="413" w:type="pct"/>
                <w:shd w:val="clear" w:color="auto" w:fill="FFFFFF" w:themeFill="background2"/>
                <w:vAlign w:val="center"/>
              </w:tcPr>
              <w:p w14:paraId="66117001" w14:textId="2D43DF2E"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0.98%</w:t>
                </w:r>
              </w:p>
            </w:tc>
          </w:tr>
          <w:tr w:rsidR="003F1085" w:rsidRPr="00B80369" w14:paraId="509086A4"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71E09908" w14:textId="77777777" w:rsidR="003F1085" w:rsidRPr="00B80369" w:rsidRDefault="003F1085"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A2.2</w:t>
                </w:r>
              </w:p>
            </w:tc>
            <w:tc>
              <w:tcPr>
                <w:tcW w:w="491" w:type="pct"/>
                <w:shd w:val="clear" w:color="auto" w:fill="FFFFFF" w:themeFill="background2"/>
                <w:tcMar>
                  <w:top w:w="60" w:type="dxa"/>
                  <w:left w:w="114" w:type="dxa"/>
                  <w:bottom w:w="60" w:type="dxa"/>
                  <w:right w:w="114" w:type="dxa"/>
                </w:tcMar>
                <w:vAlign w:val="center"/>
              </w:tcPr>
              <w:p w14:paraId="505BBF31" w14:textId="62785D8B"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1,200</w:t>
                </w:r>
              </w:p>
            </w:tc>
            <w:tc>
              <w:tcPr>
                <w:tcW w:w="417" w:type="pct"/>
                <w:shd w:val="clear" w:color="auto" w:fill="FFFFFF" w:themeFill="background2"/>
                <w:tcMar>
                  <w:top w:w="60" w:type="dxa"/>
                  <w:left w:w="114" w:type="dxa"/>
                  <w:bottom w:w="60" w:type="dxa"/>
                  <w:right w:w="114" w:type="dxa"/>
                </w:tcMar>
                <w:vAlign w:val="center"/>
              </w:tcPr>
              <w:p w14:paraId="6AC29B3B" w14:textId="0B8C93C8"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46CA1DDF" w14:textId="56376E91"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w:t>
                </w:r>
              </w:p>
            </w:tc>
            <w:tc>
              <w:tcPr>
                <w:tcW w:w="417" w:type="pct"/>
                <w:shd w:val="clear" w:color="auto" w:fill="FFFFFF" w:themeFill="background2"/>
                <w:vAlign w:val="center"/>
              </w:tcPr>
              <w:p w14:paraId="52E8BC04" w14:textId="48161F1E"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w:t>
                </w:r>
              </w:p>
            </w:tc>
            <w:tc>
              <w:tcPr>
                <w:tcW w:w="417" w:type="pct"/>
                <w:shd w:val="clear" w:color="auto" w:fill="FFFFFF" w:themeFill="background2"/>
                <w:vAlign w:val="center"/>
              </w:tcPr>
              <w:p w14:paraId="4581D4A6" w14:textId="12239AB5"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w:t>
                </w:r>
              </w:p>
            </w:tc>
            <w:tc>
              <w:tcPr>
                <w:tcW w:w="417" w:type="pct"/>
                <w:shd w:val="clear" w:color="auto" w:fill="FFFFFF" w:themeFill="background2"/>
                <w:vAlign w:val="center"/>
              </w:tcPr>
              <w:p w14:paraId="20C7AD10" w14:textId="4F2912BC"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w:t>
                </w:r>
              </w:p>
            </w:tc>
            <w:tc>
              <w:tcPr>
                <w:tcW w:w="417" w:type="pct"/>
                <w:shd w:val="clear" w:color="auto" w:fill="FFFFFF" w:themeFill="background2"/>
                <w:vAlign w:val="center"/>
              </w:tcPr>
              <w:p w14:paraId="2747009A" w14:textId="76A2E92E"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69EED9DA" w14:textId="2424D650"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0.08%</w:t>
                </w:r>
              </w:p>
            </w:tc>
            <w:tc>
              <w:tcPr>
                <w:tcW w:w="417" w:type="pct"/>
                <w:shd w:val="clear" w:color="auto" w:fill="FFFFFF" w:themeFill="background2"/>
                <w:vAlign w:val="center"/>
              </w:tcPr>
              <w:p w14:paraId="0B286C18" w14:textId="5EFA5E10"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0.17%</w:t>
                </w:r>
              </w:p>
            </w:tc>
            <w:tc>
              <w:tcPr>
                <w:tcW w:w="417" w:type="pct"/>
                <w:shd w:val="clear" w:color="auto" w:fill="FFFFFF" w:themeFill="background2"/>
                <w:vAlign w:val="center"/>
              </w:tcPr>
              <w:p w14:paraId="28C79DC7" w14:textId="42FA3BB0"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0.25%</w:t>
                </w:r>
              </w:p>
            </w:tc>
            <w:tc>
              <w:tcPr>
                <w:tcW w:w="413" w:type="pct"/>
                <w:shd w:val="clear" w:color="auto" w:fill="FFFFFF" w:themeFill="background2"/>
                <w:vAlign w:val="center"/>
              </w:tcPr>
              <w:p w14:paraId="0CFC9298" w14:textId="244C4771"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0.50%</w:t>
                </w:r>
              </w:p>
            </w:tc>
          </w:tr>
          <w:tr w:rsidR="003F1085" w:rsidRPr="00B80369" w14:paraId="30707F04"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538A2EF9" w14:textId="77777777" w:rsidR="003F1085" w:rsidRPr="00B80369" w:rsidRDefault="003F1085"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A3.1</w:t>
                </w:r>
              </w:p>
            </w:tc>
            <w:tc>
              <w:tcPr>
                <w:tcW w:w="491" w:type="pct"/>
                <w:shd w:val="clear" w:color="auto" w:fill="FFFFFF" w:themeFill="background2"/>
                <w:tcMar>
                  <w:top w:w="60" w:type="dxa"/>
                  <w:left w:w="114" w:type="dxa"/>
                  <w:bottom w:w="60" w:type="dxa"/>
                  <w:right w:w="114" w:type="dxa"/>
                </w:tcMar>
                <w:vAlign w:val="center"/>
              </w:tcPr>
              <w:p w14:paraId="7738E7C9" w14:textId="258FF696"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3,771</w:t>
                </w:r>
              </w:p>
            </w:tc>
            <w:tc>
              <w:tcPr>
                <w:tcW w:w="417" w:type="pct"/>
                <w:shd w:val="clear" w:color="auto" w:fill="FFFFFF" w:themeFill="background2"/>
                <w:tcMar>
                  <w:top w:w="60" w:type="dxa"/>
                  <w:left w:w="114" w:type="dxa"/>
                  <w:bottom w:w="60" w:type="dxa"/>
                  <w:right w:w="114" w:type="dxa"/>
                </w:tcMar>
                <w:vAlign w:val="center"/>
              </w:tcPr>
              <w:p w14:paraId="5D210859" w14:textId="02B77EF7"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w:t>
                </w:r>
              </w:p>
            </w:tc>
            <w:tc>
              <w:tcPr>
                <w:tcW w:w="417" w:type="pct"/>
                <w:shd w:val="clear" w:color="auto" w:fill="FFFFFF" w:themeFill="background2"/>
                <w:vAlign w:val="center"/>
              </w:tcPr>
              <w:p w14:paraId="574A21C3" w14:textId="78C8130A"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21</w:t>
                </w:r>
              </w:p>
            </w:tc>
            <w:tc>
              <w:tcPr>
                <w:tcW w:w="417" w:type="pct"/>
                <w:shd w:val="clear" w:color="auto" w:fill="FFFFFF" w:themeFill="background2"/>
                <w:vAlign w:val="center"/>
              </w:tcPr>
              <w:p w14:paraId="51FE111A" w14:textId="4B8352DB"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34</w:t>
                </w:r>
              </w:p>
            </w:tc>
            <w:tc>
              <w:tcPr>
                <w:tcW w:w="417" w:type="pct"/>
                <w:shd w:val="clear" w:color="auto" w:fill="FFFFFF" w:themeFill="background2"/>
                <w:vAlign w:val="center"/>
              </w:tcPr>
              <w:p w14:paraId="1AE2F56E" w14:textId="2D11035C"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46</w:t>
                </w:r>
              </w:p>
            </w:tc>
            <w:tc>
              <w:tcPr>
                <w:tcW w:w="417" w:type="pct"/>
                <w:shd w:val="clear" w:color="auto" w:fill="FFFFFF" w:themeFill="background2"/>
                <w:vAlign w:val="center"/>
              </w:tcPr>
              <w:p w14:paraId="0FEE2E6B" w14:textId="12A8BAA2"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60</w:t>
                </w:r>
              </w:p>
            </w:tc>
            <w:tc>
              <w:tcPr>
                <w:tcW w:w="417" w:type="pct"/>
                <w:shd w:val="clear" w:color="auto" w:fill="FFFFFF" w:themeFill="background2"/>
                <w:vAlign w:val="center"/>
              </w:tcPr>
              <w:p w14:paraId="3F776DDA" w14:textId="72B82C74"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0.16%</w:t>
                </w:r>
              </w:p>
            </w:tc>
            <w:tc>
              <w:tcPr>
                <w:tcW w:w="417" w:type="pct"/>
                <w:shd w:val="clear" w:color="auto" w:fill="FFFFFF" w:themeFill="background2"/>
                <w:vAlign w:val="center"/>
              </w:tcPr>
              <w:p w14:paraId="63BE19C3" w14:textId="54FA3C68"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0.56%</w:t>
                </w:r>
              </w:p>
            </w:tc>
            <w:tc>
              <w:tcPr>
                <w:tcW w:w="417" w:type="pct"/>
                <w:shd w:val="clear" w:color="auto" w:fill="FFFFFF" w:themeFill="background2"/>
                <w:vAlign w:val="center"/>
              </w:tcPr>
              <w:p w14:paraId="0EEF3851" w14:textId="69C61CC4"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0.90%</w:t>
                </w:r>
              </w:p>
            </w:tc>
            <w:tc>
              <w:tcPr>
                <w:tcW w:w="417" w:type="pct"/>
                <w:shd w:val="clear" w:color="auto" w:fill="FFFFFF" w:themeFill="background2"/>
                <w:vAlign w:val="center"/>
              </w:tcPr>
              <w:p w14:paraId="0A50332D" w14:textId="72F8F2CF"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1.22%</w:t>
                </w:r>
              </w:p>
            </w:tc>
            <w:tc>
              <w:tcPr>
                <w:tcW w:w="413" w:type="pct"/>
                <w:shd w:val="clear" w:color="auto" w:fill="FFFFFF" w:themeFill="background2"/>
                <w:vAlign w:val="center"/>
              </w:tcPr>
              <w:p w14:paraId="41C7FE38" w14:textId="20069F08"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1.59%</w:t>
                </w:r>
              </w:p>
            </w:tc>
          </w:tr>
          <w:tr w:rsidR="003F1085" w:rsidRPr="00B80369" w14:paraId="27B438BF"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66C579AB" w14:textId="77777777" w:rsidR="003F1085" w:rsidRPr="00B80369" w:rsidRDefault="003F1085"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B1.1</w:t>
                </w:r>
              </w:p>
            </w:tc>
            <w:tc>
              <w:tcPr>
                <w:tcW w:w="491" w:type="pct"/>
                <w:shd w:val="clear" w:color="auto" w:fill="FFFFFF" w:themeFill="background2"/>
                <w:tcMar>
                  <w:top w:w="60" w:type="dxa"/>
                  <w:left w:w="114" w:type="dxa"/>
                  <w:bottom w:w="60" w:type="dxa"/>
                  <w:right w:w="114" w:type="dxa"/>
                </w:tcMar>
                <w:vAlign w:val="center"/>
              </w:tcPr>
              <w:p w14:paraId="40D97E52" w14:textId="29FE7979"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5,709</w:t>
                </w:r>
              </w:p>
            </w:tc>
            <w:tc>
              <w:tcPr>
                <w:tcW w:w="417" w:type="pct"/>
                <w:shd w:val="clear" w:color="auto" w:fill="FFFFFF" w:themeFill="background2"/>
                <w:tcMar>
                  <w:top w:w="60" w:type="dxa"/>
                  <w:left w:w="114" w:type="dxa"/>
                  <w:bottom w:w="60" w:type="dxa"/>
                  <w:right w:w="114" w:type="dxa"/>
                </w:tcMar>
                <w:vAlign w:val="center"/>
              </w:tcPr>
              <w:p w14:paraId="72CFEA86" w14:textId="2A191E97"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14</w:t>
                </w:r>
              </w:p>
            </w:tc>
            <w:tc>
              <w:tcPr>
                <w:tcW w:w="417" w:type="pct"/>
                <w:shd w:val="clear" w:color="auto" w:fill="FFFFFF" w:themeFill="background2"/>
                <w:vAlign w:val="center"/>
              </w:tcPr>
              <w:p w14:paraId="2D65159C" w14:textId="33679C78"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69</w:t>
                </w:r>
              </w:p>
            </w:tc>
            <w:tc>
              <w:tcPr>
                <w:tcW w:w="417" w:type="pct"/>
                <w:shd w:val="clear" w:color="auto" w:fill="FFFFFF" w:themeFill="background2"/>
                <w:vAlign w:val="center"/>
              </w:tcPr>
              <w:p w14:paraId="19FAD020" w14:textId="478E2FD5"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129</w:t>
                </w:r>
              </w:p>
            </w:tc>
            <w:tc>
              <w:tcPr>
                <w:tcW w:w="417" w:type="pct"/>
                <w:shd w:val="clear" w:color="auto" w:fill="FFFFFF" w:themeFill="background2"/>
                <w:vAlign w:val="center"/>
              </w:tcPr>
              <w:p w14:paraId="460F15EB" w14:textId="580C4C98"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178</w:t>
                </w:r>
              </w:p>
            </w:tc>
            <w:tc>
              <w:tcPr>
                <w:tcW w:w="417" w:type="pct"/>
                <w:shd w:val="clear" w:color="auto" w:fill="FFFFFF" w:themeFill="background2"/>
                <w:vAlign w:val="center"/>
              </w:tcPr>
              <w:p w14:paraId="4BC8BE59" w14:textId="298DA6ED"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224</w:t>
                </w:r>
              </w:p>
            </w:tc>
            <w:tc>
              <w:tcPr>
                <w:tcW w:w="417" w:type="pct"/>
                <w:shd w:val="clear" w:color="auto" w:fill="FFFFFF" w:themeFill="background2"/>
                <w:vAlign w:val="center"/>
              </w:tcPr>
              <w:p w14:paraId="6F3B3E56" w14:textId="352E00B1"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0.25%</w:t>
                </w:r>
              </w:p>
            </w:tc>
            <w:tc>
              <w:tcPr>
                <w:tcW w:w="417" w:type="pct"/>
                <w:shd w:val="clear" w:color="auto" w:fill="FFFFFF" w:themeFill="background2"/>
                <w:vAlign w:val="center"/>
              </w:tcPr>
              <w:p w14:paraId="4ED3598F" w14:textId="0584F05C"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1.21%</w:t>
                </w:r>
              </w:p>
            </w:tc>
            <w:tc>
              <w:tcPr>
                <w:tcW w:w="417" w:type="pct"/>
                <w:shd w:val="clear" w:color="auto" w:fill="FFFFFF" w:themeFill="background2"/>
                <w:vAlign w:val="center"/>
              </w:tcPr>
              <w:p w14:paraId="1D1FA795" w14:textId="6E423427"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2.26%</w:t>
                </w:r>
              </w:p>
            </w:tc>
            <w:tc>
              <w:tcPr>
                <w:tcW w:w="417" w:type="pct"/>
                <w:shd w:val="clear" w:color="auto" w:fill="FFFFFF" w:themeFill="background2"/>
                <w:vAlign w:val="center"/>
              </w:tcPr>
              <w:p w14:paraId="626CB06E" w14:textId="7A48A6EE"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3.12%</w:t>
                </w:r>
              </w:p>
            </w:tc>
            <w:tc>
              <w:tcPr>
                <w:tcW w:w="413" w:type="pct"/>
                <w:shd w:val="clear" w:color="auto" w:fill="FFFFFF" w:themeFill="background2"/>
                <w:vAlign w:val="center"/>
              </w:tcPr>
              <w:p w14:paraId="7EB959BA" w14:textId="32EDB76C"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3.92%</w:t>
                </w:r>
              </w:p>
            </w:tc>
          </w:tr>
          <w:tr w:rsidR="003F1085" w:rsidRPr="00B80369" w14:paraId="3CA6EE9B"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47F1BABF" w14:textId="77777777" w:rsidR="003F1085" w:rsidRPr="00B80369" w:rsidRDefault="003F1085"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B1.2</w:t>
                </w:r>
              </w:p>
            </w:tc>
            <w:tc>
              <w:tcPr>
                <w:tcW w:w="491" w:type="pct"/>
                <w:shd w:val="clear" w:color="auto" w:fill="FFFFFF" w:themeFill="background2"/>
                <w:tcMar>
                  <w:top w:w="60" w:type="dxa"/>
                  <w:left w:w="114" w:type="dxa"/>
                  <w:bottom w:w="60" w:type="dxa"/>
                  <w:right w:w="114" w:type="dxa"/>
                </w:tcMar>
                <w:vAlign w:val="center"/>
              </w:tcPr>
              <w:p w14:paraId="1F96168B" w14:textId="480B1196"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5,737</w:t>
                </w:r>
              </w:p>
            </w:tc>
            <w:tc>
              <w:tcPr>
                <w:tcW w:w="417" w:type="pct"/>
                <w:shd w:val="clear" w:color="auto" w:fill="FFFFFF" w:themeFill="background2"/>
                <w:tcMar>
                  <w:top w:w="60" w:type="dxa"/>
                  <w:left w:w="114" w:type="dxa"/>
                  <w:bottom w:w="60" w:type="dxa"/>
                  <w:right w:w="114" w:type="dxa"/>
                </w:tcMar>
                <w:vAlign w:val="center"/>
              </w:tcPr>
              <w:p w14:paraId="5BEB8E36" w14:textId="1F5F9A2B"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67</w:t>
                </w:r>
              </w:p>
            </w:tc>
            <w:tc>
              <w:tcPr>
                <w:tcW w:w="417" w:type="pct"/>
                <w:shd w:val="clear" w:color="auto" w:fill="FFFFFF" w:themeFill="background2"/>
                <w:vAlign w:val="center"/>
              </w:tcPr>
              <w:p w14:paraId="76BBA4E6" w14:textId="6602A337"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182</w:t>
                </w:r>
              </w:p>
            </w:tc>
            <w:tc>
              <w:tcPr>
                <w:tcW w:w="417" w:type="pct"/>
                <w:shd w:val="clear" w:color="auto" w:fill="FFFFFF" w:themeFill="background2"/>
                <w:vAlign w:val="center"/>
              </w:tcPr>
              <w:p w14:paraId="17B2125A" w14:textId="3FD2E479"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277</w:t>
                </w:r>
              </w:p>
            </w:tc>
            <w:tc>
              <w:tcPr>
                <w:tcW w:w="417" w:type="pct"/>
                <w:shd w:val="clear" w:color="auto" w:fill="FFFFFF" w:themeFill="background2"/>
                <w:vAlign w:val="center"/>
              </w:tcPr>
              <w:p w14:paraId="2576D7D8" w14:textId="7724F2F9"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374</w:t>
                </w:r>
              </w:p>
            </w:tc>
            <w:tc>
              <w:tcPr>
                <w:tcW w:w="417" w:type="pct"/>
                <w:shd w:val="clear" w:color="auto" w:fill="FFFFFF" w:themeFill="background2"/>
                <w:vAlign w:val="center"/>
              </w:tcPr>
              <w:p w14:paraId="5B434871" w14:textId="518F5E75"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449</w:t>
                </w:r>
              </w:p>
            </w:tc>
            <w:tc>
              <w:tcPr>
                <w:tcW w:w="417" w:type="pct"/>
                <w:shd w:val="clear" w:color="auto" w:fill="FFFFFF" w:themeFill="background2"/>
                <w:vAlign w:val="center"/>
              </w:tcPr>
              <w:p w14:paraId="3F3F0220" w14:textId="7AA69526"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1.17%</w:t>
                </w:r>
              </w:p>
            </w:tc>
            <w:tc>
              <w:tcPr>
                <w:tcW w:w="417" w:type="pct"/>
                <w:shd w:val="clear" w:color="auto" w:fill="FFFFFF" w:themeFill="background2"/>
                <w:vAlign w:val="center"/>
              </w:tcPr>
              <w:p w14:paraId="6F414EC1" w14:textId="2877C346"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3.17%</w:t>
                </w:r>
              </w:p>
            </w:tc>
            <w:tc>
              <w:tcPr>
                <w:tcW w:w="417" w:type="pct"/>
                <w:shd w:val="clear" w:color="auto" w:fill="FFFFFF" w:themeFill="background2"/>
                <w:vAlign w:val="center"/>
              </w:tcPr>
              <w:p w14:paraId="377726BE" w14:textId="16588BCE"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4.83%</w:t>
                </w:r>
              </w:p>
            </w:tc>
            <w:tc>
              <w:tcPr>
                <w:tcW w:w="417" w:type="pct"/>
                <w:shd w:val="clear" w:color="auto" w:fill="FFFFFF" w:themeFill="background2"/>
                <w:vAlign w:val="center"/>
              </w:tcPr>
              <w:p w14:paraId="71161EC3" w14:textId="0FCE6679"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6.52%</w:t>
                </w:r>
              </w:p>
            </w:tc>
            <w:tc>
              <w:tcPr>
                <w:tcW w:w="413" w:type="pct"/>
                <w:shd w:val="clear" w:color="auto" w:fill="FFFFFF" w:themeFill="background2"/>
                <w:vAlign w:val="center"/>
              </w:tcPr>
              <w:p w14:paraId="78A71393" w14:textId="6CBE1155"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7.83%</w:t>
                </w:r>
              </w:p>
            </w:tc>
          </w:tr>
          <w:tr w:rsidR="003F1085" w:rsidRPr="00B80369" w14:paraId="241F0113"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6B1C820E" w14:textId="77777777" w:rsidR="003F1085" w:rsidRPr="00B80369" w:rsidRDefault="003F1085"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B2.1</w:t>
                </w:r>
              </w:p>
            </w:tc>
            <w:tc>
              <w:tcPr>
                <w:tcW w:w="491" w:type="pct"/>
                <w:shd w:val="clear" w:color="auto" w:fill="FFFFFF" w:themeFill="background2"/>
                <w:tcMar>
                  <w:top w:w="60" w:type="dxa"/>
                  <w:left w:w="114" w:type="dxa"/>
                  <w:bottom w:w="60" w:type="dxa"/>
                  <w:right w:w="114" w:type="dxa"/>
                </w:tcMar>
                <w:vAlign w:val="center"/>
              </w:tcPr>
              <w:p w14:paraId="3FB63372" w14:textId="23F5EAC8"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5,747</w:t>
                </w:r>
              </w:p>
            </w:tc>
            <w:tc>
              <w:tcPr>
                <w:tcW w:w="417" w:type="pct"/>
                <w:shd w:val="clear" w:color="auto" w:fill="FFFFFF" w:themeFill="background2"/>
                <w:tcMar>
                  <w:top w:w="60" w:type="dxa"/>
                  <w:left w:w="114" w:type="dxa"/>
                  <w:bottom w:w="60" w:type="dxa"/>
                  <w:right w:w="114" w:type="dxa"/>
                </w:tcMar>
                <w:vAlign w:val="center"/>
              </w:tcPr>
              <w:p w14:paraId="4BE066AB" w14:textId="301EF272"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113</w:t>
                </w:r>
              </w:p>
            </w:tc>
            <w:tc>
              <w:tcPr>
                <w:tcW w:w="417" w:type="pct"/>
                <w:shd w:val="clear" w:color="auto" w:fill="FFFFFF" w:themeFill="background2"/>
                <w:vAlign w:val="center"/>
              </w:tcPr>
              <w:p w14:paraId="7ACF882E" w14:textId="13BA178F"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281</w:t>
                </w:r>
              </w:p>
            </w:tc>
            <w:tc>
              <w:tcPr>
                <w:tcW w:w="417" w:type="pct"/>
                <w:shd w:val="clear" w:color="auto" w:fill="FFFFFF" w:themeFill="background2"/>
                <w:vAlign w:val="center"/>
              </w:tcPr>
              <w:p w14:paraId="06A859A8" w14:textId="107793A9"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430</w:t>
                </w:r>
              </w:p>
            </w:tc>
            <w:tc>
              <w:tcPr>
                <w:tcW w:w="417" w:type="pct"/>
                <w:shd w:val="clear" w:color="auto" w:fill="FFFFFF" w:themeFill="background2"/>
                <w:vAlign w:val="center"/>
              </w:tcPr>
              <w:p w14:paraId="038428C6" w14:textId="0114E120"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571</w:t>
                </w:r>
              </w:p>
            </w:tc>
            <w:tc>
              <w:tcPr>
                <w:tcW w:w="417" w:type="pct"/>
                <w:shd w:val="clear" w:color="auto" w:fill="FFFFFF" w:themeFill="background2"/>
                <w:vAlign w:val="center"/>
              </w:tcPr>
              <w:p w14:paraId="001CE3E3" w14:textId="2B406933"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691</w:t>
                </w:r>
              </w:p>
            </w:tc>
            <w:tc>
              <w:tcPr>
                <w:tcW w:w="417" w:type="pct"/>
                <w:shd w:val="clear" w:color="auto" w:fill="FFFFFF" w:themeFill="background2"/>
                <w:vAlign w:val="center"/>
              </w:tcPr>
              <w:p w14:paraId="6F5F3887" w14:textId="52883ABA"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1.97%</w:t>
                </w:r>
              </w:p>
            </w:tc>
            <w:tc>
              <w:tcPr>
                <w:tcW w:w="417" w:type="pct"/>
                <w:shd w:val="clear" w:color="auto" w:fill="FFFFFF" w:themeFill="background2"/>
                <w:vAlign w:val="center"/>
              </w:tcPr>
              <w:p w14:paraId="330894AC" w14:textId="29E8EF89" w:rsidR="003F1085" w:rsidRPr="00B80369" w:rsidRDefault="003F1085"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4.89%</w:t>
                </w:r>
              </w:p>
            </w:tc>
            <w:tc>
              <w:tcPr>
                <w:tcW w:w="417" w:type="pct"/>
                <w:shd w:val="clear" w:color="auto" w:fill="FFFFFF" w:themeFill="background2"/>
                <w:vAlign w:val="center"/>
              </w:tcPr>
              <w:p w14:paraId="6B3C557C" w14:textId="17A8A865" w:rsidR="003F1085" w:rsidRPr="00B80369" w:rsidRDefault="003F1085"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7.48%</w:t>
                </w:r>
              </w:p>
            </w:tc>
            <w:tc>
              <w:tcPr>
                <w:tcW w:w="417" w:type="pct"/>
                <w:shd w:val="clear" w:color="auto" w:fill="FFFFFF" w:themeFill="background2"/>
                <w:vAlign w:val="center"/>
              </w:tcPr>
              <w:p w14:paraId="04A86F6F" w14:textId="08A0E42E" w:rsidR="003F1085" w:rsidRPr="00B80369" w:rsidRDefault="003F1085"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9.94%</w:t>
                </w:r>
              </w:p>
            </w:tc>
            <w:tc>
              <w:tcPr>
                <w:tcW w:w="413" w:type="pct"/>
                <w:shd w:val="clear" w:color="auto" w:fill="FFFFFF" w:themeFill="background2"/>
                <w:vAlign w:val="center"/>
              </w:tcPr>
              <w:p w14:paraId="4CC7B2B1" w14:textId="055214A3" w:rsidR="003F1085" w:rsidRPr="00B80369" w:rsidRDefault="003F1085"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12.02%</w:t>
                </w:r>
              </w:p>
            </w:tc>
          </w:tr>
          <w:tr w:rsidR="003F1085" w:rsidRPr="00B80369" w14:paraId="269C1C3B"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54790866" w14:textId="77777777" w:rsidR="003F1085" w:rsidRPr="00B80369" w:rsidRDefault="003F1085"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B2.2</w:t>
                </w:r>
              </w:p>
            </w:tc>
            <w:tc>
              <w:tcPr>
                <w:tcW w:w="491" w:type="pct"/>
                <w:shd w:val="clear" w:color="auto" w:fill="FFFFFF" w:themeFill="background2"/>
                <w:tcMar>
                  <w:top w:w="60" w:type="dxa"/>
                  <w:left w:w="114" w:type="dxa"/>
                  <w:bottom w:w="60" w:type="dxa"/>
                  <w:right w:w="114" w:type="dxa"/>
                </w:tcMar>
                <w:vAlign w:val="center"/>
              </w:tcPr>
              <w:p w14:paraId="42440A5F" w14:textId="2E4038F7"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3,766</w:t>
                </w:r>
              </w:p>
            </w:tc>
            <w:tc>
              <w:tcPr>
                <w:tcW w:w="417" w:type="pct"/>
                <w:shd w:val="clear" w:color="auto" w:fill="FFFFFF" w:themeFill="background2"/>
                <w:tcMar>
                  <w:top w:w="60" w:type="dxa"/>
                  <w:left w:w="114" w:type="dxa"/>
                  <w:bottom w:w="60" w:type="dxa"/>
                  <w:right w:w="114" w:type="dxa"/>
                </w:tcMar>
                <w:vAlign w:val="center"/>
              </w:tcPr>
              <w:p w14:paraId="474EA5C5" w14:textId="603488DD"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127</w:t>
                </w:r>
              </w:p>
            </w:tc>
            <w:tc>
              <w:tcPr>
                <w:tcW w:w="417" w:type="pct"/>
                <w:shd w:val="clear" w:color="auto" w:fill="FFFFFF" w:themeFill="background2"/>
                <w:vAlign w:val="center"/>
              </w:tcPr>
              <w:p w14:paraId="2F3A4671" w14:textId="180A73FD"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322</w:t>
                </w:r>
              </w:p>
            </w:tc>
            <w:tc>
              <w:tcPr>
                <w:tcW w:w="417" w:type="pct"/>
                <w:shd w:val="clear" w:color="auto" w:fill="FFFFFF" w:themeFill="background2"/>
                <w:vAlign w:val="center"/>
              </w:tcPr>
              <w:p w14:paraId="69AD28A7" w14:textId="655DAAD3"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473</w:t>
                </w:r>
              </w:p>
            </w:tc>
            <w:tc>
              <w:tcPr>
                <w:tcW w:w="417" w:type="pct"/>
                <w:shd w:val="clear" w:color="auto" w:fill="FFFFFF" w:themeFill="background2"/>
                <w:vAlign w:val="center"/>
              </w:tcPr>
              <w:p w14:paraId="32FD7313" w14:textId="274643E5"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596</w:t>
                </w:r>
              </w:p>
            </w:tc>
            <w:tc>
              <w:tcPr>
                <w:tcW w:w="417" w:type="pct"/>
                <w:shd w:val="clear" w:color="auto" w:fill="FFFFFF" w:themeFill="background2"/>
                <w:vAlign w:val="center"/>
              </w:tcPr>
              <w:p w14:paraId="403462AA" w14:textId="2C79927F"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698</w:t>
                </w:r>
              </w:p>
            </w:tc>
            <w:tc>
              <w:tcPr>
                <w:tcW w:w="417" w:type="pct"/>
                <w:shd w:val="clear" w:color="auto" w:fill="FFFFFF" w:themeFill="background2"/>
                <w:vAlign w:val="center"/>
              </w:tcPr>
              <w:p w14:paraId="34B9E787" w14:textId="4EF5D9FE"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3.37%</w:t>
                </w:r>
              </w:p>
            </w:tc>
            <w:tc>
              <w:tcPr>
                <w:tcW w:w="417" w:type="pct"/>
                <w:shd w:val="clear" w:color="auto" w:fill="FFFFFF" w:themeFill="background2"/>
                <w:vAlign w:val="center"/>
              </w:tcPr>
              <w:p w14:paraId="5AF402BA" w14:textId="73A52067"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8.55%</w:t>
                </w:r>
              </w:p>
            </w:tc>
            <w:tc>
              <w:tcPr>
                <w:tcW w:w="417" w:type="pct"/>
                <w:shd w:val="clear" w:color="auto" w:fill="FFFFFF" w:themeFill="background2"/>
                <w:vAlign w:val="center"/>
              </w:tcPr>
              <w:p w14:paraId="5E198DDC" w14:textId="3E81A33E"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12.56%</w:t>
                </w:r>
              </w:p>
            </w:tc>
            <w:tc>
              <w:tcPr>
                <w:tcW w:w="417" w:type="pct"/>
                <w:shd w:val="clear" w:color="auto" w:fill="FFFFFF" w:themeFill="background2"/>
                <w:vAlign w:val="center"/>
              </w:tcPr>
              <w:p w14:paraId="1564072B" w14:textId="1F000E98"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15.83%</w:t>
                </w:r>
              </w:p>
            </w:tc>
            <w:tc>
              <w:tcPr>
                <w:tcW w:w="413" w:type="pct"/>
                <w:shd w:val="clear" w:color="auto" w:fill="FFFFFF" w:themeFill="background2"/>
                <w:vAlign w:val="center"/>
              </w:tcPr>
              <w:p w14:paraId="3973B2B8" w14:textId="0EA1AD2D"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18.53%</w:t>
                </w:r>
              </w:p>
            </w:tc>
          </w:tr>
          <w:tr w:rsidR="003F1085" w:rsidRPr="00B80369" w14:paraId="6D8E4422"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4DF3BFAD" w14:textId="77777777" w:rsidR="003F1085" w:rsidRPr="00B80369" w:rsidRDefault="003F1085"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C1.1</w:t>
                </w:r>
              </w:p>
            </w:tc>
            <w:tc>
              <w:tcPr>
                <w:tcW w:w="491" w:type="pct"/>
                <w:shd w:val="clear" w:color="auto" w:fill="FFFFFF" w:themeFill="background2"/>
                <w:tcMar>
                  <w:top w:w="60" w:type="dxa"/>
                  <w:left w:w="114" w:type="dxa"/>
                  <w:bottom w:w="60" w:type="dxa"/>
                  <w:right w:w="114" w:type="dxa"/>
                </w:tcMar>
                <w:vAlign w:val="center"/>
              </w:tcPr>
              <w:p w14:paraId="1B0D2B30" w14:textId="40CBF0E7"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1,546</w:t>
                </w:r>
              </w:p>
            </w:tc>
            <w:tc>
              <w:tcPr>
                <w:tcW w:w="417" w:type="pct"/>
                <w:shd w:val="clear" w:color="auto" w:fill="FFFFFF" w:themeFill="background2"/>
                <w:tcMar>
                  <w:top w:w="60" w:type="dxa"/>
                  <w:left w:w="114" w:type="dxa"/>
                  <w:bottom w:w="60" w:type="dxa"/>
                  <w:right w:w="114" w:type="dxa"/>
                </w:tcMar>
                <w:vAlign w:val="center"/>
              </w:tcPr>
              <w:p w14:paraId="633E9405" w14:textId="0647DBD4"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114</w:t>
                </w:r>
              </w:p>
            </w:tc>
            <w:tc>
              <w:tcPr>
                <w:tcW w:w="417" w:type="pct"/>
                <w:shd w:val="clear" w:color="auto" w:fill="FFFFFF" w:themeFill="background2"/>
                <w:vAlign w:val="center"/>
              </w:tcPr>
              <w:p w14:paraId="72C17DDF" w14:textId="71685E84"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240</w:t>
                </w:r>
              </w:p>
            </w:tc>
            <w:tc>
              <w:tcPr>
                <w:tcW w:w="417" w:type="pct"/>
                <w:shd w:val="clear" w:color="auto" w:fill="FFFFFF" w:themeFill="background2"/>
                <w:vAlign w:val="center"/>
              </w:tcPr>
              <w:p w14:paraId="0406D019" w14:textId="0BE11EDA"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330</w:t>
                </w:r>
              </w:p>
            </w:tc>
            <w:tc>
              <w:tcPr>
                <w:tcW w:w="417" w:type="pct"/>
                <w:shd w:val="clear" w:color="auto" w:fill="FFFFFF" w:themeFill="background2"/>
                <w:vAlign w:val="center"/>
              </w:tcPr>
              <w:p w14:paraId="1469FAC5" w14:textId="22D205C0"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385</w:t>
                </w:r>
              </w:p>
            </w:tc>
            <w:tc>
              <w:tcPr>
                <w:tcW w:w="417" w:type="pct"/>
                <w:shd w:val="clear" w:color="auto" w:fill="FFFFFF" w:themeFill="background2"/>
                <w:vAlign w:val="center"/>
              </w:tcPr>
              <w:p w14:paraId="40C60712" w14:textId="412EFF2E"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429</w:t>
                </w:r>
              </w:p>
            </w:tc>
            <w:tc>
              <w:tcPr>
                <w:tcW w:w="417" w:type="pct"/>
                <w:shd w:val="clear" w:color="auto" w:fill="FFFFFF" w:themeFill="background2"/>
                <w:vAlign w:val="center"/>
              </w:tcPr>
              <w:p w14:paraId="080A1D87" w14:textId="02CD5754"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7.37%</w:t>
                </w:r>
              </w:p>
            </w:tc>
            <w:tc>
              <w:tcPr>
                <w:tcW w:w="417" w:type="pct"/>
                <w:shd w:val="clear" w:color="auto" w:fill="FFFFFF" w:themeFill="background2"/>
                <w:vAlign w:val="center"/>
              </w:tcPr>
              <w:p w14:paraId="071B6B4F" w14:textId="673FD1E1"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15.52%</w:t>
                </w:r>
              </w:p>
            </w:tc>
            <w:tc>
              <w:tcPr>
                <w:tcW w:w="417" w:type="pct"/>
                <w:shd w:val="clear" w:color="auto" w:fill="FFFFFF" w:themeFill="background2"/>
                <w:vAlign w:val="center"/>
              </w:tcPr>
              <w:p w14:paraId="41F07012" w14:textId="0687F110"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21.35%</w:t>
                </w:r>
              </w:p>
            </w:tc>
            <w:tc>
              <w:tcPr>
                <w:tcW w:w="417" w:type="pct"/>
                <w:shd w:val="clear" w:color="auto" w:fill="FFFFFF" w:themeFill="background2"/>
                <w:vAlign w:val="center"/>
              </w:tcPr>
              <w:p w14:paraId="4008291F" w14:textId="7CB9369C"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24.90%</w:t>
                </w:r>
              </w:p>
            </w:tc>
            <w:tc>
              <w:tcPr>
                <w:tcW w:w="413" w:type="pct"/>
                <w:shd w:val="clear" w:color="auto" w:fill="FFFFFF" w:themeFill="background2"/>
                <w:vAlign w:val="center"/>
              </w:tcPr>
              <w:p w14:paraId="141E6826" w14:textId="4ECCAD21"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27.75%</w:t>
                </w:r>
              </w:p>
            </w:tc>
          </w:tr>
          <w:tr w:rsidR="003F1085" w:rsidRPr="00B80369" w14:paraId="24F4BF60"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05D8AD63" w14:textId="77777777" w:rsidR="003F1085" w:rsidRPr="00B80369" w:rsidRDefault="003F1085"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C1.2</w:t>
                </w:r>
              </w:p>
            </w:tc>
            <w:tc>
              <w:tcPr>
                <w:tcW w:w="491" w:type="pct"/>
                <w:shd w:val="clear" w:color="auto" w:fill="FFFFFF" w:themeFill="background2"/>
                <w:tcMar>
                  <w:top w:w="60" w:type="dxa"/>
                  <w:left w:w="114" w:type="dxa"/>
                  <w:bottom w:w="60" w:type="dxa"/>
                  <w:right w:w="114" w:type="dxa"/>
                </w:tcMar>
                <w:vAlign w:val="center"/>
              </w:tcPr>
              <w:p w14:paraId="64806B21" w14:textId="21F5CD68"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749</w:t>
                </w:r>
              </w:p>
            </w:tc>
            <w:tc>
              <w:tcPr>
                <w:tcW w:w="417" w:type="pct"/>
                <w:shd w:val="clear" w:color="auto" w:fill="FFFFFF" w:themeFill="background2"/>
                <w:tcMar>
                  <w:top w:w="60" w:type="dxa"/>
                  <w:left w:w="114" w:type="dxa"/>
                  <w:bottom w:w="60" w:type="dxa"/>
                  <w:right w:w="114" w:type="dxa"/>
                </w:tcMar>
                <w:vAlign w:val="center"/>
              </w:tcPr>
              <w:p w14:paraId="2D9ACBB9" w14:textId="3DF17F7C"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113</w:t>
                </w:r>
              </w:p>
            </w:tc>
            <w:tc>
              <w:tcPr>
                <w:tcW w:w="417" w:type="pct"/>
                <w:shd w:val="clear" w:color="auto" w:fill="FFFFFF" w:themeFill="background2"/>
                <w:vAlign w:val="center"/>
              </w:tcPr>
              <w:p w14:paraId="26863FEA" w14:textId="4BC9A01B"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160</w:t>
                </w:r>
              </w:p>
            </w:tc>
            <w:tc>
              <w:tcPr>
                <w:tcW w:w="417" w:type="pct"/>
                <w:shd w:val="clear" w:color="auto" w:fill="FFFFFF" w:themeFill="background2"/>
                <w:vAlign w:val="center"/>
              </w:tcPr>
              <w:p w14:paraId="074EC755" w14:textId="111007C0"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201</w:t>
                </w:r>
              </w:p>
            </w:tc>
            <w:tc>
              <w:tcPr>
                <w:tcW w:w="417" w:type="pct"/>
                <w:shd w:val="clear" w:color="auto" w:fill="FFFFFF" w:themeFill="background2"/>
                <w:vAlign w:val="center"/>
              </w:tcPr>
              <w:p w14:paraId="7441BAC1" w14:textId="14221F27"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229</w:t>
                </w:r>
              </w:p>
            </w:tc>
            <w:tc>
              <w:tcPr>
                <w:tcW w:w="417" w:type="pct"/>
                <w:shd w:val="clear" w:color="auto" w:fill="FFFFFF" w:themeFill="background2"/>
                <w:vAlign w:val="center"/>
              </w:tcPr>
              <w:p w14:paraId="18A664C5" w14:textId="5206438D"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261</w:t>
                </w:r>
              </w:p>
            </w:tc>
            <w:tc>
              <w:tcPr>
                <w:tcW w:w="417" w:type="pct"/>
                <w:shd w:val="clear" w:color="auto" w:fill="FFFFFF" w:themeFill="background2"/>
                <w:vAlign w:val="center"/>
              </w:tcPr>
              <w:p w14:paraId="42748759" w14:textId="088059A8"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15.09%</w:t>
                </w:r>
              </w:p>
            </w:tc>
            <w:tc>
              <w:tcPr>
                <w:tcW w:w="417" w:type="pct"/>
                <w:shd w:val="clear" w:color="auto" w:fill="FFFFFF" w:themeFill="background2"/>
                <w:vAlign w:val="center"/>
              </w:tcPr>
              <w:p w14:paraId="0B793A80" w14:textId="6C0DD45D"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21.36%</w:t>
                </w:r>
              </w:p>
            </w:tc>
            <w:tc>
              <w:tcPr>
                <w:tcW w:w="417" w:type="pct"/>
                <w:shd w:val="clear" w:color="auto" w:fill="FFFFFF" w:themeFill="background2"/>
                <w:vAlign w:val="center"/>
              </w:tcPr>
              <w:p w14:paraId="44C5F9D2" w14:textId="28262D14"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26.84%</w:t>
                </w:r>
              </w:p>
            </w:tc>
            <w:tc>
              <w:tcPr>
                <w:tcW w:w="417" w:type="pct"/>
                <w:shd w:val="clear" w:color="auto" w:fill="FFFFFF" w:themeFill="background2"/>
                <w:vAlign w:val="center"/>
              </w:tcPr>
              <w:p w14:paraId="7A0DC567" w14:textId="0ECE4EEE"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30.57%</w:t>
                </w:r>
              </w:p>
            </w:tc>
            <w:tc>
              <w:tcPr>
                <w:tcW w:w="413" w:type="pct"/>
                <w:shd w:val="clear" w:color="auto" w:fill="FFFFFF" w:themeFill="background2"/>
                <w:vAlign w:val="center"/>
              </w:tcPr>
              <w:p w14:paraId="7D5AF1A2" w14:textId="49B4C049"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34.85%</w:t>
                </w:r>
              </w:p>
            </w:tc>
          </w:tr>
          <w:tr w:rsidR="003F1085" w:rsidRPr="00B80369" w14:paraId="254A2583"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5C5E9286" w14:textId="77777777" w:rsidR="003F1085" w:rsidRPr="00B80369" w:rsidRDefault="003F1085"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C2.1</w:t>
                </w:r>
              </w:p>
            </w:tc>
            <w:tc>
              <w:tcPr>
                <w:tcW w:w="491" w:type="pct"/>
                <w:shd w:val="clear" w:color="auto" w:fill="FFFFFF" w:themeFill="background2"/>
                <w:tcMar>
                  <w:top w:w="60" w:type="dxa"/>
                  <w:left w:w="114" w:type="dxa"/>
                  <w:bottom w:w="60" w:type="dxa"/>
                  <w:right w:w="114" w:type="dxa"/>
                </w:tcMar>
                <w:vAlign w:val="center"/>
              </w:tcPr>
              <w:p w14:paraId="332817EA" w14:textId="0946758A"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700</w:t>
                </w:r>
              </w:p>
            </w:tc>
            <w:tc>
              <w:tcPr>
                <w:tcW w:w="417" w:type="pct"/>
                <w:shd w:val="clear" w:color="auto" w:fill="FFFFFF" w:themeFill="background2"/>
                <w:tcMar>
                  <w:top w:w="60" w:type="dxa"/>
                  <w:left w:w="114" w:type="dxa"/>
                  <w:bottom w:w="60" w:type="dxa"/>
                  <w:right w:w="114" w:type="dxa"/>
                </w:tcMar>
                <w:vAlign w:val="center"/>
              </w:tcPr>
              <w:p w14:paraId="242A41CD" w14:textId="04099914"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392</w:t>
                </w:r>
              </w:p>
            </w:tc>
            <w:tc>
              <w:tcPr>
                <w:tcW w:w="417" w:type="pct"/>
                <w:shd w:val="clear" w:color="auto" w:fill="FFFFFF" w:themeFill="background2"/>
                <w:vAlign w:val="center"/>
              </w:tcPr>
              <w:p w14:paraId="042B2E7E" w14:textId="2CB016BB"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466</w:t>
                </w:r>
              </w:p>
            </w:tc>
            <w:tc>
              <w:tcPr>
                <w:tcW w:w="417" w:type="pct"/>
                <w:shd w:val="clear" w:color="auto" w:fill="FFFFFF" w:themeFill="background2"/>
                <w:vAlign w:val="center"/>
              </w:tcPr>
              <w:p w14:paraId="07A34329" w14:textId="09C2506F"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493</w:t>
                </w:r>
              </w:p>
            </w:tc>
            <w:tc>
              <w:tcPr>
                <w:tcW w:w="417" w:type="pct"/>
                <w:shd w:val="clear" w:color="auto" w:fill="FFFFFF" w:themeFill="background2"/>
                <w:vAlign w:val="center"/>
              </w:tcPr>
              <w:p w14:paraId="1D5435E4" w14:textId="1EF830CD"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507</w:t>
                </w:r>
              </w:p>
            </w:tc>
            <w:tc>
              <w:tcPr>
                <w:tcW w:w="417" w:type="pct"/>
                <w:shd w:val="clear" w:color="auto" w:fill="FFFFFF" w:themeFill="background2"/>
                <w:vAlign w:val="center"/>
              </w:tcPr>
              <w:p w14:paraId="42A435EF" w14:textId="4A713091"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526</w:t>
                </w:r>
              </w:p>
            </w:tc>
            <w:tc>
              <w:tcPr>
                <w:tcW w:w="417" w:type="pct"/>
                <w:shd w:val="clear" w:color="auto" w:fill="FFFFFF" w:themeFill="background2"/>
                <w:vAlign w:val="center"/>
              </w:tcPr>
              <w:p w14:paraId="30B5DDF4" w14:textId="6C6448B5"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56.00%</w:t>
                </w:r>
              </w:p>
            </w:tc>
            <w:tc>
              <w:tcPr>
                <w:tcW w:w="417" w:type="pct"/>
                <w:shd w:val="clear" w:color="auto" w:fill="FFFFFF" w:themeFill="background2"/>
                <w:vAlign w:val="center"/>
              </w:tcPr>
              <w:p w14:paraId="4C10A219" w14:textId="48B959F5"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66.57%</w:t>
                </w:r>
              </w:p>
            </w:tc>
            <w:tc>
              <w:tcPr>
                <w:tcW w:w="417" w:type="pct"/>
                <w:shd w:val="clear" w:color="auto" w:fill="FFFFFF" w:themeFill="background2"/>
                <w:vAlign w:val="center"/>
              </w:tcPr>
              <w:p w14:paraId="3527655C" w14:textId="30AA6B8B"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70.43%</w:t>
                </w:r>
              </w:p>
            </w:tc>
            <w:tc>
              <w:tcPr>
                <w:tcW w:w="417" w:type="pct"/>
                <w:shd w:val="clear" w:color="auto" w:fill="FFFFFF" w:themeFill="background2"/>
                <w:vAlign w:val="center"/>
              </w:tcPr>
              <w:p w14:paraId="436850D0" w14:textId="523ECAAE"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72.43%</w:t>
                </w:r>
              </w:p>
            </w:tc>
            <w:tc>
              <w:tcPr>
                <w:tcW w:w="413" w:type="pct"/>
                <w:shd w:val="clear" w:color="auto" w:fill="FFFFFF" w:themeFill="background2"/>
                <w:vAlign w:val="center"/>
              </w:tcPr>
              <w:p w14:paraId="13F125F7" w14:textId="658D0359"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75.14%</w:t>
                </w:r>
              </w:p>
            </w:tc>
          </w:tr>
          <w:tr w:rsidR="003F1085" w:rsidRPr="00B80369" w14:paraId="51BC37F7" w14:textId="77777777" w:rsidTr="00AC7D4E">
            <w:trPr>
              <w:trHeight w:val="227"/>
            </w:trPr>
            <w:tc>
              <w:tcPr>
                <w:tcW w:w="343" w:type="pct"/>
                <w:shd w:val="clear" w:color="auto" w:fill="FFFFFF" w:themeFill="background2"/>
                <w:tcMar>
                  <w:top w:w="60" w:type="dxa"/>
                  <w:left w:w="114" w:type="dxa"/>
                  <w:bottom w:w="60" w:type="dxa"/>
                  <w:right w:w="114" w:type="dxa"/>
                </w:tcMar>
                <w:vAlign w:val="center"/>
              </w:tcPr>
              <w:p w14:paraId="288DCF95" w14:textId="77777777" w:rsidR="003F1085" w:rsidRPr="00B80369" w:rsidRDefault="003F1085" w:rsidP="00B80369">
                <w:pPr>
                  <w:spacing w:before="0" w:line="240" w:lineRule="auto"/>
                  <w:jc w:val="center"/>
                  <w:rPr>
                    <w:rFonts w:cs="Segoe UI"/>
                    <w:b/>
                    <w:bCs/>
                    <w:sz w:val="14"/>
                    <w:szCs w:val="14"/>
                    <w:lang w:eastAsia="it-IT"/>
                  </w:rPr>
                </w:pPr>
                <w:r w:rsidRPr="00B80369">
                  <w:rPr>
                    <w:rFonts w:cs="Segoe UI"/>
                    <w:b/>
                    <w:bCs/>
                    <w:sz w:val="14"/>
                    <w:szCs w:val="14"/>
                    <w:lang w:eastAsia="it-IT"/>
                  </w:rPr>
                  <w:t>TOTAL</w:t>
                </w:r>
              </w:p>
            </w:tc>
            <w:tc>
              <w:tcPr>
                <w:tcW w:w="491" w:type="pct"/>
                <w:shd w:val="clear" w:color="auto" w:fill="FFFFFF" w:themeFill="background2"/>
                <w:tcMar>
                  <w:top w:w="60" w:type="dxa"/>
                  <w:left w:w="114" w:type="dxa"/>
                  <w:bottom w:w="60" w:type="dxa"/>
                  <w:right w:w="114" w:type="dxa"/>
                </w:tcMar>
                <w:vAlign w:val="center"/>
              </w:tcPr>
              <w:p w14:paraId="63615B6C" w14:textId="6C967E48"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29,270</w:t>
                </w:r>
              </w:p>
            </w:tc>
            <w:tc>
              <w:tcPr>
                <w:tcW w:w="417" w:type="pct"/>
                <w:shd w:val="clear" w:color="auto" w:fill="FFFFFF" w:themeFill="background2"/>
                <w:tcMar>
                  <w:top w:w="60" w:type="dxa"/>
                  <w:left w:w="114" w:type="dxa"/>
                  <w:bottom w:w="60" w:type="dxa"/>
                  <w:right w:w="114" w:type="dxa"/>
                </w:tcMar>
                <w:vAlign w:val="center"/>
              </w:tcPr>
              <w:p w14:paraId="28FD2556" w14:textId="5680127C"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946</w:t>
                </w:r>
              </w:p>
            </w:tc>
            <w:tc>
              <w:tcPr>
                <w:tcW w:w="417" w:type="pct"/>
                <w:shd w:val="clear" w:color="auto" w:fill="FFFFFF" w:themeFill="background2"/>
                <w:vAlign w:val="center"/>
              </w:tcPr>
              <w:p w14:paraId="128E2BB0" w14:textId="04C619A7"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1,742</w:t>
                </w:r>
              </w:p>
            </w:tc>
            <w:tc>
              <w:tcPr>
                <w:tcW w:w="417" w:type="pct"/>
                <w:shd w:val="clear" w:color="auto" w:fill="FFFFFF" w:themeFill="background2"/>
                <w:vAlign w:val="center"/>
              </w:tcPr>
              <w:p w14:paraId="732EB170" w14:textId="35C98DFD"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2,369</w:t>
                </w:r>
              </w:p>
            </w:tc>
            <w:tc>
              <w:tcPr>
                <w:tcW w:w="417" w:type="pct"/>
                <w:shd w:val="clear" w:color="auto" w:fill="FFFFFF" w:themeFill="background2"/>
                <w:vAlign w:val="center"/>
              </w:tcPr>
              <w:p w14:paraId="6159FFDC" w14:textId="3FC2D07C"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2,890</w:t>
                </w:r>
              </w:p>
            </w:tc>
            <w:tc>
              <w:tcPr>
                <w:tcW w:w="417" w:type="pct"/>
                <w:shd w:val="clear" w:color="auto" w:fill="FFFFFF" w:themeFill="background2"/>
                <w:vAlign w:val="center"/>
              </w:tcPr>
              <w:p w14:paraId="54B98399" w14:textId="328486DF" w:rsidR="003F1085" w:rsidRPr="00B80369" w:rsidRDefault="003F1085"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3,346</w:t>
                </w:r>
              </w:p>
            </w:tc>
            <w:tc>
              <w:tcPr>
                <w:tcW w:w="417" w:type="pct"/>
                <w:shd w:val="clear" w:color="auto" w:fill="FFFFFF" w:themeFill="background2"/>
                <w:vAlign w:val="center"/>
              </w:tcPr>
              <w:p w14:paraId="6BFA54E7" w14:textId="53828D34"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3.23%</w:t>
                </w:r>
              </w:p>
            </w:tc>
            <w:tc>
              <w:tcPr>
                <w:tcW w:w="417" w:type="pct"/>
                <w:shd w:val="clear" w:color="auto" w:fill="FFFFFF" w:themeFill="background2"/>
                <w:vAlign w:val="center"/>
              </w:tcPr>
              <w:p w14:paraId="7D981754" w14:textId="2A0CEFED"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5.95%</w:t>
                </w:r>
              </w:p>
            </w:tc>
            <w:tc>
              <w:tcPr>
                <w:tcW w:w="417" w:type="pct"/>
                <w:shd w:val="clear" w:color="auto" w:fill="FFFFFF" w:themeFill="background2"/>
                <w:vAlign w:val="center"/>
              </w:tcPr>
              <w:p w14:paraId="4EC3E3A1" w14:textId="062C126A"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8.09%</w:t>
                </w:r>
              </w:p>
            </w:tc>
            <w:tc>
              <w:tcPr>
                <w:tcW w:w="417" w:type="pct"/>
                <w:shd w:val="clear" w:color="auto" w:fill="FFFFFF" w:themeFill="background2"/>
                <w:vAlign w:val="center"/>
              </w:tcPr>
              <w:p w14:paraId="4C0089E7" w14:textId="01634610"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9.87%</w:t>
                </w:r>
              </w:p>
            </w:tc>
            <w:tc>
              <w:tcPr>
                <w:tcW w:w="413" w:type="pct"/>
                <w:shd w:val="clear" w:color="auto" w:fill="FFFFFF" w:themeFill="background2"/>
                <w:vAlign w:val="center"/>
              </w:tcPr>
              <w:p w14:paraId="4BB74AC5" w14:textId="45F035D4" w:rsidR="003F1085" w:rsidRPr="00B80369" w:rsidRDefault="003F1085"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11.43%</w:t>
                </w:r>
              </w:p>
            </w:tc>
          </w:tr>
        </w:tbl>
        <w:p w14:paraId="75838CDF" w14:textId="77777777" w:rsidR="003F1085" w:rsidRPr="003F1085" w:rsidRDefault="003F1085" w:rsidP="003F1085">
          <w:pPr>
            <w:rPr>
              <w:lang w:val="en-GB"/>
            </w:rPr>
          </w:pPr>
        </w:p>
        <w:p w14:paraId="1720215D" w14:textId="5064C181" w:rsidR="004101BF" w:rsidRDefault="004101BF" w:rsidP="004101BF">
          <w:pPr>
            <w:pStyle w:val="Didascalia"/>
            <w:rPr>
              <w:rFonts w:ascii="Segoe UI" w:hAnsi="Segoe UI" w:cs="Segoe UI"/>
              <w:i/>
              <w:sz w:val="14"/>
              <w:lang w:val="en-GB"/>
            </w:rPr>
          </w:pPr>
          <w:bookmarkStart w:id="129" w:name="_Toc130806337"/>
          <w:bookmarkStart w:id="130" w:name="_Toc166675677"/>
          <w:bookmarkStart w:id="131" w:name="_Toc167131804"/>
          <w:r w:rsidRPr="0032337D">
            <w:rPr>
              <w:rFonts w:ascii="Segoe UI" w:hAnsi="Segoe UI" w:cs="Segoe UI"/>
              <w:i/>
              <w:sz w:val="14"/>
              <w:lang w:val="en-GB"/>
            </w:rPr>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36</w:t>
          </w:r>
          <w:r>
            <w:rPr>
              <w:rFonts w:ascii="Segoe UI" w:hAnsi="Segoe UI" w:cs="Segoe UI"/>
              <w:i/>
              <w:sz w:val="14"/>
              <w:lang w:val="en-GB"/>
            </w:rPr>
            <w:fldChar w:fldCharType="end"/>
          </w:r>
          <w:r w:rsidRPr="0032337D">
            <w:rPr>
              <w:rFonts w:ascii="Segoe UI" w:hAnsi="Segoe UI" w:cs="Segoe UI"/>
              <w:i/>
              <w:sz w:val="14"/>
              <w:lang w:val="en-GB"/>
            </w:rPr>
            <w:t>: Static pool as of 31</w:t>
          </w:r>
          <w:r w:rsidRPr="0032337D">
            <w:rPr>
              <w:rFonts w:ascii="Segoe UI" w:hAnsi="Segoe UI" w:cs="Segoe UI"/>
              <w:i/>
              <w:sz w:val="14"/>
              <w:vertAlign w:val="superscript"/>
              <w:lang w:val="en-GB"/>
            </w:rPr>
            <w:t>st</w:t>
          </w:r>
          <w:r w:rsidRPr="0032337D">
            <w:rPr>
              <w:rFonts w:ascii="Segoe UI" w:hAnsi="Segoe UI" w:cs="Segoe UI"/>
              <w:i/>
              <w:sz w:val="14"/>
              <w:lang w:val="en-GB"/>
            </w:rPr>
            <w:t xml:space="preserve"> December 2014</w:t>
          </w:r>
          <w:bookmarkEnd w:id="129"/>
          <w:bookmarkEnd w:id="130"/>
          <w:bookmarkEnd w:id="131"/>
        </w:p>
        <w:tbl>
          <w:tblPr>
            <w:tblW w:w="5000" w:type="pct"/>
            <w:tblBorders>
              <w:top w:val="single" w:sz="4" w:space="0" w:color="AFAFB4" w:themeColor="accent4"/>
              <w:bottom w:val="single" w:sz="4" w:space="0" w:color="AFAFB4" w:themeColor="accent4"/>
              <w:insideH w:val="single" w:sz="4" w:space="0" w:color="AFAFB4" w:themeColor="accent4"/>
            </w:tblBorders>
            <w:shd w:val="clear" w:color="auto" w:fill="FFFFFF" w:themeFill="background2"/>
            <w:tblCellMar>
              <w:left w:w="0" w:type="dxa"/>
              <w:right w:w="0" w:type="dxa"/>
            </w:tblCellMar>
            <w:tblLook w:val="0620" w:firstRow="1" w:lastRow="0" w:firstColumn="0" w:lastColumn="0" w:noHBand="1" w:noVBand="1"/>
            <w:tblDescription w:val="{&quot;Ott&quot;:{&quot;FirstRow&quot;:{&quot;BackgroundColor&quot;:{&quot;Key&quot;:&quot;Light2&quot;},&quot;Font&quot;:{&quot;Name&quot;:&quot;Source Sans Pro&quot;,&quot;Size&quot;:14.0,&quot;Bold&quot;:false,&quot;Italic&quot;:false,&quot;Color&quot;:{&quot;Key&quot;:&quot;Dark2&quot;}},&quot;ExcelCellFormatting&quot;:&quot;General&quot;,&quot;Alignment&quot;:{&quot;Horizontal&quot;:&quot;Left&quot;,&quot;Vertical&quot;:&quot;Bottom&quot;},&quot;Borders&quot;:{&quot;Vertical&quot;:{&quot;Visible&quot;:false},&quot;Left&quot;:{&quot;Visible&quot;:false},&quot;Top&quot;:{&quot;Visible&quot;:false},&quot;Right&quot;:{&quot;Visible&quot;:false},&quot;Bottom&quot;:{&quot;Color&quot;:{&quot;Key&quot;:&quot;Accent4&quot;},&quot;BorderWeight&quot;:&quot;Pt1_5&quot;,&quot;Type&quot;:&quot;Solid&quot;,&quot;Visible&quot;:true}}},&quot;FitRowHeightPp&quot;:true,&quot;ZeroMarginsWord&quot;:true,&quot;BackgroundColor&quot;:{&quot;Key&quot;:&quot;Light2&quot;},&quot;Font&quot;:{&quot;Name&quot;:&quot;Source Sans Pro&quot;,&quot;Size&quot;:11.0,&quot;Bold&quot;:false,&quot;Italic&quot;:false,&quot;Color&quot;:{&quot;Key&quot;:&quot;Dark2&quot;}},&quot;LineSpacing&quot;:{&quot;Rule&quot;:&quot;Single&quot;},&quot;Alignment&quot;:{&quot;Horizontal&quot;:&quot;Left&quot;,&quot;Vertical&quot;:&quot;Top&quot;},&quot;Margin&quot;:{&quot;Left&quot;:5.7,&quot;Top&quot;:3.0,&quot;Right&quot;:5.7,&quot;Bottom&quot;:3.0},&quot;Borders&quot;:{&quot;Vertical&quot;:{&quot;Visible&quot;:false},&quot;Horizontal&quot;:{&quot;Color&quot;:{&quot;Key&quot;:&quot;Accent4&quot;},&quot;BorderWeight&quot;:&quot;Pt0_5&quot;,&quot;Type&quot;:&quot;Solid&quot;,&quot;Visible&quot;:true}},&quot;ParagraphSpacing&quot;:{&quot;SpaceBefore&quot;:2.0,&quot;SpaceAfter&quot;:2.0},&quot;ExcelWrapText&quot;:true},&quot;Ccs&quot;:{&quot;DarkBlue&quot;:&quot;0, 20, 55&quot;,&quot;Turquoise&quot;:&quot;0, 164, 230&quot;,&quot;Red&quot;:&quot;214, 70, 65&quot;,&quot;LightGrey&quot;:&quot;174, 174, 180&quot;,&quot;BlueGrey&quot;:&quot;77, 91, 115&quot;,&quot;IceBlue&quot;:&quot;178, 184, 195&quot;,&quot;Grey&quot;:&quot;145, 147, 153&quot;,&quot;Background&quot;:&quot;0, 0, 0, 0&quot;,&quot;White&quot;:&quot;White&quot;,&quot;Accent1&quot;:&quot;1, 1, 1, 1&quot;,&quot;Accent2&quot;:&quot;1, 1, 1, 2&quot;,&quot;Accent3&quot;:&quot;1, 1, 1, 3&quot;,&quot;Accent4&quot;:&quot;1, 1, 1, 4&quot;,&quot;Accent5&quot;:&quot;1, 1, 1, 5&quot;,&quot;Accent6&quot;:&quot;1, 1, 1, 6&quot;,&quot;Dark1&quot;:&quot;1, 1, 1, 7&quot;,&quot;Dark2&quot;:&quot;1, 1, 1, 9&quot;,&quot;Light1&quot;:&quot;1, 1, 1, 8&quot;,&quot;Light2&quot;:&quot;1, 1, 1, 10&quot;},&quot;Cop&quot;:{&quot;FirstRow&quot;:true,&quot;LastRow&quot;:false,&quot;FirstColumn&quot;:false,&quot;LastColumn&quot;:false,&quot;BandedRows&quot;:false,&quot;BandedColumns&quot;:false},&quot;Aaf&quot;:false}"/>
          </w:tblPr>
          <w:tblGrid>
            <w:gridCol w:w="710"/>
            <w:gridCol w:w="1016"/>
            <w:gridCol w:w="863"/>
            <w:gridCol w:w="863"/>
            <w:gridCol w:w="863"/>
            <w:gridCol w:w="863"/>
            <w:gridCol w:w="863"/>
            <w:gridCol w:w="863"/>
            <w:gridCol w:w="863"/>
            <w:gridCol w:w="863"/>
            <w:gridCol w:w="863"/>
            <w:gridCol w:w="855"/>
          </w:tblGrid>
          <w:tr w:rsidR="00707524" w:rsidRPr="00B80369" w14:paraId="0A38FA20" w14:textId="77777777" w:rsidTr="00AC7D4E">
            <w:trPr>
              <w:trHeight w:val="227"/>
              <w:tblHeader/>
            </w:trPr>
            <w:tc>
              <w:tcPr>
                <w:tcW w:w="343" w:type="pct"/>
                <w:vMerge w:val="restar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29F71C8E" w14:textId="77777777"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Rating</w:t>
                </w:r>
              </w:p>
            </w:tc>
            <w:tc>
              <w:tcPr>
                <w:tcW w:w="491"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080F3CF2" w14:textId="77777777"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Static pool</w:t>
                </w:r>
              </w:p>
            </w:tc>
            <w:tc>
              <w:tcPr>
                <w:tcW w:w="2085" w:type="pct"/>
                <w:gridSpan w:val="5"/>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4BA1BCB9" w14:textId="54BC957E"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Observed defaults by years since rating issuance</w:t>
                </w:r>
              </w:p>
            </w:tc>
            <w:tc>
              <w:tcPr>
                <w:tcW w:w="2081" w:type="pct"/>
                <w:gridSpan w:val="5"/>
                <w:tcBorders>
                  <w:top w:val="single" w:sz="12" w:space="0" w:color="AFAFB4" w:themeColor="accent4"/>
                </w:tcBorders>
                <w:shd w:val="clear" w:color="auto" w:fill="FFFFFF" w:themeFill="background2"/>
                <w:vAlign w:val="center"/>
              </w:tcPr>
              <w:p w14:paraId="16D1D083" w14:textId="77777777"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Percentage of cumulative default rates</w:t>
                </w:r>
              </w:p>
            </w:tc>
          </w:tr>
          <w:tr w:rsidR="003927C1" w:rsidRPr="00B80369" w14:paraId="2062A6C4" w14:textId="77777777" w:rsidTr="00AC7D4E">
            <w:trPr>
              <w:trHeight w:val="227"/>
              <w:tblHeader/>
            </w:trPr>
            <w:tc>
              <w:tcPr>
                <w:tcW w:w="343" w:type="pct"/>
                <w:vMerge/>
                <w:shd w:val="clear" w:color="auto" w:fill="FFFFFF" w:themeFill="background2"/>
                <w:tcMar>
                  <w:top w:w="60" w:type="dxa"/>
                  <w:left w:w="114" w:type="dxa"/>
                  <w:bottom w:w="60" w:type="dxa"/>
                  <w:right w:w="114" w:type="dxa"/>
                </w:tcMar>
                <w:vAlign w:val="center"/>
              </w:tcPr>
              <w:p w14:paraId="46E04A82" w14:textId="77777777" w:rsidR="003927C1" w:rsidRPr="00B80369" w:rsidRDefault="003927C1" w:rsidP="00B80369">
                <w:pPr>
                  <w:spacing w:before="0" w:line="240" w:lineRule="auto"/>
                  <w:jc w:val="center"/>
                  <w:rPr>
                    <w:b/>
                    <w:color w:val="33A1AB" w:themeColor="accent2"/>
                    <w:sz w:val="14"/>
                    <w:szCs w:val="14"/>
                  </w:rPr>
                </w:pPr>
              </w:p>
            </w:tc>
            <w:tc>
              <w:tcPr>
                <w:tcW w:w="491"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25972F80" w14:textId="2792B5A4" w:rsidR="003927C1" w:rsidRPr="00B80369" w:rsidRDefault="003927C1" w:rsidP="00B80369">
                <w:pPr>
                  <w:spacing w:before="0" w:line="240" w:lineRule="auto"/>
                  <w:jc w:val="center"/>
                  <w:rPr>
                    <w:b/>
                    <w:color w:val="33A1AB" w:themeColor="accent2"/>
                    <w:sz w:val="14"/>
                    <w:szCs w:val="14"/>
                  </w:rPr>
                </w:pPr>
                <w:r w:rsidRPr="00B80369">
                  <w:rPr>
                    <w:b/>
                    <w:color w:val="33A1AB" w:themeColor="accent2"/>
                    <w:sz w:val="14"/>
                    <w:szCs w:val="14"/>
                  </w:rPr>
                  <w:t>31 Dec 2014</w:t>
                </w:r>
              </w:p>
            </w:tc>
            <w:tc>
              <w:tcPr>
                <w:tcW w:w="417"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340605E9" w14:textId="77777777" w:rsidR="003927C1" w:rsidRPr="00B80369" w:rsidRDefault="003927C1" w:rsidP="00B80369">
                <w:pPr>
                  <w:spacing w:before="0" w:line="240" w:lineRule="auto"/>
                  <w:jc w:val="center"/>
                  <w:rPr>
                    <w:b/>
                    <w:color w:val="33A1AB" w:themeColor="accent2"/>
                    <w:sz w:val="14"/>
                    <w:szCs w:val="14"/>
                  </w:rPr>
                </w:pPr>
                <w:r w:rsidRPr="00B80369">
                  <w:rPr>
                    <w:b/>
                    <w:color w:val="33A1AB" w:themeColor="accent2"/>
                    <w:sz w:val="14"/>
                    <w:szCs w:val="14"/>
                  </w:rPr>
                  <w:t>1-Y DR</w:t>
                </w:r>
              </w:p>
            </w:tc>
            <w:tc>
              <w:tcPr>
                <w:tcW w:w="417" w:type="pct"/>
                <w:tcBorders>
                  <w:top w:val="single" w:sz="12" w:space="0" w:color="AFAFB4" w:themeColor="accent4"/>
                </w:tcBorders>
                <w:shd w:val="clear" w:color="auto" w:fill="FFFFFF" w:themeFill="background2"/>
                <w:vAlign w:val="center"/>
              </w:tcPr>
              <w:p w14:paraId="661D8F43" w14:textId="77777777" w:rsidR="003927C1" w:rsidRPr="00B80369" w:rsidRDefault="003927C1" w:rsidP="00B80369">
                <w:pPr>
                  <w:spacing w:before="0" w:line="240" w:lineRule="auto"/>
                  <w:jc w:val="center"/>
                  <w:rPr>
                    <w:b/>
                    <w:color w:val="33A1AB" w:themeColor="accent2"/>
                    <w:sz w:val="14"/>
                    <w:szCs w:val="14"/>
                  </w:rPr>
                </w:pPr>
                <w:r w:rsidRPr="00B80369">
                  <w:rPr>
                    <w:b/>
                    <w:color w:val="33A1AB" w:themeColor="accent2"/>
                    <w:sz w:val="14"/>
                    <w:szCs w:val="14"/>
                  </w:rPr>
                  <w:t>2-Y DR</w:t>
                </w:r>
              </w:p>
            </w:tc>
            <w:tc>
              <w:tcPr>
                <w:tcW w:w="417" w:type="pct"/>
                <w:tcBorders>
                  <w:top w:val="single" w:sz="12" w:space="0" w:color="AFAFB4" w:themeColor="accent4"/>
                </w:tcBorders>
                <w:shd w:val="clear" w:color="auto" w:fill="FFFFFF" w:themeFill="background2"/>
                <w:vAlign w:val="center"/>
              </w:tcPr>
              <w:p w14:paraId="170DF275" w14:textId="77777777" w:rsidR="003927C1" w:rsidRPr="00B80369" w:rsidRDefault="003927C1" w:rsidP="00B80369">
                <w:pPr>
                  <w:spacing w:before="0" w:line="240" w:lineRule="auto"/>
                  <w:jc w:val="center"/>
                  <w:rPr>
                    <w:b/>
                    <w:color w:val="33A1AB" w:themeColor="accent2"/>
                    <w:sz w:val="14"/>
                    <w:szCs w:val="14"/>
                  </w:rPr>
                </w:pPr>
                <w:r w:rsidRPr="00B80369">
                  <w:rPr>
                    <w:b/>
                    <w:color w:val="33A1AB" w:themeColor="accent2"/>
                    <w:sz w:val="14"/>
                    <w:szCs w:val="14"/>
                  </w:rPr>
                  <w:t>3-Y DR</w:t>
                </w:r>
              </w:p>
            </w:tc>
            <w:tc>
              <w:tcPr>
                <w:tcW w:w="417" w:type="pct"/>
                <w:tcBorders>
                  <w:top w:val="single" w:sz="12" w:space="0" w:color="AFAFB4" w:themeColor="accent4"/>
                </w:tcBorders>
                <w:shd w:val="clear" w:color="auto" w:fill="FFFFFF" w:themeFill="background2"/>
                <w:vAlign w:val="center"/>
              </w:tcPr>
              <w:p w14:paraId="0D1B2250" w14:textId="77777777" w:rsidR="003927C1" w:rsidRPr="00B80369" w:rsidRDefault="003927C1" w:rsidP="00B80369">
                <w:pPr>
                  <w:spacing w:before="0" w:line="240" w:lineRule="auto"/>
                  <w:jc w:val="center"/>
                  <w:rPr>
                    <w:b/>
                    <w:color w:val="33A1AB" w:themeColor="accent2"/>
                    <w:sz w:val="14"/>
                    <w:szCs w:val="14"/>
                  </w:rPr>
                </w:pPr>
                <w:r w:rsidRPr="00B80369">
                  <w:rPr>
                    <w:b/>
                    <w:color w:val="33A1AB" w:themeColor="accent2"/>
                    <w:sz w:val="14"/>
                    <w:szCs w:val="14"/>
                  </w:rPr>
                  <w:t>4-Y DR</w:t>
                </w:r>
              </w:p>
            </w:tc>
            <w:tc>
              <w:tcPr>
                <w:tcW w:w="417" w:type="pct"/>
                <w:tcBorders>
                  <w:top w:val="single" w:sz="12" w:space="0" w:color="AFAFB4" w:themeColor="accent4"/>
                </w:tcBorders>
                <w:shd w:val="clear" w:color="auto" w:fill="FFFFFF" w:themeFill="background2"/>
                <w:vAlign w:val="center"/>
              </w:tcPr>
              <w:p w14:paraId="65000631" w14:textId="77777777" w:rsidR="003927C1" w:rsidRPr="00B80369" w:rsidRDefault="003927C1" w:rsidP="00B80369">
                <w:pPr>
                  <w:spacing w:before="0" w:line="240" w:lineRule="auto"/>
                  <w:jc w:val="center"/>
                  <w:rPr>
                    <w:b/>
                    <w:color w:val="33A1AB" w:themeColor="accent2"/>
                    <w:sz w:val="14"/>
                    <w:szCs w:val="14"/>
                  </w:rPr>
                </w:pPr>
                <w:r w:rsidRPr="00B80369">
                  <w:rPr>
                    <w:b/>
                    <w:color w:val="33A1AB" w:themeColor="accent2"/>
                    <w:sz w:val="14"/>
                    <w:szCs w:val="14"/>
                  </w:rPr>
                  <w:t>5-Y DR</w:t>
                </w:r>
              </w:p>
            </w:tc>
            <w:tc>
              <w:tcPr>
                <w:tcW w:w="417" w:type="pct"/>
                <w:tcBorders>
                  <w:top w:val="single" w:sz="12" w:space="0" w:color="AFAFB4" w:themeColor="accent4"/>
                </w:tcBorders>
                <w:shd w:val="clear" w:color="auto" w:fill="FFFFFF" w:themeFill="background2"/>
                <w:vAlign w:val="center"/>
              </w:tcPr>
              <w:p w14:paraId="4CFA694E" w14:textId="77777777" w:rsidR="003927C1" w:rsidRPr="00B80369" w:rsidRDefault="003927C1" w:rsidP="00B80369">
                <w:pPr>
                  <w:spacing w:before="0" w:line="240" w:lineRule="auto"/>
                  <w:jc w:val="center"/>
                  <w:rPr>
                    <w:b/>
                    <w:color w:val="33A1AB" w:themeColor="accent2"/>
                    <w:sz w:val="14"/>
                    <w:szCs w:val="14"/>
                  </w:rPr>
                </w:pPr>
                <w:r w:rsidRPr="00B80369">
                  <w:rPr>
                    <w:b/>
                    <w:color w:val="33A1AB" w:themeColor="accent2"/>
                    <w:sz w:val="14"/>
                    <w:szCs w:val="14"/>
                  </w:rPr>
                  <w:t>1-Y DR</w:t>
                </w:r>
              </w:p>
            </w:tc>
            <w:tc>
              <w:tcPr>
                <w:tcW w:w="417" w:type="pct"/>
                <w:tcBorders>
                  <w:top w:val="single" w:sz="12" w:space="0" w:color="AFAFB4" w:themeColor="accent4"/>
                </w:tcBorders>
                <w:shd w:val="clear" w:color="auto" w:fill="FFFFFF" w:themeFill="background2"/>
                <w:vAlign w:val="center"/>
              </w:tcPr>
              <w:p w14:paraId="3DA6B791" w14:textId="77777777" w:rsidR="003927C1" w:rsidRPr="00B80369" w:rsidRDefault="003927C1" w:rsidP="00B80369">
                <w:pPr>
                  <w:spacing w:before="0" w:line="240" w:lineRule="auto"/>
                  <w:jc w:val="center"/>
                  <w:rPr>
                    <w:b/>
                    <w:color w:val="33A1AB" w:themeColor="accent2"/>
                    <w:sz w:val="14"/>
                    <w:szCs w:val="14"/>
                  </w:rPr>
                </w:pPr>
                <w:r w:rsidRPr="00B80369">
                  <w:rPr>
                    <w:b/>
                    <w:color w:val="33A1AB" w:themeColor="accent2"/>
                    <w:sz w:val="14"/>
                    <w:szCs w:val="14"/>
                  </w:rPr>
                  <w:t>2-Y DR</w:t>
                </w:r>
              </w:p>
            </w:tc>
            <w:tc>
              <w:tcPr>
                <w:tcW w:w="417" w:type="pct"/>
                <w:tcBorders>
                  <w:top w:val="single" w:sz="12" w:space="0" w:color="AFAFB4" w:themeColor="accent4"/>
                </w:tcBorders>
                <w:shd w:val="clear" w:color="auto" w:fill="FFFFFF" w:themeFill="background2"/>
                <w:vAlign w:val="center"/>
              </w:tcPr>
              <w:p w14:paraId="3FDD1489" w14:textId="77777777" w:rsidR="003927C1" w:rsidRPr="00B80369" w:rsidRDefault="003927C1" w:rsidP="00B80369">
                <w:pPr>
                  <w:spacing w:before="0" w:line="240" w:lineRule="auto"/>
                  <w:jc w:val="center"/>
                  <w:rPr>
                    <w:b/>
                    <w:color w:val="33A1AB" w:themeColor="accent2"/>
                    <w:sz w:val="14"/>
                    <w:szCs w:val="14"/>
                  </w:rPr>
                </w:pPr>
                <w:r w:rsidRPr="00B80369">
                  <w:rPr>
                    <w:b/>
                    <w:color w:val="33A1AB" w:themeColor="accent2"/>
                    <w:sz w:val="14"/>
                    <w:szCs w:val="14"/>
                  </w:rPr>
                  <w:t>3-Y DR</w:t>
                </w:r>
              </w:p>
            </w:tc>
            <w:tc>
              <w:tcPr>
                <w:tcW w:w="417" w:type="pct"/>
                <w:tcBorders>
                  <w:top w:val="single" w:sz="12" w:space="0" w:color="AFAFB4" w:themeColor="accent4"/>
                </w:tcBorders>
                <w:shd w:val="clear" w:color="auto" w:fill="FFFFFF" w:themeFill="background2"/>
                <w:vAlign w:val="center"/>
              </w:tcPr>
              <w:p w14:paraId="1F69A3F6" w14:textId="77777777" w:rsidR="003927C1" w:rsidRPr="00B80369" w:rsidRDefault="003927C1" w:rsidP="00B80369">
                <w:pPr>
                  <w:spacing w:before="0" w:line="240" w:lineRule="auto"/>
                  <w:jc w:val="center"/>
                  <w:rPr>
                    <w:b/>
                    <w:color w:val="33A1AB" w:themeColor="accent2"/>
                    <w:sz w:val="14"/>
                    <w:szCs w:val="14"/>
                  </w:rPr>
                </w:pPr>
                <w:r w:rsidRPr="00B80369">
                  <w:rPr>
                    <w:b/>
                    <w:color w:val="33A1AB" w:themeColor="accent2"/>
                    <w:sz w:val="14"/>
                    <w:szCs w:val="14"/>
                  </w:rPr>
                  <w:t>4-Y DR</w:t>
                </w:r>
              </w:p>
            </w:tc>
            <w:tc>
              <w:tcPr>
                <w:tcW w:w="413" w:type="pct"/>
                <w:tcBorders>
                  <w:top w:val="single" w:sz="12" w:space="0" w:color="AFAFB4" w:themeColor="accent4"/>
                </w:tcBorders>
                <w:shd w:val="clear" w:color="auto" w:fill="FFFFFF" w:themeFill="background2"/>
                <w:vAlign w:val="center"/>
              </w:tcPr>
              <w:p w14:paraId="32C3E631" w14:textId="77777777" w:rsidR="003927C1" w:rsidRPr="00B80369" w:rsidRDefault="003927C1" w:rsidP="00B80369">
                <w:pPr>
                  <w:spacing w:before="0" w:line="240" w:lineRule="auto"/>
                  <w:jc w:val="center"/>
                  <w:rPr>
                    <w:b/>
                    <w:color w:val="33A1AB" w:themeColor="accent2"/>
                    <w:sz w:val="14"/>
                    <w:szCs w:val="14"/>
                  </w:rPr>
                </w:pPr>
                <w:r w:rsidRPr="00B80369">
                  <w:rPr>
                    <w:b/>
                    <w:color w:val="33A1AB" w:themeColor="accent2"/>
                    <w:sz w:val="14"/>
                    <w:szCs w:val="14"/>
                  </w:rPr>
                  <w:t>5-Y DR</w:t>
                </w:r>
              </w:p>
            </w:tc>
          </w:tr>
          <w:tr w:rsidR="003927C1" w:rsidRPr="00B80369" w14:paraId="3F8AE7F0"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03A47331" w14:textId="77777777" w:rsidR="003927C1" w:rsidRPr="00B80369" w:rsidRDefault="003927C1"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A1.1</w:t>
                </w:r>
              </w:p>
            </w:tc>
            <w:tc>
              <w:tcPr>
                <w:tcW w:w="491" w:type="pct"/>
                <w:shd w:val="clear" w:color="auto" w:fill="FFFFFF" w:themeFill="background2"/>
                <w:tcMar>
                  <w:top w:w="60" w:type="dxa"/>
                  <w:left w:w="114" w:type="dxa"/>
                  <w:bottom w:w="60" w:type="dxa"/>
                  <w:right w:w="114" w:type="dxa"/>
                </w:tcMar>
                <w:vAlign w:val="center"/>
              </w:tcPr>
              <w:p w14:paraId="56E3C4F0" w14:textId="44AC9975"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16</w:t>
                </w:r>
              </w:p>
            </w:tc>
            <w:tc>
              <w:tcPr>
                <w:tcW w:w="417" w:type="pct"/>
                <w:shd w:val="clear" w:color="auto" w:fill="FFFFFF" w:themeFill="background2"/>
                <w:tcMar>
                  <w:top w:w="60" w:type="dxa"/>
                  <w:left w:w="114" w:type="dxa"/>
                  <w:bottom w:w="60" w:type="dxa"/>
                  <w:right w:w="114" w:type="dxa"/>
                </w:tcMar>
                <w:vAlign w:val="center"/>
              </w:tcPr>
              <w:p w14:paraId="7B07167B" w14:textId="7559F176"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59F67115" w14:textId="589B5FAC"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5E5D0AF8" w14:textId="5E607D89"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327AABDA" w14:textId="058FDF02"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271FA948" w14:textId="374CB8DC"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04ADF5E4" w14:textId="2AE216DD"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20BEF14A" w14:textId="4859B4B8"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583B65F8" w14:textId="4B5EF032"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79C3BCDF" w14:textId="4D7A462B"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3" w:type="pct"/>
                <w:shd w:val="clear" w:color="auto" w:fill="FFFFFF" w:themeFill="background2"/>
                <w:vAlign w:val="center"/>
              </w:tcPr>
              <w:p w14:paraId="6531B8C9" w14:textId="25D7542D"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r>
          <w:tr w:rsidR="003927C1" w:rsidRPr="00B80369" w14:paraId="4BD2F0A4"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4EF0B1C3" w14:textId="77777777" w:rsidR="003927C1" w:rsidRPr="00B80369" w:rsidRDefault="003927C1"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A1.2</w:t>
                </w:r>
              </w:p>
            </w:tc>
            <w:tc>
              <w:tcPr>
                <w:tcW w:w="491" w:type="pct"/>
                <w:shd w:val="clear" w:color="auto" w:fill="FFFFFF" w:themeFill="background2"/>
                <w:tcMar>
                  <w:top w:w="60" w:type="dxa"/>
                  <w:left w:w="114" w:type="dxa"/>
                  <w:bottom w:w="60" w:type="dxa"/>
                  <w:right w:w="114" w:type="dxa"/>
                </w:tcMar>
                <w:vAlign w:val="center"/>
              </w:tcPr>
              <w:p w14:paraId="02E05BF0" w14:textId="4C901C4A"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41</w:t>
                </w:r>
              </w:p>
            </w:tc>
            <w:tc>
              <w:tcPr>
                <w:tcW w:w="417" w:type="pct"/>
                <w:shd w:val="clear" w:color="auto" w:fill="FFFFFF" w:themeFill="background2"/>
                <w:tcMar>
                  <w:top w:w="60" w:type="dxa"/>
                  <w:left w:w="114" w:type="dxa"/>
                  <w:bottom w:w="60" w:type="dxa"/>
                  <w:right w:w="114" w:type="dxa"/>
                </w:tcMar>
                <w:vAlign w:val="center"/>
              </w:tcPr>
              <w:p w14:paraId="7433AE59" w14:textId="669493A5"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7DB473F5" w14:textId="758F2848"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0ED176DE" w14:textId="4CDDD0E1"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14C9D5AD" w14:textId="340C3CC1"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1E171C13" w14:textId="155C91F0"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779CD0A7" w14:textId="58CD134D"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55FD8902" w14:textId="5F155B9D"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7A7DF2C1" w14:textId="2E7BF757"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4CD6DEEF" w14:textId="194348F3"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3" w:type="pct"/>
                <w:shd w:val="clear" w:color="auto" w:fill="FFFFFF" w:themeFill="background2"/>
                <w:vAlign w:val="center"/>
              </w:tcPr>
              <w:p w14:paraId="6A33445F" w14:textId="03756A52"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r>
          <w:tr w:rsidR="003927C1" w:rsidRPr="00B80369" w14:paraId="56FF1991"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76668E47" w14:textId="77777777" w:rsidR="003927C1" w:rsidRPr="00B80369" w:rsidRDefault="003927C1"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A1.3</w:t>
                </w:r>
              </w:p>
            </w:tc>
            <w:tc>
              <w:tcPr>
                <w:tcW w:w="491" w:type="pct"/>
                <w:shd w:val="clear" w:color="auto" w:fill="FFFFFF" w:themeFill="background2"/>
                <w:tcMar>
                  <w:top w:w="60" w:type="dxa"/>
                  <w:left w:w="114" w:type="dxa"/>
                  <w:bottom w:w="60" w:type="dxa"/>
                  <w:right w:w="114" w:type="dxa"/>
                </w:tcMar>
                <w:vAlign w:val="center"/>
              </w:tcPr>
              <w:p w14:paraId="576D3DAA" w14:textId="236AB98D"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100</w:t>
                </w:r>
              </w:p>
            </w:tc>
            <w:tc>
              <w:tcPr>
                <w:tcW w:w="417" w:type="pct"/>
                <w:shd w:val="clear" w:color="auto" w:fill="FFFFFF" w:themeFill="background2"/>
                <w:tcMar>
                  <w:top w:w="60" w:type="dxa"/>
                  <w:left w:w="114" w:type="dxa"/>
                  <w:bottom w:w="60" w:type="dxa"/>
                  <w:right w:w="114" w:type="dxa"/>
                </w:tcMar>
                <w:vAlign w:val="center"/>
              </w:tcPr>
              <w:p w14:paraId="14E396F9" w14:textId="2093F84D"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7A239DBA" w14:textId="65FAF18D"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4366EF84" w14:textId="29DF39FB"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5EFF7A09" w14:textId="2D743EB7"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09F9985E" w14:textId="1B5758A4"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4757139B" w14:textId="5DB7CAD3"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729809C2" w14:textId="0EF16C2C"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4DBB3942" w14:textId="5DDF6542"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22907477" w14:textId="508DCCEC"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3" w:type="pct"/>
                <w:shd w:val="clear" w:color="auto" w:fill="FFFFFF" w:themeFill="background2"/>
                <w:vAlign w:val="center"/>
              </w:tcPr>
              <w:p w14:paraId="1AD0CAC1" w14:textId="4968618E"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r>
          <w:tr w:rsidR="003927C1" w:rsidRPr="00B80369" w14:paraId="0A41E72E"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1384A625" w14:textId="77777777" w:rsidR="003927C1" w:rsidRPr="00B80369" w:rsidRDefault="003927C1"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A2.1</w:t>
                </w:r>
              </w:p>
            </w:tc>
            <w:tc>
              <w:tcPr>
                <w:tcW w:w="491" w:type="pct"/>
                <w:shd w:val="clear" w:color="auto" w:fill="FFFFFF" w:themeFill="background2"/>
                <w:tcMar>
                  <w:top w:w="60" w:type="dxa"/>
                  <w:left w:w="114" w:type="dxa"/>
                  <w:bottom w:w="60" w:type="dxa"/>
                  <w:right w:w="114" w:type="dxa"/>
                </w:tcMar>
                <w:vAlign w:val="center"/>
              </w:tcPr>
              <w:p w14:paraId="62E6A471" w14:textId="16E96511"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234</w:t>
                </w:r>
              </w:p>
            </w:tc>
            <w:tc>
              <w:tcPr>
                <w:tcW w:w="417" w:type="pct"/>
                <w:shd w:val="clear" w:color="auto" w:fill="FFFFFF" w:themeFill="background2"/>
                <w:tcMar>
                  <w:top w:w="60" w:type="dxa"/>
                  <w:left w:w="114" w:type="dxa"/>
                  <w:bottom w:w="60" w:type="dxa"/>
                  <w:right w:w="114" w:type="dxa"/>
                </w:tcMar>
                <w:vAlign w:val="center"/>
              </w:tcPr>
              <w:p w14:paraId="453F7C6F" w14:textId="5F30966B"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2F95920E" w14:textId="47185521"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1810F3DD" w14:textId="49C6457F"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5D68116B" w14:textId="79F8306B"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w:t>
                </w:r>
              </w:p>
            </w:tc>
            <w:tc>
              <w:tcPr>
                <w:tcW w:w="417" w:type="pct"/>
                <w:shd w:val="clear" w:color="auto" w:fill="FFFFFF" w:themeFill="background2"/>
                <w:vAlign w:val="center"/>
              </w:tcPr>
              <w:p w14:paraId="7C710F2F" w14:textId="00F044C1"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w:t>
                </w:r>
              </w:p>
            </w:tc>
            <w:tc>
              <w:tcPr>
                <w:tcW w:w="417" w:type="pct"/>
                <w:shd w:val="clear" w:color="auto" w:fill="FFFFFF" w:themeFill="background2"/>
                <w:vAlign w:val="center"/>
              </w:tcPr>
              <w:p w14:paraId="18606BB2" w14:textId="0FD716D9"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46105B9D" w14:textId="55D1C7EC"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7C97689A" w14:textId="600940B5"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5794E297" w14:textId="675B1D43"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0.43%</w:t>
                </w:r>
              </w:p>
            </w:tc>
            <w:tc>
              <w:tcPr>
                <w:tcW w:w="413" w:type="pct"/>
                <w:shd w:val="clear" w:color="auto" w:fill="FFFFFF" w:themeFill="background2"/>
                <w:vAlign w:val="center"/>
              </w:tcPr>
              <w:p w14:paraId="05C5A46F" w14:textId="699EE7CF"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0.85%</w:t>
                </w:r>
              </w:p>
            </w:tc>
          </w:tr>
          <w:tr w:rsidR="003927C1" w:rsidRPr="00B80369" w14:paraId="7971044D"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1D4E93AC" w14:textId="77777777" w:rsidR="003927C1" w:rsidRPr="00B80369" w:rsidRDefault="003927C1"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A2.2</w:t>
                </w:r>
              </w:p>
            </w:tc>
            <w:tc>
              <w:tcPr>
                <w:tcW w:w="491" w:type="pct"/>
                <w:shd w:val="clear" w:color="auto" w:fill="FFFFFF" w:themeFill="background2"/>
                <w:tcMar>
                  <w:top w:w="60" w:type="dxa"/>
                  <w:left w:w="114" w:type="dxa"/>
                  <w:bottom w:w="60" w:type="dxa"/>
                  <w:right w:w="114" w:type="dxa"/>
                </w:tcMar>
                <w:vAlign w:val="center"/>
              </w:tcPr>
              <w:p w14:paraId="6A83FDA8" w14:textId="15132B8C"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920</w:t>
                </w:r>
              </w:p>
            </w:tc>
            <w:tc>
              <w:tcPr>
                <w:tcW w:w="417" w:type="pct"/>
                <w:shd w:val="clear" w:color="auto" w:fill="FFFFFF" w:themeFill="background2"/>
                <w:tcMar>
                  <w:top w:w="60" w:type="dxa"/>
                  <w:left w:w="114" w:type="dxa"/>
                  <w:bottom w:w="60" w:type="dxa"/>
                  <w:right w:w="114" w:type="dxa"/>
                </w:tcMar>
                <w:vAlign w:val="center"/>
              </w:tcPr>
              <w:p w14:paraId="64A6FD81" w14:textId="4114C9F6"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75583825" w14:textId="46BD06A6"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546ECE10" w14:textId="23E15D9D"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w:t>
                </w:r>
              </w:p>
            </w:tc>
            <w:tc>
              <w:tcPr>
                <w:tcW w:w="417" w:type="pct"/>
                <w:shd w:val="clear" w:color="auto" w:fill="FFFFFF" w:themeFill="background2"/>
                <w:vAlign w:val="center"/>
              </w:tcPr>
              <w:p w14:paraId="39E427EF" w14:textId="4CDBD815"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w:t>
                </w:r>
              </w:p>
            </w:tc>
            <w:tc>
              <w:tcPr>
                <w:tcW w:w="417" w:type="pct"/>
                <w:shd w:val="clear" w:color="auto" w:fill="FFFFFF" w:themeFill="background2"/>
                <w:vAlign w:val="center"/>
              </w:tcPr>
              <w:p w14:paraId="00DCD9CA" w14:textId="1C8A43EE"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8</w:t>
                </w:r>
              </w:p>
            </w:tc>
            <w:tc>
              <w:tcPr>
                <w:tcW w:w="417" w:type="pct"/>
                <w:shd w:val="clear" w:color="auto" w:fill="FFFFFF" w:themeFill="background2"/>
                <w:vAlign w:val="center"/>
              </w:tcPr>
              <w:p w14:paraId="339BC551" w14:textId="4977D0FB"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79ED9156" w14:textId="4E6CFA51"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29ED7E93" w14:textId="3645BC1A"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0.11%</w:t>
                </w:r>
              </w:p>
            </w:tc>
            <w:tc>
              <w:tcPr>
                <w:tcW w:w="417" w:type="pct"/>
                <w:shd w:val="clear" w:color="auto" w:fill="FFFFFF" w:themeFill="background2"/>
                <w:vAlign w:val="center"/>
              </w:tcPr>
              <w:p w14:paraId="171DA60C" w14:textId="46A11D62"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0.54%</w:t>
                </w:r>
              </w:p>
            </w:tc>
            <w:tc>
              <w:tcPr>
                <w:tcW w:w="413" w:type="pct"/>
                <w:shd w:val="clear" w:color="auto" w:fill="FFFFFF" w:themeFill="background2"/>
                <w:vAlign w:val="center"/>
              </w:tcPr>
              <w:p w14:paraId="6777C943" w14:textId="16B32FD3"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0.87%</w:t>
                </w:r>
              </w:p>
            </w:tc>
          </w:tr>
          <w:tr w:rsidR="003927C1" w:rsidRPr="00B80369" w14:paraId="73DEBB78"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7FBEEC90" w14:textId="77777777" w:rsidR="003927C1" w:rsidRPr="00B80369" w:rsidRDefault="003927C1"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A3.1</w:t>
                </w:r>
              </w:p>
            </w:tc>
            <w:tc>
              <w:tcPr>
                <w:tcW w:w="491" w:type="pct"/>
                <w:shd w:val="clear" w:color="auto" w:fill="FFFFFF" w:themeFill="background2"/>
                <w:tcMar>
                  <w:top w:w="60" w:type="dxa"/>
                  <w:left w:w="114" w:type="dxa"/>
                  <w:bottom w:w="60" w:type="dxa"/>
                  <w:right w:w="114" w:type="dxa"/>
                </w:tcMar>
                <w:vAlign w:val="center"/>
              </w:tcPr>
              <w:p w14:paraId="5A865469" w14:textId="3F6F09FC"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3,198</w:t>
                </w:r>
              </w:p>
            </w:tc>
            <w:tc>
              <w:tcPr>
                <w:tcW w:w="417" w:type="pct"/>
                <w:shd w:val="clear" w:color="auto" w:fill="FFFFFF" w:themeFill="background2"/>
                <w:tcMar>
                  <w:top w:w="60" w:type="dxa"/>
                  <w:left w:w="114" w:type="dxa"/>
                  <w:bottom w:w="60" w:type="dxa"/>
                  <w:right w:w="114" w:type="dxa"/>
                </w:tcMar>
                <w:vAlign w:val="center"/>
              </w:tcPr>
              <w:p w14:paraId="6E6122F9" w14:textId="7BF96027"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8</w:t>
                </w:r>
              </w:p>
            </w:tc>
            <w:tc>
              <w:tcPr>
                <w:tcW w:w="417" w:type="pct"/>
                <w:shd w:val="clear" w:color="auto" w:fill="FFFFFF" w:themeFill="background2"/>
                <w:vAlign w:val="center"/>
              </w:tcPr>
              <w:p w14:paraId="1F879AB4" w14:textId="51A40FC1"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12</w:t>
                </w:r>
              </w:p>
            </w:tc>
            <w:tc>
              <w:tcPr>
                <w:tcW w:w="417" w:type="pct"/>
                <w:shd w:val="clear" w:color="auto" w:fill="FFFFFF" w:themeFill="background2"/>
                <w:vAlign w:val="center"/>
              </w:tcPr>
              <w:p w14:paraId="3046A2C4" w14:textId="193EFAA1"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25</w:t>
                </w:r>
              </w:p>
            </w:tc>
            <w:tc>
              <w:tcPr>
                <w:tcW w:w="417" w:type="pct"/>
                <w:shd w:val="clear" w:color="auto" w:fill="FFFFFF" w:themeFill="background2"/>
                <w:vAlign w:val="center"/>
              </w:tcPr>
              <w:p w14:paraId="20DEF599" w14:textId="49C2BA0B"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37</w:t>
                </w:r>
              </w:p>
            </w:tc>
            <w:tc>
              <w:tcPr>
                <w:tcW w:w="417" w:type="pct"/>
                <w:shd w:val="clear" w:color="auto" w:fill="FFFFFF" w:themeFill="background2"/>
                <w:vAlign w:val="center"/>
              </w:tcPr>
              <w:p w14:paraId="2480B17F" w14:textId="7F5CD48E"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51</w:t>
                </w:r>
              </w:p>
            </w:tc>
            <w:tc>
              <w:tcPr>
                <w:tcW w:w="417" w:type="pct"/>
                <w:shd w:val="clear" w:color="auto" w:fill="FFFFFF" w:themeFill="background2"/>
                <w:vAlign w:val="center"/>
              </w:tcPr>
              <w:p w14:paraId="7826107A" w14:textId="5849A395"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0.25%</w:t>
                </w:r>
              </w:p>
            </w:tc>
            <w:tc>
              <w:tcPr>
                <w:tcW w:w="417" w:type="pct"/>
                <w:shd w:val="clear" w:color="auto" w:fill="FFFFFF" w:themeFill="background2"/>
                <w:vAlign w:val="center"/>
              </w:tcPr>
              <w:p w14:paraId="67531320" w14:textId="7B6AB44A"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0.38%</w:t>
                </w:r>
              </w:p>
            </w:tc>
            <w:tc>
              <w:tcPr>
                <w:tcW w:w="417" w:type="pct"/>
                <w:shd w:val="clear" w:color="auto" w:fill="FFFFFF" w:themeFill="background2"/>
                <w:vAlign w:val="center"/>
              </w:tcPr>
              <w:p w14:paraId="7911A7BC" w14:textId="7E72FD7E"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0.78%</w:t>
                </w:r>
              </w:p>
            </w:tc>
            <w:tc>
              <w:tcPr>
                <w:tcW w:w="417" w:type="pct"/>
                <w:shd w:val="clear" w:color="auto" w:fill="FFFFFF" w:themeFill="background2"/>
                <w:vAlign w:val="center"/>
              </w:tcPr>
              <w:p w14:paraId="355CD3D4" w14:textId="22723CCE"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1.16%</w:t>
                </w:r>
              </w:p>
            </w:tc>
            <w:tc>
              <w:tcPr>
                <w:tcW w:w="413" w:type="pct"/>
                <w:shd w:val="clear" w:color="auto" w:fill="FFFFFF" w:themeFill="background2"/>
                <w:vAlign w:val="center"/>
              </w:tcPr>
              <w:p w14:paraId="453741A9" w14:textId="1C83DBF6"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1.59%</w:t>
                </w:r>
              </w:p>
            </w:tc>
          </w:tr>
          <w:tr w:rsidR="003927C1" w:rsidRPr="00B80369" w14:paraId="488D5DE2"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42CAEAF2" w14:textId="77777777" w:rsidR="003927C1" w:rsidRPr="00B80369" w:rsidRDefault="003927C1"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B1.1</w:t>
                </w:r>
              </w:p>
            </w:tc>
            <w:tc>
              <w:tcPr>
                <w:tcW w:w="491" w:type="pct"/>
                <w:shd w:val="clear" w:color="auto" w:fill="FFFFFF" w:themeFill="background2"/>
                <w:tcMar>
                  <w:top w:w="60" w:type="dxa"/>
                  <w:left w:w="114" w:type="dxa"/>
                  <w:bottom w:w="60" w:type="dxa"/>
                  <w:right w:w="114" w:type="dxa"/>
                </w:tcMar>
                <w:vAlign w:val="center"/>
              </w:tcPr>
              <w:p w14:paraId="7DA42598" w14:textId="7D8A1C2C"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4,972</w:t>
                </w:r>
              </w:p>
            </w:tc>
            <w:tc>
              <w:tcPr>
                <w:tcW w:w="417" w:type="pct"/>
                <w:shd w:val="clear" w:color="auto" w:fill="FFFFFF" w:themeFill="background2"/>
                <w:tcMar>
                  <w:top w:w="60" w:type="dxa"/>
                  <w:left w:w="114" w:type="dxa"/>
                  <w:bottom w:w="60" w:type="dxa"/>
                  <w:right w:w="114" w:type="dxa"/>
                </w:tcMar>
                <w:vAlign w:val="center"/>
              </w:tcPr>
              <w:p w14:paraId="1D4336B3" w14:textId="47C9C125"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21</w:t>
                </w:r>
              </w:p>
            </w:tc>
            <w:tc>
              <w:tcPr>
                <w:tcW w:w="417" w:type="pct"/>
                <w:shd w:val="clear" w:color="auto" w:fill="FFFFFF" w:themeFill="background2"/>
                <w:vAlign w:val="center"/>
              </w:tcPr>
              <w:p w14:paraId="36963BE2" w14:textId="7B8FF6FD"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61</w:t>
                </w:r>
              </w:p>
            </w:tc>
            <w:tc>
              <w:tcPr>
                <w:tcW w:w="417" w:type="pct"/>
                <w:shd w:val="clear" w:color="auto" w:fill="FFFFFF" w:themeFill="background2"/>
                <w:vAlign w:val="center"/>
              </w:tcPr>
              <w:p w14:paraId="3C841230" w14:textId="61B0352E"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102</w:t>
                </w:r>
              </w:p>
            </w:tc>
            <w:tc>
              <w:tcPr>
                <w:tcW w:w="417" w:type="pct"/>
                <w:shd w:val="clear" w:color="auto" w:fill="FFFFFF" w:themeFill="background2"/>
                <w:vAlign w:val="center"/>
              </w:tcPr>
              <w:p w14:paraId="31BA810C" w14:textId="37A01781"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143</w:t>
                </w:r>
              </w:p>
            </w:tc>
            <w:tc>
              <w:tcPr>
                <w:tcW w:w="417" w:type="pct"/>
                <w:shd w:val="clear" w:color="auto" w:fill="FFFFFF" w:themeFill="background2"/>
                <w:vAlign w:val="center"/>
              </w:tcPr>
              <w:p w14:paraId="5AF57962" w14:textId="275341CA"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187</w:t>
                </w:r>
              </w:p>
            </w:tc>
            <w:tc>
              <w:tcPr>
                <w:tcW w:w="417" w:type="pct"/>
                <w:shd w:val="clear" w:color="auto" w:fill="FFFFFF" w:themeFill="background2"/>
                <w:vAlign w:val="center"/>
              </w:tcPr>
              <w:p w14:paraId="163E7E25" w14:textId="738D818D"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0.42%</w:t>
                </w:r>
              </w:p>
            </w:tc>
            <w:tc>
              <w:tcPr>
                <w:tcW w:w="417" w:type="pct"/>
                <w:shd w:val="clear" w:color="auto" w:fill="FFFFFF" w:themeFill="background2"/>
                <w:vAlign w:val="center"/>
              </w:tcPr>
              <w:p w14:paraId="767A073D" w14:textId="76CC43D8"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1.23%</w:t>
                </w:r>
              </w:p>
            </w:tc>
            <w:tc>
              <w:tcPr>
                <w:tcW w:w="417" w:type="pct"/>
                <w:shd w:val="clear" w:color="auto" w:fill="FFFFFF" w:themeFill="background2"/>
                <w:vAlign w:val="center"/>
              </w:tcPr>
              <w:p w14:paraId="42749909" w14:textId="46A14257"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2.05%</w:t>
                </w:r>
              </w:p>
            </w:tc>
            <w:tc>
              <w:tcPr>
                <w:tcW w:w="417" w:type="pct"/>
                <w:shd w:val="clear" w:color="auto" w:fill="FFFFFF" w:themeFill="background2"/>
                <w:vAlign w:val="center"/>
              </w:tcPr>
              <w:p w14:paraId="0E1FBB13" w14:textId="0957E991"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2.88%</w:t>
                </w:r>
              </w:p>
            </w:tc>
            <w:tc>
              <w:tcPr>
                <w:tcW w:w="413" w:type="pct"/>
                <w:shd w:val="clear" w:color="auto" w:fill="FFFFFF" w:themeFill="background2"/>
                <w:vAlign w:val="center"/>
              </w:tcPr>
              <w:p w14:paraId="72588258" w14:textId="27D0E6E2"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3.76%</w:t>
                </w:r>
              </w:p>
            </w:tc>
          </w:tr>
          <w:tr w:rsidR="003927C1" w:rsidRPr="00B80369" w14:paraId="0712EADF"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725780F0" w14:textId="77777777" w:rsidR="003927C1" w:rsidRPr="00B80369" w:rsidRDefault="003927C1"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B1.2</w:t>
                </w:r>
              </w:p>
            </w:tc>
            <w:tc>
              <w:tcPr>
                <w:tcW w:w="491" w:type="pct"/>
                <w:shd w:val="clear" w:color="auto" w:fill="FFFFFF" w:themeFill="background2"/>
                <w:tcMar>
                  <w:top w:w="60" w:type="dxa"/>
                  <w:left w:w="114" w:type="dxa"/>
                  <w:bottom w:w="60" w:type="dxa"/>
                  <w:right w:w="114" w:type="dxa"/>
                </w:tcMar>
                <w:vAlign w:val="center"/>
              </w:tcPr>
              <w:p w14:paraId="21FA6F3A" w14:textId="7F8532F9"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6,124</w:t>
                </w:r>
              </w:p>
            </w:tc>
            <w:tc>
              <w:tcPr>
                <w:tcW w:w="417" w:type="pct"/>
                <w:shd w:val="clear" w:color="auto" w:fill="FFFFFF" w:themeFill="background2"/>
                <w:tcMar>
                  <w:top w:w="60" w:type="dxa"/>
                  <w:left w:w="114" w:type="dxa"/>
                  <w:bottom w:w="60" w:type="dxa"/>
                  <w:right w:w="114" w:type="dxa"/>
                </w:tcMar>
                <w:vAlign w:val="center"/>
              </w:tcPr>
              <w:p w14:paraId="1F89B740" w14:textId="354A73E8"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52</w:t>
                </w:r>
              </w:p>
            </w:tc>
            <w:tc>
              <w:tcPr>
                <w:tcW w:w="417" w:type="pct"/>
                <w:shd w:val="clear" w:color="auto" w:fill="FFFFFF" w:themeFill="background2"/>
                <w:vAlign w:val="center"/>
              </w:tcPr>
              <w:p w14:paraId="0147C80D" w14:textId="27D9CBB0"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118</w:t>
                </w:r>
              </w:p>
            </w:tc>
            <w:tc>
              <w:tcPr>
                <w:tcW w:w="417" w:type="pct"/>
                <w:shd w:val="clear" w:color="auto" w:fill="FFFFFF" w:themeFill="background2"/>
                <w:vAlign w:val="center"/>
              </w:tcPr>
              <w:p w14:paraId="39D25E3C" w14:textId="4F985753"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201</w:t>
                </w:r>
              </w:p>
            </w:tc>
            <w:tc>
              <w:tcPr>
                <w:tcW w:w="417" w:type="pct"/>
                <w:shd w:val="clear" w:color="auto" w:fill="FFFFFF" w:themeFill="background2"/>
                <w:vAlign w:val="center"/>
              </w:tcPr>
              <w:p w14:paraId="5675F086" w14:textId="15C1C26C"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281</w:t>
                </w:r>
              </w:p>
            </w:tc>
            <w:tc>
              <w:tcPr>
                <w:tcW w:w="417" w:type="pct"/>
                <w:shd w:val="clear" w:color="auto" w:fill="FFFFFF" w:themeFill="background2"/>
                <w:vAlign w:val="center"/>
              </w:tcPr>
              <w:p w14:paraId="059929FD" w14:textId="400F975C"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352</w:t>
                </w:r>
              </w:p>
            </w:tc>
            <w:tc>
              <w:tcPr>
                <w:tcW w:w="417" w:type="pct"/>
                <w:shd w:val="clear" w:color="auto" w:fill="FFFFFF" w:themeFill="background2"/>
                <w:vAlign w:val="center"/>
              </w:tcPr>
              <w:p w14:paraId="5FEC7233" w14:textId="42A1F307"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0.85%</w:t>
                </w:r>
              </w:p>
            </w:tc>
            <w:tc>
              <w:tcPr>
                <w:tcW w:w="417" w:type="pct"/>
                <w:shd w:val="clear" w:color="auto" w:fill="FFFFFF" w:themeFill="background2"/>
                <w:vAlign w:val="center"/>
              </w:tcPr>
              <w:p w14:paraId="0CE5FD93" w14:textId="2B4E57A2"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1.93%</w:t>
                </w:r>
              </w:p>
            </w:tc>
            <w:tc>
              <w:tcPr>
                <w:tcW w:w="417" w:type="pct"/>
                <w:shd w:val="clear" w:color="auto" w:fill="FFFFFF" w:themeFill="background2"/>
                <w:vAlign w:val="center"/>
              </w:tcPr>
              <w:p w14:paraId="6E3DAB38" w14:textId="3686907D"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3.28%</w:t>
                </w:r>
              </w:p>
            </w:tc>
            <w:tc>
              <w:tcPr>
                <w:tcW w:w="417" w:type="pct"/>
                <w:shd w:val="clear" w:color="auto" w:fill="FFFFFF" w:themeFill="background2"/>
                <w:vAlign w:val="center"/>
              </w:tcPr>
              <w:p w14:paraId="4EDE73BC" w14:textId="3A9C7CD7"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4.59%</w:t>
                </w:r>
              </w:p>
            </w:tc>
            <w:tc>
              <w:tcPr>
                <w:tcW w:w="413" w:type="pct"/>
                <w:shd w:val="clear" w:color="auto" w:fill="FFFFFF" w:themeFill="background2"/>
                <w:vAlign w:val="center"/>
              </w:tcPr>
              <w:p w14:paraId="470ADED2" w14:textId="3B741F1B"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5.75%</w:t>
                </w:r>
              </w:p>
            </w:tc>
          </w:tr>
          <w:tr w:rsidR="003927C1" w:rsidRPr="00B80369" w14:paraId="769A0658"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7BC9128C" w14:textId="77777777" w:rsidR="003927C1" w:rsidRPr="00B80369" w:rsidRDefault="003927C1"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B2.1</w:t>
                </w:r>
              </w:p>
            </w:tc>
            <w:tc>
              <w:tcPr>
                <w:tcW w:w="491" w:type="pct"/>
                <w:shd w:val="clear" w:color="auto" w:fill="FFFFFF" w:themeFill="background2"/>
                <w:tcMar>
                  <w:top w:w="60" w:type="dxa"/>
                  <w:left w:w="114" w:type="dxa"/>
                  <w:bottom w:w="60" w:type="dxa"/>
                  <w:right w:w="114" w:type="dxa"/>
                </w:tcMar>
                <w:vAlign w:val="center"/>
              </w:tcPr>
              <w:p w14:paraId="6BD98522" w14:textId="78FDA083"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6,441</w:t>
                </w:r>
              </w:p>
            </w:tc>
            <w:tc>
              <w:tcPr>
                <w:tcW w:w="417" w:type="pct"/>
                <w:shd w:val="clear" w:color="auto" w:fill="FFFFFF" w:themeFill="background2"/>
                <w:tcMar>
                  <w:top w:w="60" w:type="dxa"/>
                  <w:left w:w="114" w:type="dxa"/>
                  <w:bottom w:w="60" w:type="dxa"/>
                  <w:right w:w="114" w:type="dxa"/>
                </w:tcMar>
                <w:vAlign w:val="center"/>
              </w:tcPr>
              <w:p w14:paraId="12D5685C" w14:textId="6C2E5A7E"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95</w:t>
                </w:r>
              </w:p>
            </w:tc>
            <w:tc>
              <w:tcPr>
                <w:tcW w:w="417" w:type="pct"/>
                <w:shd w:val="clear" w:color="auto" w:fill="FFFFFF" w:themeFill="background2"/>
                <w:vAlign w:val="center"/>
              </w:tcPr>
              <w:p w14:paraId="20114067" w14:textId="7B3E069A"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249</w:t>
                </w:r>
              </w:p>
            </w:tc>
            <w:tc>
              <w:tcPr>
                <w:tcW w:w="417" w:type="pct"/>
                <w:shd w:val="clear" w:color="auto" w:fill="FFFFFF" w:themeFill="background2"/>
                <w:vAlign w:val="center"/>
              </w:tcPr>
              <w:p w14:paraId="50E084FC" w14:textId="5A4F1D3D"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370</w:t>
                </w:r>
              </w:p>
            </w:tc>
            <w:tc>
              <w:tcPr>
                <w:tcW w:w="417" w:type="pct"/>
                <w:shd w:val="clear" w:color="auto" w:fill="FFFFFF" w:themeFill="background2"/>
                <w:vAlign w:val="center"/>
              </w:tcPr>
              <w:p w14:paraId="505AA205" w14:textId="296FFABC"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473</w:t>
                </w:r>
              </w:p>
            </w:tc>
            <w:tc>
              <w:tcPr>
                <w:tcW w:w="417" w:type="pct"/>
                <w:shd w:val="clear" w:color="auto" w:fill="FFFFFF" w:themeFill="background2"/>
                <w:vAlign w:val="center"/>
              </w:tcPr>
              <w:p w14:paraId="400677ED" w14:textId="312E6802"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574</w:t>
                </w:r>
              </w:p>
            </w:tc>
            <w:tc>
              <w:tcPr>
                <w:tcW w:w="417" w:type="pct"/>
                <w:shd w:val="clear" w:color="auto" w:fill="FFFFFF" w:themeFill="background2"/>
                <w:vAlign w:val="center"/>
              </w:tcPr>
              <w:p w14:paraId="53339E55" w14:textId="2387DB9A"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1.47%</w:t>
                </w:r>
              </w:p>
            </w:tc>
            <w:tc>
              <w:tcPr>
                <w:tcW w:w="417" w:type="pct"/>
                <w:shd w:val="clear" w:color="auto" w:fill="FFFFFF" w:themeFill="background2"/>
                <w:vAlign w:val="center"/>
              </w:tcPr>
              <w:p w14:paraId="7E4DF78B" w14:textId="63446240" w:rsidR="003927C1" w:rsidRPr="00B80369" w:rsidRDefault="003927C1"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3.87%</w:t>
                </w:r>
              </w:p>
            </w:tc>
            <w:tc>
              <w:tcPr>
                <w:tcW w:w="417" w:type="pct"/>
                <w:shd w:val="clear" w:color="auto" w:fill="FFFFFF" w:themeFill="background2"/>
                <w:vAlign w:val="center"/>
              </w:tcPr>
              <w:p w14:paraId="101E9971" w14:textId="55863ACE" w:rsidR="003927C1" w:rsidRPr="00B80369" w:rsidRDefault="003927C1"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5.74%</w:t>
                </w:r>
              </w:p>
            </w:tc>
            <w:tc>
              <w:tcPr>
                <w:tcW w:w="417" w:type="pct"/>
                <w:shd w:val="clear" w:color="auto" w:fill="FFFFFF" w:themeFill="background2"/>
                <w:vAlign w:val="center"/>
              </w:tcPr>
              <w:p w14:paraId="00F146F7" w14:textId="7FE3DA1B" w:rsidR="003927C1" w:rsidRPr="00B80369" w:rsidRDefault="003927C1"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7.34%</w:t>
                </w:r>
              </w:p>
            </w:tc>
            <w:tc>
              <w:tcPr>
                <w:tcW w:w="413" w:type="pct"/>
                <w:shd w:val="clear" w:color="auto" w:fill="FFFFFF" w:themeFill="background2"/>
                <w:vAlign w:val="center"/>
              </w:tcPr>
              <w:p w14:paraId="433C2D13" w14:textId="405A655A" w:rsidR="003927C1" w:rsidRPr="00B80369" w:rsidRDefault="003927C1"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8.91%</w:t>
                </w:r>
              </w:p>
            </w:tc>
          </w:tr>
          <w:tr w:rsidR="003927C1" w:rsidRPr="00B80369" w14:paraId="1ED9BD0C"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0DF25E79" w14:textId="77777777" w:rsidR="003927C1" w:rsidRPr="00B80369" w:rsidRDefault="003927C1"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B2.2</w:t>
                </w:r>
              </w:p>
            </w:tc>
            <w:tc>
              <w:tcPr>
                <w:tcW w:w="491" w:type="pct"/>
                <w:shd w:val="clear" w:color="auto" w:fill="FFFFFF" w:themeFill="background2"/>
                <w:tcMar>
                  <w:top w:w="60" w:type="dxa"/>
                  <w:left w:w="114" w:type="dxa"/>
                  <w:bottom w:w="60" w:type="dxa"/>
                  <w:right w:w="114" w:type="dxa"/>
                </w:tcMar>
                <w:vAlign w:val="center"/>
              </w:tcPr>
              <w:p w14:paraId="261F0F37" w14:textId="79771628"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3,626</w:t>
                </w:r>
              </w:p>
            </w:tc>
            <w:tc>
              <w:tcPr>
                <w:tcW w:w="417" w:type="pct"/>
                <w:shd w:val="clear" w:color="auto" w:fill="FFFFFF" w:themeFill="background2"/>
                <w:tcMar>
                  <w:top w:w="60" w:type="dxa"/>
                  <w:left w:w="114" w:type="dxa"/>
                  <w:bottom w:w="60" w:type="dxa"/>
                  <w:right w:w="114" w:type="dxa"/>
                </w:tcMar>
                <w:vAlign w:val="center"/>
              </w:tcPr>
              <w:p w14:paraId="109780DB" w14:textId="74CF7D7E"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108</w:t>
                </w:r>
              </w:p>
            </w:tc>
            <w:tc>
              <w:tcPr>
                <w:tcW w:w="417" w:type="pct"/>
                <w:shd w:val="clear" w:color="auto" w:fill="FFFFFF" w:themeFill="background2"/>
                <w:vAlign w:val="center"/>
              </w:tcPr>
              <w:p w14:paraId="1F371D2A" w14:textId="5B92BCCE"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224</w:t>
                </w:r>
              </w:p>
            </w:tc>
            <w:tc>
              <w:tcPr>
                <w:tcW w:w="417" w:type="pct"/>
                <w:shd w:val="clear" w:color="auto" w:fill="FFFFFF" w:themeFill="background2"/>
                <w:vAlign w:val="center"/>
              </w:tcPr>
              <w:p w14:paraId="2066924D" w14:textId="75885BF5"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338</w:t>
                </w:r>
              </w:p>
            </w:tc>
            <w:tc>
              <w:tcPr>
                <w:tcW w:w="417" w:type="pct"/>
                <w:shd w:val="clear" w:color="auto" w:fill="FFFFFF" w:themeFill="background2"/>
                <w:vAlign w:val="center"/>
              </w:tcPr>
              <w:p w14:paraId="1A0756BD" w14:textId="34929C2E"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420</w:t>
                </w:r>
              </w:p>
            </w:tc>
            <w:tc>
              <w:tcPr>
                <w:tcW w:w="417" w:type="pct"/>
                <w:shd w:val="clear" w:color="auto" w:fill="FFFFFF" w:themeFill="background2"/>
                <w:vAlign w:val="center"/>
              </w:tcPr>
              <w:p w14:paraId="26973E12" w14:textId="5C58E86C"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510</w:t>
                </w:r>
              </w:p>
            </w:tc>
            <w:tc>
              <w:tcPr>
                <w:tcW w:w="417" w:type="pct"/>
                <w:shd w:val="clear" w:color="auto" w:fill="FFFFFF" w:themeFill="background2"/>
                <w:vAlign w:val="center"/>
              </w:tcPr>
              <w:p w14:paraId="1334EEDD" w14:textId="78768314"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2.98%</w:t>
                </w:r>
              </w:p>
            </w:tc>
            <w:tc>
              <w:tcPr>
                <w:tcW w:w="417" w:type="pct"/>
                <w:shd w:val="clear" w:color="auto" w:fill="FFFFFF" w:themeFill="background2"/>
                <w:vAlign w:val="center"/>
              </w:tcPr>
              <w:p w14:paraId="70BC6235" w14:textId="1F8F56B9"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6.18%</w:t>
                </w:r>
              </w:p>
            </w:tc>
            <w:tc>
              <w:tcPr>
                <w:tcW w:w="417" w:type="pct"/>
                <w:shd w:val="clear" w:color="auto" w:fill="FFFFFF" w:themeFill="background2"/>
                <w:vAlign w:val="center"/>
              </w:tcPr>
              <w:p w14:paraId="061087DD" w14:textId="407EA3DD"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9.32%</w:t>
                </w:r>
              </w:p>
            </w:tc>
            <w:tc>
              <w:tcPr>
                <w:tcW w:w="417" w:type="pct"/>
                <w:shd w:val="clear" w:color="auto" w:fill="FFFFFF" w:themeFill="background2"/>
                <w:vAlign w:val="center"/>
              </w:tcPr>
              <w:p w14:paraId="4338DF75" w14:textId="0A2089E8"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11.58%</w:t>
                </w:r>
              </w:p>
            </w:tc>
            <w:tc>
              <w:tcPr>
                <w:tcW w:w="413" w:type="pct"/>
                <w:shd w:val="clear" w:color="auto" w:fill="FFFFFF" w:themeFill="background2"/>
                <w:vAlign w:val="center"/>
              </w:tcPr>
              <w:p w14:paraId="77E171DA" w14:textId="383E1F14"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14.07%</w:t>
                </w:r>
              </w:p>
            </w:tc>
          </w:tr>
          <w:tr w:rsidR="003927C1" w:rsidRPr="00B80369" w14:paraId="05D26E85"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22362AC9" w14:textId="77777777" w:rsidR="003927C1" w:rsidRPr="00B80369" w:rsidRDefault="003927C1"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C1.1</w:t>
                </w:r>
              </w:p>
            </w:tc>
            <w:tc>
              <w:tcPr>
                <w:tcW w:w="491" w:type="pct"/>
                <w:shd w:val="clear" w:color="auto" w:fill="FFFFFF" w:themeFill="background2"/>
                <w:tcMar>
                  <w:top w:w="60" w:type="dxa"/>
                  <w:left w:w="114" w:type="dxa"/>
                  <w:bottom w:w="60" w:type="dxa"/>
                  <w:right w:w="114" w:type="dxa"/>
                </w:tcMar>
                <w:vAlign w:val="center"/>
              </w:tcPr>
              <w:p w14:paraId="1314280E" w14:textId="6F985627"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1,877</w:t>
                </w:r>
              </w:p>
            </w:tc>
            <w:tc>
              <w:tcPr>
                <w:tcW w:w="417" w:type="pct"/>
                <w:shd w:val="clear" w:color="auto" w:fill="FFFFFF" w:themeFill="background2"/>
                <w:tcMar>
                  <w:top w:w="60" w:type="dxa"/>
                  <w:left w:w="114" w:type="dxa"/>
                  <w:bottom w:w="60" w:type="dxa"/>
                  <w:right w:w="114" w:type="dxa"/>
                </w:tcMar>
                <w:vAlign w:val="center"/>
              </w:tcPr>
              <w:p w14:paraId="07515C0F" w14:textId="7A542C54"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115</w:t>
                </w:r>
              </w:p>
            </w:tc>
            <w:tc>
              <w:tcPr>
                <w:tcW w:w="417" w:type="pct"/>
                <w:shd w:val="clear" w:color="auto" w:fill="FFFFFF" w:themeFill="background2"/>
                <w:vAlign w:val="center"/>
              </w:tcPr>
              <w:p w14:paraId="57455D0D" w14:textId="43339B36"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212</w:t>
                </w:r>
              </w:p>
            </w:tc>
            <w:tc>
              <w:tcPr>
                <w:tcW w:w="417" w:type="pct"/>
                <w:shd w:val="clear" w:color="auto" w:fill="FFFFFF" w:themeFill="background2"/>
                <w:vAlign w:val="center"/>
              </w:tcPr>
              <w:p w14:paraId="1B0F9F01" w14:textId="0E23494F"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279</w:t>
                </w:r>
              </w:p>
            </w:tc>
            <w:tc>
              <w:tcPr>
                <w:tcW w:w="417" w:type="pct"/>
                <w:shd w:val="clear" w:color="auto" w:fill="FFFFFF" w:themeFill="background2"/>
                <w:vAlign w:val="center"/>
              </w:tcPr>
              <w:p w14:paraId="4153B6B1" w14:textId="38463E2A"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338</w:t>
                </w:r>
              </w:p>
            </w:tc>
            <w:tc>
              <w:tcPr>
                <w:tcW w:w="417" w:type="pct"/>
                <w:shd w:val="clear" w:color="auto" w:fill="FFFFFF" w:themeFill="background2"/>
                <w:vAlign w:val="center"/>
              </w:tcPr>
              <w:p w14:paraId="43946929" w14:textId="59D94CF3"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394</w:t>
                </w:r>
              </w:p>
            </w:tc>
            <w:tc>
              <w:tcPr>
                <w:tcW w:w="417" w:type="pct"/>
                <w:shd w:val="clear" w:color="auto" w:fill="FFFFFF" w:themeFill="background2"/>
                <w:vAlign w:val="center"/>
              </w:tcPr>
              <w:p w14:paraId="2F9320F6" w14:textId="670F99F1"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6.13%</w:t>
                </w:r>
              </w:p>
            </w:tc>
            <w:tc>
              <w:tcPr>
                <w:tcW w:w="417" w:type="pct"/>
                <w:shd w:val="clear" w:color="auto" w:fill="FFFFFF" w:themeFill="background2"/>
                <w:vAlign w:val="center"/>
              </w:tcPr>
              <w:p w14:paraId="3A6459C1" w14:textId="5B52B57E"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11.29%</w:t>
                </w:r>
              </w:p>
            </w:tc>
            <w:tc>
              <w:tcPr>
                <w:tcW w:w="417" w:type="pct"/>
                <w:shd w:val="clear" w:color="auto" w:fill="FFFFFF" w:themeFill="background2"/>
                <w:vAlign w:val="center"/>
              </w:tcPr>
              <w:p w14:paraId="36D41988" w14:textId="7C264BE0"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14.86%</w:t>
                </w:r>
              </w:p>
            </w:tc>
            <w:tc>
              <w:tcPr>
                <w:tcW w:w="417" w:type="pct"/>
                <w:shd w:val="clear" w:color="auto" w:fill="FFFFFF" w:themeFill="background2"/>
                <w:vAlign w:val="center"/>
              </w:tcPr>
              <w:p w14:paraId="01E436C6" w14:textId="155A79AD"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18.01%</w:t>
                </w:r>
              </w:p>
            </w:tc>
            <w:tc>
              <w:tcPr>
                <w:tcW w:w="413" w:type="pct"/>
                <w:shd w:val="clear" w:color="auto" w:fill="FFFFFF" w:themeFill="background2"/>
                <w:vAlign w:val="center"/>
              </w:tcPr>
              <w:p w14:paraId="2B15FE88" w14:textId="0B563648"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20.99%</w:t>
                </w:r>
              </w:p>
            </w:tc>
          </w:tr>
          <w:tr w:rsidR="003927C1" w:rsidRPr="00B80369" w14:paraId="6B80F2BF"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74E696E4" w14:textId="77777777" w:rsidR="003927C1" w:rsidRPr="00B80369" w:rsidRDefault="003927C1"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C1.2</w:t>
                </w:r>
              </w:p>
            </w:tc>
            <w:tc>
              <w:tcPr>
                <w:tcW w:w="491" w:type="pct"/>
                <w:shd w:val="clear" w:color="auto" w:fill="FFFFFF" w:themeFill="background2"/>
                <w:tcMar>
                  <w:top w:w="60" w:type="dxa"/>
                  <w:left w:w="114" w:type="dxa"/>
                  <w:bottom w:w="60" w:type="dxa"/>
                  <w:right w:w="114" w:type="dxa"/>
                </w:tcMar>
                <w:vAlign w:val="center"/>
              </w:tcPr>
              <w:p w14:paraId="4D3799F8" w14:textId="490E61E4"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944</w:t>
                </w:r>
              </w:p>
            </w:tc>
            <w:tc>
              <w:tcPr>
                <w:tcW w:w="417" w:type="pct"/>
                <w:shd w:val="clear" w:color="auto" w:fill="FFFFFF" w:themeFill="background2"/>
                <w:tcMar>
                  <w:top w:w="60" w:type="dxa"/>
                  <w:left w:w="114" w:type="dxa"/>
                  <w:bottom w:w="60" w:type="dxa"/>
                  <w:right w:w="114" w:type="dxa"/>
                </w:tcMar>
                <w:vAlign w:val="center"/>
              </w:tcPr>
              <w:p w14:paraId="691AA3B8" w14:textId="4D2A80C5"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96</w:t>
                </w:r>
              </w:p>
            </w:tc>
            <w:tc>
              <w:tcPr>
                <w:tcW w:w="417" w:type="pct"/>
                <w:shd w:val="clear" w:color="auto" w:fill="FFFFFF" w:themeFill="background2"/>
                <w:vAlign w:val="center"/>
              </w:tcPr>
              <w:p w14:paraId="3E07C7E0" w14:textId="3A038FC2"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155</w:t>
                </w:r>
              </w:p>
            </w:tc>
            <w:tc>
              <w:tcPr>
                <w:tcW w:w="417" w:type="pct"/>
                <w:shd w:val="clear" w:color="auto" w:fill="FFFFFF" w:themeFill="background2"/>
                <w:vAlign w:val="center"/>
              </w:tcPr>
              <w:p w14:paraId="4B8BA3C8" w14:textId="0D3EE031"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191</w:t>
                </w:r>
              </w:p>
            </w:tc>
            <w:tc>
              <w:tcPr>
                <w:tcW w:w="417" w:type="pct"/>
                <w:shd w:val="clear" w:color="auto" w:fill="FFFFFF" w:themeFill="background2"/>
                <w:vAlign w:val="center"/>
              </w:tcPr>
              <w:p w14:paraId="47170D77" w14:textId="5E68C153"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216</w:t>
                </w:r>
              </w:p>
            </w:tc>
            <w:tc>
              <w:tcPr>
                <w:tcW w:w="417" w:type="pct"/>
                <w:shd w:val="clear" w:color="auto" w:fill="FFFFFF" w:themeFill="background2"/>
                <w:vAlign w:val="center"/>
              </w:tcPr>
              <w:p w14:paraId="5A6C77F4" w14:textId="0069FEB1"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246</w:t>
                </w:r>
              </w:p>
            </w:tc>
            <w:tc>
              <w:tcPr>
                <w:tcW w:w="417" w:type="pct"/>
                <w:shd w:val="clear" w:color="auto" w:fill="FFFFFF" w:themeFill="background2"/>
                <w:vAlign w:val="center"/>
              </w:tcPr>
              <w:p w14:paraId="0E42B0CC" w14:textId="74B717E3"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10.17%</w:t>
                </w:r>
              </w:p>
            </w:tc>
            <w:tc>
              <w:tcPr>
                <w:tcW w:w="417" w:type="pct"/>
                <w:shd w:val="clear" w:color="auto" w:fill="FFFFFF" w:themeFill="background2"/>
                <w:vAlign w:val="center"/>
              </w:tcPr>
              <w:p w14:paraId="2F853DD4" w14:textId="6B2ADBEC"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16.42%</w:t>
                </w:r>
              </w:p>
            </w:tc>
            <w:tc>
              <w:tcPr>
                <w:tcW w:w="417" w:type="pct"/>
                <w:shd w:val="clear" w:color="auto" w:fill="FFFFFF" w:themeFill="background2"/>
                <w:vAlign w:val="center"/>
              </w:tcPr>
              <w:p w14:paraId="25A1BEF1" w14:textId="54A97E98"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20.23%</w:t>
                </w:r>
              </w:p>
            </w:tc>
            <w:tc>
              <w:tcPr>
                <w:tcW w:w="417" w:type="pct"/>
                <w:shd w:val="clear" w:color="auto" w:fill="FFFFFF" w:themeFill="background2"/>
                <w:vAlign w:val="center"/>
              </w:tcPr>
              <w:p w14:paraId="4926DD9F" w14:textId="601A03EF"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22.88%</w:t>
                </w:r>
              </w:p>
            </w:tc>
            <w:tc>
              <w:tcPr>
                <w:tcW w:w="413" w:type="pct"/>
                <w:shd w:val="clear" w:color="auto" w:fill="FFFFFF" w:themeFill="background2"/>
                <w:vAlign w:val="center"/>
              </w:tcPr>
              <w:p w14:paraId="7310EDD5" w14:textId="1FE08CD0"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26.06%</w:t>
                </w:r>
              </w:p>
            </w:tc>
          </w:tr>
          <w:tr w:rsidR="003927C1" w:rsidRPr="00B80369" w14:paraId="0DE45612"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4CED78A8" w14:textId="77777777" w:rsidR="003927C1" w:rsidRPr="00B80369" w:rsidRDefault="003927C1"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C2.1</w:t>
                </w:r>
              </w:p>
            </w:tc>
            <w:tc>
              <w:tcPr>
                <w:tcW w:w="491" w:type="pct"/>
                <w:shd w:val="clear" w:color="auto" w:fill="FFFFFF" w:themeFill="background2"/>
                <w:tcMar>
                  <w:top w:w="60" w:type="dxa"/>
                  <w:left w:w="114" w:type="dxa"/>
                  <w:bottom w:w="60" w:type="dxa"/>
                  <w:right w:w="114" w:type="dxa"/>
                </w:tcMar>
                <w:vAlign w:val="center"/>
              </w:tcPr>
              <w:p w14:paraId="4D3A94D4" w14:textId="42714165"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915</w:t>
                </w:r>
              </w:p>
            </w:tc>
            <w:tc>
              <w:tcPr>
                <w:tcW w:w="417" w:type="pct"/>
                <w:shd w:val="clear" w:color="auto" w:fill="FFFFFF" w:themeFill="background2"/>
                <w:tcMar>
                  <w:top w:w="60" w:type="dxa"/>
                  <w:left w:w="114" w:type="dxa"/>
                  <w:bottom w:w="60" w:type="dxa"/>
                  <w:right w:w="114" w:type="dxa"/>
                </w:tcMar>
                <w:vAlign w:val="center"/>
              </w:tcPr>
              <w:p w14:paraId="5B6C7403" w14:textId="646B9341"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401</w:t>
                </w:r>
              </w:p>
            </w:tc>
            <w:tc>
              <w:tcPr>
                <w:tcW w:w="417" w:type="pct"/>
                <w:shd w:val="clear" w:color="auto" w:fill="FFFFFF" w:themeFill="background2"/>
                <w:vAlign w:val="center"/>
              </w:tcPr>
              <w:p w14:paraId="6AAB7F9D" w14:textId="41B6EBE7"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474</w:t>
                </w:r>
              </w:p>
            </w:tc>
            <w:tc>
              <w:tcPr>
                <w:tcW w:w="417" w:type="pct"/>
                <w:shd w:val="clear" w:color="auto" w:fill="FFFFFF" w:themeFill="background2"/>
                <w:vAlign w:val="center"/>
              </w:tcPr>
              <w:p w14:paraId="504B92C9" w14:textId="7F580BD8"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508</w:t>
                </w:r>
              </w:p>
            </w:tc>
            <w:tc>
              <w:tcPr>
                <w:tcW w:w="417" w:type="pct"/>
                <w:shd w:val="clear" w:color="auto" w:fill="FFFFFF" w:themeFill="background2"/>
                <w:vAlign w:val="center"/>
              </w:tcPr>
              <w:p w14:paraId="7E4B004F" w14:textId="68177E54"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539</w:t>
                </w:r>
              </w:p>
            </w:tc>
            <w:tc>
              <w:tcPr>
                <w:tcW w:w="417" w:type="pct"/>
                <w:shd w:val="clear" w:color="auto" w:fill="FFFFFF" w:themeFill="background2"/>
                <w:vAlign w:val="center"/>
              </w:tcPr>
              <w:p w14:paraId="1E57C7FE" w14:textId="7D5C7BCD"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556</w:t>
                </w:r>
              </w:p>
            </w:tc>
            <w:tc>
              <w:tcPr>
                <w:tcW w:w="417" w:type="pct"/>
                <w:shd w:val="clear" w:color="auto" w:fill="FFFFFF" w:themeFill="background2"/>
                <w:vAlign w:val="center"/>
              </w:tcPr>
              <w:p w14:paraId="28A02754" w14:textId="1E11FF08"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43.83%</w:t>
                </w:r>
              </w:p>
            </w:tc>
            <w:tc>
              <w:tcPr>
                <w:tcW w:w="417" w:type="pct"/>
                <w:shd w:val="clear" w:color="auto" w:fill="FFFFFF" w:themeFill="background2"/>
                <w:vAlign w:val="center"/>
              </w:tcPr>
              <w:p w14:paraId="23118301" w14:textId="267F3CF7"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51.80%</w:t>
                </w:r>
              </w:p>
            </w:tc>
            <w:tc>
              <w:tcPr>
                <w:tcW w:w="417" w:type="pct"/>
                <w:shd w:val="clear" w:color="auto" w:fill="FFFFFF" w:themeFill="background2"/>
                <w:vAlign w:val="center"/>
              </w:tcPr>
              <w:p w14:paraId="71DB8DC2" w14:textId="4BF6091D"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55.52%</w:t>
                </w:r>
              </w:p>
            </w:tc>
            <w:tc>
              <w:tcPr>
                <w:tcW w:w="417" w:type="pct"/>
                <w:shd w:val="clear" w:color="auto" w:fill="FFFFFF" w:themeFill="background2"/>
                <w:vAlign w:val="center"/>
              </w:tcPr>
              <w:p w14:paraId="0EDA47DC" w14:textId="7DBAEDFE"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58.91%</w:t>
                </w:r>
              </w:p>
            </w:tc>
            <w:tc>
              <w:tcPr>
                <w:tcW w:w="413" w:type="pct"/>
                <w:shd w:val="clear" w:color="auto" w:fill="FFFFFF" w:themeFill="background2"/>
                <w:vAlign w:val="center"/>
              </w:tcPr>
              <w:p w14:paraId="67038A7A" w14:textId="1B0E52FC"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60.77%</w:t>
                </w:r>
              </w:p>
            </w:tc>
          </w:tr>
          <w:tr w:rsidR="003927C1" w:rsidRPr="00B80369" w14:paraId="526BFA95" w14:textId="77777777" w:rsidTr="00AC7D4E">
            <w:trPr>
              <w:trHeight w:val="227"/>
            </w:trPr>
            <w:tc>
              <w:tcPr>
                <w:tcW w:w="343" w:type="pct"/>
                <w:shd w:val="clear" w:color="auto" w:fill="FFFFFF" w:themeFill="background2"/>
                <w:tcMar>
                  <w:top w:w="60" w:type="dxa"/>
                  <w:left w:w="114" w:type="dxa"/>
                  <w:bottom w:w="60" w:type="dxa"/>
                  <w:right w:w="114" w:type="dxa"/>
                </w:tcMar>
                <w:vAlign w:val="center"/>
              </w:tcPr>
              <w:p w14:paraId="0BC6ABA9" w14:textId="77777777" w:rsidR="003927C1" w:rsidRPr="00B80369" w:rsidRDefault="003927C1" w:rsidP="00B80369">
                <w:pPr>
                  <w:spacing w:before="0" w:line="240" w:lineRule="auto"/>
                  <w:jc w:val="center"/>
                  <w:rPr>
                    <w:rFonts w:cs="Segoe UI"/>
                    <w:b/>
                    <w:bCs/>
                    <w:sz w:val="14"/>
                    <w:szCs w:val="14"/>
                    <w:lang w:eastAsia="it-IT"/>
                  </w:rPr>
                </w:pPr>
                <w:r w:rsidRPr="00B80369">
                  <w:rPr>
                    <w:rFonts w:cs="Segoe UI"/>
                    <w:b/>
                    <w:bCs/>
                    <w:sz w:val="14"/>
                    <w:szCs w:val="14"/>
                    <w:lang w:eastAsia="it-IT"/>
                  </w:rPr>
                  <w:t>TOTAL</w:t>
                </w:r>
              </w:p>
            </w:tc>
            <w:tc>
              <w:tcPr>
                <w:tcW w:w="491" w:type="pct"/>
                <w:shd w:val="clear" w:color="auto" w:fill="FFFFFF" w:themeFill="background2"/>
                <w:tcMar>
                  <w:top w:w="60" w:type="dxa"/>
                  <w:left w:w="114" w:type="dxa"/>
                  <w:bottom w:w="60" w:type="dxa"/>
                  <w:right w:w="114" w:type="dxa"/>
                </w:tcMar>
                <w:vAlign w:val="center"/>
              </w:tcPr>
              <w:p w14:paraId="5FB431EF" w14:textId="773A0455"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29,408</w:t>
                </w:r>
              </w:p>
            </w:tc>
            <w:tc>
              <w:tcPr>
                <w:tcW w:w="417" w:type="pct"/>
                <w:shd w:val="clear" w:color="auto" w:fill="FFFFFF" w:themeFill="background2"/>
                <w:tcMar>
                  <w:top w:w="60" w:type="dxa"/>
                  <w:left w:w="114" w:type="dxa"/>
                  <w:bottom w:w="60" w:type="dxa"/>
                  <w:right w:w="114" w:type="dxa"/>
                </w:tcMar>
                <w:vAlign w:val="center"/>
              </w:tcPr>
              <w:p w14:paraId="1EEC78DD" w14:textId="2EE27374"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896</w:t>
                </w:r>
              </w:p>
            </w:tc>
            <w:tc>
              <w:tcPr>
                <w:tcW w:w="417" w:type="pct"/>
                <w:shd w:val="clear" w:color="auto" w:fill="FFFFFF" w:themeFill="background2"/>
                <w:vAlign w:val="center"/>
              </w:tcPr>
              <w:p w14:paraId="70E5845C" w14:textId="3972F918"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1,505</w:t>
                </w:r>
              </w:p>
            </w:tc>
            <w:tc>
              <w:tcPr>
                <w:tcW w:w="417" w:type="pct"/>
                <w:shd w:val="clear" w:color="auto" w:fill="FFFFFF" w:themeFill="background2"/>
                <w:vAlign w:val="center"/>
              </w:tcPr>
              <w:p w14:paraId="3013A19A" w14:textId="257586DF"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2,015</w:t>
                </w:r>
              </w:p>
            </w:tc>
            <w:tc>
              <w:tcPr>
                <w:tcW w:w="417" w:type="pct"/>
                <w:shd w:val="clear" w:color="auto" w:fill="FFFFFF" w:themeFill="background2"/>
                <w:vAlign w:val="center"/>
              </w:tcPr>
              <w:p w14:paraId="7C2B653C" w14:textId="7F8D8F45"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2,453</w:t>
                </w:r>
              </w:p>
            </w:tc>
            <w:tc>
              <w:tcPr>
                <w:tcW w:w="417" w:type="pct"/>
                <w:shd w:val="clear" w:color="auto" w:fill="FFFFFF" w:themeFill="background2"/>
                <w:vAlign w:val="center"/>
              </w:tcPr>
              <w:p w14:paraId="27D7BC43" w14:textId="60066DD2" w:rsidR="003927C1" w:rsidRPr="00B80369" w:rsidRDefault="003927C1"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2,880</w:t>
                </w:r>
              </w:p>
            </w:tc>
            <w:tc>
              <w:tcPr>
                <w:tcW w:w="417" w:type="pct"/>
                <w:shd w:val="clear" w:color="auto" w:fill="FFFFFF" w:themeFill="background2"/>
                <w:vAlign w:val="center"/>
              </w:tcPr>
              <w:p w14:paraId="1A5E2DC9" w14:textId="0953C3C8"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3.05%</w:t>
                </w:r>
              </w:p>
            </w:tc>
            <w:tc>
              <w:tcPr>
                <w:tcW w:w="417" w:type="pct"/>
                <w:shd w:val="clear" w:color="auto" w:fill="FFFFFF" w:themeFill="background2"/>
                <w:vAlign w:val="center"/>
              </w:tcPr>
              <w:p w14:paraId="2A0F2A86" w14:textId="7545C77D"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5.12%</w:t>
                </w:r>
              </w:p>
            </w:tc>
            <w:tc>
              <w:tcPr>
                <w:tcW w:w="417" w:type="pct"/>
                <w:shd w:val="clear" w:color="auto" w:fill="FFFFFF" w:themeFill="background2"/>
                <w:vAlign w:val="center"/>
              </w:tcPr>
              <w:p w14:paraId="22DF1A7E" w14:textId="3872B134"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6.85%</w:t>
                </w:r>
              </w:p>
            </w:tc>
            <w:tc>
              <w:tcPr>
                <w:tcW w:w="417" w:type="pct"/>
                <w:shd w:val="clear" w:color="auto" w:fill="FFFFFF" w:themeFill="background2"/>
                <w:vAlign w:val="center"/>
              </w:tcPr>
              <w:p w14:paraId="64081602" w14:textId="0C4DAC0E"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8.34%</w:t>
                </w:r>
              </w:p>
            </w:tc>
            <w:tc>
              <w:tcPr>
                <w:tcW w:w="413" w:type="pct"/>
                <w:shd w:val="clear" w:color="auto" w:fill="FFFFFF" w:themeFill="background2"/>
                <w:vAlign w:val="center"/>
              </w:tcPr>
              <w:p w14:paraId="25413A72" w14:textId="75557E68" w:rsidR="003927C1" w:rsidRPr="00B80369" w:rsidRDefault="003927C1"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9.79%</w:t>
                </w:r>
              </w:p>
            </w:tc>
          </w:tr>
        </w:tbl>
        <w:p w14:paraId="2987D63F" w14:textId="26B99484" w:rsidR="004101BF" w:rsidRDefault="004101BF" w:rsidP="004101BF">
          <w:pPr>
            <w:pStyle w:val="Didascalia"/>
            <w:rPr>
              <w:rFonts w:ascii="Segoe UI" w:hAnsi="Segoe UI" w:cs="Segoe UI"/>
              <w:i/>
              <w:sz w:val="14"/>
              <w:lang w:val="en-GB"/>
            </w:rPr>
          </w:pPr>
          <w:bookmarkStart w:id="132" w:name="_Toc130806338"/>
          <w:bookmarkStart w:id="133" w:name="_Toc166675678"/>
          <w:bookmarkStart w:id="134" w:name="_Toc167131805"/>
          <w:r w:rsidRPr="0032337D">
            <w:rPr>
              <w:rFonts w:ascii="Segoe UI" w:hAnsi="Segoe UI" w:cs="Segoe UI"/>
              <w:i/>
              <w:sz w:val="14"/>
              <w:lang w:val="en-GB"/>
            </w:rPr>
            <w:lastRenderedPageBreak/>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37</w:t>
          </w:r>
          <w:r>
            <w:rPr>
              <w:rFonts w:ascii="Segoe UI" w:hAnsi="Segoe UI" w:cs="Segoe UI"/>
              <w:i/>
              <w:sz w:val="14"/>
              <w:lang w:val="en-GB"/>
            </w:rPr>
            <w:fldChar w:fldCharType="end"/>
          </w:r>
          <w:r w:rsidRPr="0032337D">
            <w:rPr>
              <w:rFonts w:ascii="Segoe UI" w:hAnsi="Segoe UI" w:cs="Segoe UI"/>
              <w:i/>
              <w:sz w:val="14"/>
              <w:lang w:val="en-GB"/>
            </w:rPr>
            <w:t>: Static pool as of 31</w:t>
          </w:r>
          <w:r w:rsidRPr="0032337D">
            <w:rPr>
              <w:rFonts w:ascii="Segoe UI" w:hAnsi="Segoe UI" w:cs="Segoe UI"/>
              <w:i/>
              <w:sz w:val="14"/>
              <w:vertAlign w:val="superscript"/>
              <w:lang w:val="en-GB"/>
            </w:rPr>
            <w:t>st</w:t>
          </w:r>
          <w:r w:rsidRPr="0032337D">
            <w:rPr>
              <w:rFonts w:ascii="Segoe UI" w:hAnsi="Segoe UI" w:cs="Segoe UI"/>
              <w:i/>
              <w:sz w:val="14"/>
              <w:lang w:val="en-GB"/>
            </w:rPr>
            <w:t xml:space="preserve"> December 2015</w:t>
          </w:r>
          <w:bookmarkEnd w:id="132"/>
          <w:bookmarkEnd w:id="133"/>
          <w:bookmarkEnd w:id="134"/>
        </w:p>
        <w:tbl>
          <w:tblPr>
            <w:tblW w:w="5000" w:type="pct"/>
            <w:tblBorders>
              <w:top w:val="single" w:sz="4" w:space="0" w:color="AFAFB4" w:themeColor="accent4"/>
              <w:bottom w:val="single" w:sz="4" w:space="0" w:color="AFAFB4" w:themeColor="accent4"/>
              <w:insideH w:val="single" w:sz="4" w:space="0" w:color="AFAFB4" w:themeColor="accent4"/>
            </w:tblBorders>
            <w:shd w:val="clear" w:color="auto" w:fill="FFFFFF" w:themeFill="background2"/>
            <w:tblCellMar>
              <w:left w:w="0" w:type="dxa"/>
              <w:right w:w="0" w:type="dxa"/>
            </w:tblCellMar>
            <w:tblLook w:val="0620" w:firstRow="1" w:lastRow="0" w:firstColumn="0" w:lastColumn="0" w:noHBand="1" w:noVBand="1"/>
            <w:tblDescription w:val="{&quot;Ott&quot;:{&quot;FirstRow&quot;:{&quot;BackgroundColor&quot;:{&quot;Key&quot;:&quot;Light2&quot;},&quot;Font&quot;:{&quot;Name&quot;:&quot;Source Sans Pro&quot;,&quot;Size&quot;:14.0,&quot;Bold&quot;:false,&quot;Italic&quot;:false,&quot;Color&quot;:{&quot;Key&quot;:&quot;Dark2&quot;}},&quot;ExcelCellFormatting&quot;:&quot;General&quot;,&quot;Alignment&quot;:{&quot;Horizontal&quot;:&quot;Left&quot;,&quot;Vertical&quot;:&quot;Bottom&quot;},&quot;Borders&quot;:{&quot;Vertical&quot;:{&quot;Visible&quot;:false},&quot;Left&quot;:{&quot;Visible&quot;:false},&quot;Top&quot;:{&quot;Visible&quot;:false},&quot;Right&quot;:{&quot;Visible&quot;:false},&quot;Bottom&quot;:{&quot;Color&quot;:{&quot;Key&quot;:&quot;Accent4&quot;},&quot;BorderWeight&quot;:&quot;Pt1_5&quot;,&quot;Type&quot;:&quot;Solid&quot;,&quot;Visible&quot;:true}}},&quot;FitRowHeightPp&quot;:true,&quot;ZeroMarginsWord&quot;:true,&quot;BackgroundColor&quot;:{&quot;Key&quot;:&quot;Light2&quot;},&quot;Font&quot;:{&quot;Name&quot;:&quot;Source Sans Pro&quot;,&quot;Size&quot;:11.0,&quot;Bold&quot;:false,&quot;Italic&quot;:false,&quot;Color&quot;:{&quot;Key&quot;:&quot;Dark2&quot;}},&quot;LineSpacing&quot;:{&quot;Rule&quot;:&quot;Single&quot;},&quot;Alignment&quot;:{&quot;Horizontal&quot;:&quot;Left&quot;,&quot;Vertical&quot;:&quot;Top&quot;},&quot;Margin&quot;:{&quot;Left&quot;:5.7,&quot;Top&quot;:3.0,&quot;Right&quot;:5.7,&quot;Bottom&quot;:3.0},&quot;Borders&quot;:{&quot;Vertical&quot;:{&quot;Visible&quot;:false},&quot;Horizontal&quot;:{&quot;Color&quot;:{&quot;Key&quot;:&quot;Accent4&quot;},&quot;BorderWeight&quot;:&quot;Pt0_5&quot;,&quot;Type&quot;:&quot;Solid&quot;,&quot;Visible&quot;:true}},&quot;ParagraphSpacing&quot;:{&quot;SpaceBefore&quot;:2.0,&quot;SpaceAfter&quot;:2.0},&quot;ExcelWrapText&quot;:true},&quot;Ccs&quot;:{&quot;DarkBlue&quot;:&quot;0, 20, 55&quot;,&quot;Turquoise&quot;:&quot;0, 164, 230&quot;,&quot;Red&quot;:&quot;214, 70, 65&quot;,&quot;LightGrey&quot;:&quot;174, 174, 180&quot;,&quot;BlueGrey&quot;:&quot;77, 91, 115&quot;,&quot;IceBlue&quot;:&quot;178, 184, 195&quot;,&quot;Grey&quot;:&quot;145, 147, 153&quot;,&quot;Background&quot;:&quot;0, 0, 0, 0&quot;,&quot;White&quot;:&quot;White&quot;,&quot;Accent1&quot;:&quot;1, 1, 1, 1&quot;,&quot;Accent2&quot;:&quot;1, 1, 1, 2&quot;,&quot;Accent3&quot;:&quot;1, 1, 1, 3&quot;,&quot;Accent4&quot;:&quot;1, 1, 1, 4&quot;,&quot;Accent5&quot;:&quot;1, 1, 1, 5&quot;,&quot;Accent6&quot;:&quot;1, 1, 1, 6&quot;,&quot;Dark1&quot;:&quot;1, 1, 1, 7&quot;,&quot;Dark2&quot;:&quot;1, 1, 1, 9&quot;,&quot;Light1&quot;:&quot;1, 1, 1, 8&quot;,&quot;Light2&quot;:&quot;1, 1, 1, 10&quot;},&quot;Cop&quot;:{&quot;FirstRow&quot;:true,&quot;LastRow&quot;:false,&quot;FirstColumn&quot;:false,&quot;LastColumn&quot;:false,&quot;BandedRows&quot;:false,&quot;BandedColumns&quot;:false},&quot;Aaf&quot;:false}"/>
          </w:tblPr>
          <w:tblGrid>
            <w:gridCol w:w="710"/>
            <w:gridCol w:w="1016"/>
            <w:gridCol w:w="863"/>
            <w:gridCol w:w="863"/>
            <w:gridCol w:w="863"/>
            <w:gridCol w:w="863"/>
            <w:gridCol w:w="863"/>
            <w:gridCol w:w="863"/>
            <w:gridCol w:w="863"/>
            <w:gridCol w:w="863"/>
            <w:gridCol w:w="863"/>
            <w:gridCol w:w="855"/>
          </w:tblGrid>
          <w:tr w:rsidR="00707524" w:rsidRPr="00B80369" w14:paraId="7C83600B" w14:textId="77777777" w:rsidTr="00AC7D4E">
            <w:trPr>
              <w:trHeight w:val="227"/>
              <w:tblHeader/>
            </w:trPr>
            <w:tc>
              <w:tcPr>
                <w:tcW w:w="343" w:type="pct"/>
                <w:vMerge w:val="restar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7BF1AEFF" w14:textId="77777777"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Rating</w:t>
                </w:r>
              </w:p>
            </w:tc>
            <w:tc>
              <w:tcPr>
                <w:tcW w:w="491"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01D3710A" w14:textId="77777777"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Static pool</w:t>
                </w:r>
              </w:p>
            </w:tc>
            <w:tc>
              <w:tcPr>
                <w:tcW w:w="2085" w:type="pct"/>
                <w:gridSpan w:val="5"/>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27A43E9D" w14:textId="15D23CB5"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Observed defaults by years since rating issuance</w:t>
                </w:r>
              </w:p>
            </w:tc>
            <w:tc>
              <w:tcPr>
                <w:tcW w:w="2081" w:type="pct"/>
                <w:gridSpan w:val="5"/>
                <w:tcBorders>
                  <w:top w:val="single" w:sz="12" w:space="0" w:color="AFAFB4" w:themeColor="accent4"/>
                </w:tcBorders>
                <w:shd w:val="clear" w:color="auto" w:fill="FFFFFF" w:themeFill="background2"/>
                <w:vAlign w:val="center"/>
              </w:tcPr>
              <w:p w14:paraId="6302C66E" w14:textId="77777777"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Percentage of cumulative default rates</w:t>
                </w:r>
              </w:p>
            </w:tc>
          </w:tr>
          <w:tr w:rsidR="007E6368" w:rsidRPr="00B80369" w14:paraId="24C744EB" w14:textId="77777777" w:rsidTr="00AC7D4E">
            <w:trPr>
              <w:trHeight w:val="227"/>
              <w:tblHeader/>
            </w:trPr>
            <w:tc>
              <w:tcPr>
                <w:tcW w:w="343" w:type="pct"/>
                <w:vMerge/>
                <w:shd w:val="clear" w:color="auto" w:fill="FFFFFF" w:themeFill="background2"/>
                <w:tcMar>
                  <w:top w:w="60" w:type="dxa"/>
                  <w:left w:w="114" w:type="dxa"/>
                  <w:bottom w:w="60" w:type="dxa"/>
                  <w:right w:w="114" w:type="dxa"/>
                </w:tcMar>
                <w:vAlign w:val="center"/>
              </w:tcPr>
              <w:p w14:paraId="57089063" w14:textId="77777777" w:rsidR="007E6368" w:rsidRPr="00B80369" w:rsidRDefault="007E6368" w:rsidP="00B80369">
                <w:pPr>
                  <w:spacing w:before="0" w:line="240" w:lineRule="auto"/>
                  <w:jc w:val="center"/>
                  <w:rPr>
                    <w:b/>
                    <w:color w:val="33A1AB" w:themeColor="accent2"/>
                    <w:sz w:val="14"/>
                    <w:szCs w:val="14"/>
                  </w:rPr>
                </w:pPr>
              </w:p>
            </w:tc>
            <w:tc>
              <w:tcPr>
                <w:tcW w:w="491"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7E9812AF" w14:textId="5BDF06A9" w:rsidR="007E6368" w:rsidRPr="00B80369" w:rsidRDefault="007E6368" w:rsidP="00B80369">
                <w:pPr>
                  <w:spacing w:before="0" w:line="240" w:lineRule="auto"/>
                  <w:jc w:val="center"/>
                  <w:rPr>
                    <w:b/>
                    <w:color w:val="33A1AB" w:themeColor="accent2"/>
                    <w:sz w:val="14"/>
                    <w:szCs w:val="14"/>
                  </w:rPr>
                </w:pPr>
                <w:r w:rsidRPr="00B80369">
                  <w:rPr>
                    <w:b/>
                    <w:color w:val="33A1AB" w:themeColor="accent2"/>
                    <w:sz w:val="14"/>
                    <w:szCs w:val="14"/>
                  </w:rPr>
                  <w:t>31 Dec 2015</w:t>
                </w:r>
              </w:p>
            </w:tc>
            <w:tc>
              <w:tcPr>
                <w:tcW w:w="417"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2B11B2EB" w14:textId="77777777" w:rsidR="007E6368" w:rsidRPr="00B80369" w:rsidRDefault="007E6368" w:rsidP="00B80369">
                <w:pPr>
                  <w:spacing w:before="0" w:line="240" w:lineRule="auto"/>
                  <w:jc w:val="center"/>
                  <w:rPr>
                    <w:b/>
                    <w:color w:val="33A1AB" w:themeColor="accent2"/>
                    <w:sz w:val="14"/>
                    <w:szCs w:val="14"/>
                  </w:rPr>
                </w:pPr>
                <w:r w:rsidRPr="00B80369">
                  <w:rPr>
                    <w:b/>
                    <w:color w:val="33A1AB" w:themeColor="accent2"/>
                    <w:sz w:val="14"/>
                    <w:szCs w:val="14"/>
                  </w:rPr>
                  <w:t>1-Y DR</w:t>
                </w:r>
              </w:p>
            </w:tc>
            <w:tc>
              <w:tcPr>
                <w:tcW w:w="417" w:type="pct"/>
                <w:tcBorders>
                  <w:top w:val="single" w:sz="12" w:space="0" w:color="AFAFB4" w:themeColor="accent4"/>
                </w:tcBorders>
                <w:shd w:val="clear" w:color="auto" w:fill="FFFFFF" w:themeFill="background2"/>
                <w:vAlign w:val="center"/>
              </w:tcPr>
              <w:p w14:paraId="6109B836" w14:textId="77777777" w:rsidR="007E6368" w:rsidRPr="00B80369" w:rsidRDefault="007E6368" w:rsidP="00B80369">
                <w:pPr>
                  <w:spacing w:before="0" w:line="240" w:lineRule="auto"/>
                  <w:jc w:val="center"/>
                  <w:rPr>
                    <w:b/>
                    <w:color w:val="33A1AB" w:themeColor="accent2"/>
                    <w:sz w:val="14"/>
                    <w:szCs w:val="14"/>
                  </w:rPr>
                </w:pPr>
                <w:r w:rsidRPr="00B80369">
                  <w:rPr>
                    <w:b/>
                    <w:color w:val="33A1AB" w:themeColor="accent2"/>
                    <w:sz w:val="14"/>
                    <w:szCs w:val="14"/>
                  </w:rPr>
                  <w:t>2-Y DR</w:t>
                </w:r>
              </w:p>
            </w:tc>
            <w:tc>
              <w:tcPr>
                <w:tcW w:w="417" w:type="pct"/>
                <w:tcBorders>
                  <w:top w:val="single" w:sz="12" w:space="0" w:color="AFAFB4" w:themeColor="accent4"/>
                </w:tcBorders>
                <w:shd w:val="clear" w:color="auto" w:fill="FFFFFF" w:themeFill="background2"/>
                <w:vAlign w:val="center"/>
              </w:tcPr>
              <w:p w14:paraId="4CECDD76" w14:textId="77777777" w:rsidR="007E6368" w:rsidRPr="00B80369" w:rsidRDefault="007E6368" w:rsidP="00B80369">
                <w:pPr>
                  <w:spacing w:before="0" w:line="240" w:lineRule="auto"/>
                  <w:jc w:val="center"/>
                  <w:rPr>
                    <w:b/>
                    <w:color w:val="33A1AB" w:themeColor="accent2"/>
                    <w:sz w:val="14"/>
                    <w:szCs w:val="14"/>
                  </w:rPr>
                </w:pPr>
                <w:r w:rsidRPr="00B80369">
                  <w:rPr>
                    <w:b/>
                    <w:color w:val="33A1AB" w:themeColor="accent2"/>
                    <w:sz w:val="14"/>
                    <w:szCs w:val="14"/>
                  </w:rPr>
                  <w:t>3-Y DR</w:t>
                </w:r>
              </w:p>
            </w:tc>
            <w:tc>
              <w:tcPr>
                <w:tcW w:w="417" w:type="pct"/>
                <w:tcBorders>
                  <w:top w:val="single" w:sz="12" w:space="0" w:color="AFAFB4" w:themeColor="accent4"/>
                </w:tcBorders>
                <w:shd w:val="clear" w:color="auto" w:fill="FFFFFF" w:themeFill="background2"/>
                <w:vAlign w:val="center"/>
              </w:tcPr>
              <w:p w14:paraId="35F8DCA6" w14:textId="77777777" w:rsidR="007E6368" w:rsidRPr="00B80369" w:rsidRDefault="007E6368" w:rsidP="00B80369">
                <w:pPr>
                  <w:spacing w:before="0" w:line="240" w:lineRule="auto"/>
                  <w:jc w:val="center"/>
                  <w:rPr>
                    <w:b/>
                    <w:color w:val="33A1AB" w:themeColor="accent2"/>
                    <w:sz w:val="14"/>
                    <w:szCs w:val="14"/>
                  </w:rPr>
                </w:pPr>
                <w:r w:rsidRPr="00B80369">
                  <w:rPr>
                    <w:b/>
                    <w:color w:val="33A1AB" w:themeColor="accent2"/>
                    <w:sz w:val="14"/>
                    <w:szCs w:val="14"/>
                  </w:rPr>
                  <w:t>4-Y DR</w:t>
                </w:r>
              </w:p>
            </w:tc>
            <w:tc>
              <w:tcPr>
                <w:tcW w:w="417" w:type="pct"/>
                <w:tcBorders>
                  <w:top w:val="single" w:sz="12" w:space="0" w:color="AFAFB4" w:themeColor="accent4"/>
                </w:tcBorders>
                <w:shd w:val="clear" w:color="auto" w:fill="FFFFFF" w:themeFill="background2"/>
                <w:vAlign w:val="center"/>
              </w:tcPr>
              <w:p w14:paraId="27358B8C" w14:textId="77777777" w:rsidR="007E6368" w:rsidRPr="00B80369" w:rsidRDefault="007E6368" w:rsidP="00B80369">
                <w:pPr>
                  <w:spacing w:before="0" w:line="240" w:lineRule="auto"/>
                  <w:jc w:val="center"/>
                  <w:rPr>
                    <w:b/>
                    <w:color w:val="33A1AB" w:themeColor="accent2"/>
                    <w:sz w:val="14"/>
                    <w:szCs w:val="14"/>
                  </w:rPr>
                </w:pPr>
                <w:r w:rsidRPr="00B80369">
                  <w:rPr>
                    <w:b/>
                    <w:color w:val="33A1AB" w:themeColor="accent2"/>
                    <w:sz w:val="14"/>
                    <w:szCs w:val="14"/>
                  </w:rPr>
                  <w:t>5-Y DR</w:t>
                </w:r>
              </w:p>
            </w:tc>
            <w:tc>
              <w:tcPr>
                <w:tcW w:w="417" w:type="pct"/>
                <w:tcBorders>
                  <w:top w:val="single" w:sz="12" w:space="0" w:color="AFAFB4" w:themeColor="accent4"/>
                </w:tcBorders>
                <w:shd w:val="clear" w:color="auto" w:fill="FFFFFF" w:themeFill="background2"/>
                <w:vAlign w:val="center"/>
              </w:tcPr>
              <w:p w14:paraId="4C373906" w14:textId="77777777" w:rsidR="007E6368" w:rsidRPr="00B80369" w:rsidRDefault="007E6368" w:rsidP="00B80369">
                <w:pPr>
                  <w:spacing w:before="0" w:line="240" w:lineRule="auto"/>
                  <w:jc w:val="center"/>
                  <w:rPr>
                    <w:b/>
                    <w:color w:val="33A1AB" w:themeColor="accent2"/>
                    <w:sz w:val="14"/>
                    <w:szCs w:val="14"/>
                  </w:rPr>
                </w:pPr>
                <w:r w:rsidRPr="00B80369">
                  <w:rPr>
                    <w:b/>
                    <w:color w:val="33A1AB" w:themeColor="accent2"/>
                    <w:sz w:val="14"/>
                    <w:szCs w:val="14"/>
                  </w:rPr>
                  <w:t>1-Y DR</w:t>
                </w:r>
              </w:p>
            </w:tc>
            <w:tc>
              <w:tcPr>
                <w:tcW w:w="417" w:type="pct"/>
                <w:tcBorders>
                  <w:top w:val="single" w:sz="12" w:space="0" w:color="AFAFB4" w:themeColor="accent4"/>
                </w:tcBorders>
                <w:shd w:val="clear" w:color="auto" w:fill="FFFFFF" w:themeFill="background2"/>
                <w:vAlign w:val="center"/>
              </w:tcPr>
              <w:p w14:paraId="7D9379BC" w14:textId="77777777" w:rsidR="007E6368" w:rsidRPr="00B80369" w:rsidRDefault="007E6368" w:rsidP="00B80369">
                <w:pPr>
                  <w:spacing w:before="0" w:line="240" w:lineRule="auto"/>
                  <w:jc w:val="center"/>
                  <w:rPr>
                    <w:b/>
                    <w:color w:val="33A1AB" w:themeColor="accent2"/>
                    <w:sz w:val="14"/>
                    <w:szCs w:val="14"/>
                  </w:rPr>
                </w:pPr>
                <w:r w:rsidRPr="00B80369">
                  <w:rPr>
                    <w:b/>
                    <w:color w:val="33A1AB" w:themeColor="accent2"/>
                    <w:sz w:val="14"/>
                    <w:szCs w:val="14"/>
                  </w:rPr>
                  <w:t>2-Y DR</w:t>
                </w:r>
              </w:p>
            </w:tc>
            <w:tc>
              <w:tcPr>
                <w:tcW w:w="417" w:type="pct"/>
                <w:tcBorders>
                  <w:top w:val="single" w:sz="12" w:space="0" w:color="AFAFB4" w:themeColor="accent4"/>
                </w:tcBorders>
                <w:shd w:val="clear" w:color="auto" w:fill="FFFFFF" w:themeFill="background2"/>
                <w:vAlign w:val="center"/>
              </w:tcPr>
              <w:p w14:paraId="1DB22A58" w14:textId="77777777" w:rsidR="007E6368" w:rsidRPr="00B80369" w:rsidRDefault="007E6368" w:rsidP="00B80369">
                <w:pPr>
                  <w:spacing w:before="0" w:line="240" w:lineRule="auto"/>
                  <w:jc w:val="center"/>
                  <w:rPr>
                    <w:b/>
                    <w:color w:val="33A1AB" w:themeColor="accent2"/>
                    <w:sz w:val="14"/>
                    <w:szCs w:val="14"/>
                  </w:rPr>
                </w:pPr>
                <w:r w:rsidRPr="00B80369">
                  <w:rPr>
                    <w:b/>
                    <w:color w:val="33A1AB" w:themeColor="accent2"/>
                    <w:sz w:val="14"/>
                    <w:szCs w:val="14"/>
                  </w:rPr>
                  <w:t>3-Y DR</w:t>
                </w:r>
              </w:p>
            </w:tc>
            <w:tc>
              <w:tcPr>
                <w:tcW w:w="417" w:type="pct"/>
                <w:tcBorders>
                  <w:top w:val="single" w:sz="12" w:space="0" w:color="AFAFB4" w:themeColor="accent4"/>
                </w:tcBorders>
                <w:shd w:val="clear" w:color="auto" w:fill="FFFFFF" w:themeFill="background2"/>
                <w:vAlign w:val="center"/>
              </w:tcPr>
              <w:p w14:paraId="570F2DFC" w14:textId="77777777" w:rsidR="007E6368" w:rsidRPr="00B80369" w:rsidRDefault="007E6368" w:rsidP="00B80369">
                <w:pPr>
                  <w:spacing w:before="0" w:line="240" w:lineRule="auto"/>
                  <w:jc w:val="center"/>
                  <w:rPr>
                    <w:b/>
                    <w:color w:val="33A1AB" w:themeColor="accent2"/>
                    <w:sz w:val="14"/>
                    <w:szCs w:val="14"/>
                  </w:rPr>
                </w:pPr>
                <w:r w:rsidRPr="00B80369">
                  <w:rPr>
                    <w:b/>
                    <w:color w:val="33A1AB" w:themeColor="accent2"/>
                    <w:sz w:val="14"/>
                    <w:szCs w:val="14"/>
                  </w:rPr>
                  <w:t>4-Y DR</w:t>
                </w:r>
              </w:p>
            </w:tc>
            <w:tc>
              <w:tcPr>
                <w:tcW w:w="413" w:type="pct"/>
                <w:tcBorders>
                  <w:top w:val="single" w:sz="12" w:space="0" w:color="AFAFB4" w:themeColor="accent4"/>
                </w:tcBorders>
                <w:shd w:val="clear" w:color="auto" w:fill="FFFFFF" w:themeFill="background2"/>
                <w:vAlign w:val="center"/>
              </w:tcPr>
              <w:p w14:paraId="7C640957" w14:textId="77777777" w:rsidR="007E6368" w:rsidRPr="00B80369" w:rsidRDefault="007E6368" w:rsidP="00B80369">
                <w:pPr>
                  <w:spacing w:before="0" w:line="240" w:lineRule="auto"/>
                  <w:jc w:val="center"/>
                  <w:rPr>
                    <w:b/>
                    <w:color w:val="33A1AB" w:themeColor="accent2"/>
                    <w:sz w:val="14"/>
                    <w:szCs w:val="14"/>
                  </w:rPr>
                </w:pPr>
                <w:r w:rsidRPr="00B80369">
                  <w:rPr>
                    <w:b/>
                    <w:color w:val="33A1AB" w:themeColor="accent2"/>
                    <w:sz w:val="14"/>
                    <w:szCs w:val="14"/>
                  </w:rPr>
                  <w:t>5-Y DR</w:t>
                </w:r>
              </w:p>
            </w:tc>
          </w:tr>
          <w:tr w:rsidR="007E6368" w:rsidRPr="00B80369" w14:paraId="20302830"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0BABBE05" w14:textId="77777777" w:rsidR="007E6368" w:rsidRPr="00B80369" w:rsidRDefault="007E6368"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A1.1</w:t>
                </w:r>
              </w:p>
            </w:tc>
            <w:tc>
              <w:tcPr>
                <w:tcW w:w="491" w:type="pct"/>
                <w:shd w:val="clear" w:color="auto" w:fill="FFFFFF" w:themeFill="background2"/>
                <w:tcMar>
                  <w:top w:w="60" w:type="dxa"/>
                  <w:left w:w="114" w:type="dxa"/>
                  <w:bottom w:w="60" w:type="dxa"/>
                  <w:right w:w="114" w:type="dxa"/>
                </w:tcMar>
                <w:vAlign w:val="center"/>
              </w:tcPr>
              <w:p w14:paraId="56A586B4" w14:textId="40C89FF0"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10</w:t>
                </w:r>
              </w:p>
            </w:tc>
            <w:tc>
              <w:tcPr>
                <w:tcW w:w="417" w:type="pct"/>
                <w:shd w:val="clear" w:color="auto" w:fill="FFFFFF" w:themeFill="background2"/>
                <w:tcMar>
                  <w:top w:w="60" w:type="dxa"/>
                  <w:left w:w="114" w:type="dxa"/>
                  <w:bottom w:w="60" w:type="dxa"/>
                  <w:right w:w="114" w:type="dxa"/>
                </w:tcMar>
                <w:vAlign w:val="center"/>
              </w:tcPr>
              <w:p w14:paraId="272D8CC5" w14:textId="5575B0B3"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197E3231" w14:textId="289940C5"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1958465D" w14:textId="06737E60"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6A9018FA" w14:textId="4D375968"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351B1BB1" w14:textId="0FC9A8B3"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6C022C37" w14:textId="72CE52C7"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2A672ECC" w14:textId="764EE951"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537B027A" w14:textId="292DF45C"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311AEF44" w14:textId="356E0FAD"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3" w:type="pct"/>
                <w:shd w:val="clear" w:color="auto" w:fill="FFFFFF" w:themeFill="background2"/>
                <w:vAlign w:val="center"/>
              </w:tcPr>
              <w:p w14:paraId="7159E196" w14:textId="202EFA53"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r>
          <w:tr w:rsidR="007E6368" w:rsidRPr="00B80369" w14:paraId="3A1990EB"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7282741B" w14:textId="77777777" w:rsidR="007E6368" w:rsidRPr="00B80369" w:rsidRDefault="007E6368"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A1.2</w:t>
                </w:r>
              </w:p>
            </w:tc>
            <w:tc>
              <w:tcPr>
                <w:tcW w:w="491" w:type="pct"/>
                <w:shd w:val="clear" w:color="auto" w:fill="FFFFFF" w:themeFill="background2"/>
                <w:tcMar>
                  <w:top w:w="60" w:type="dxa"/>
                  <w:left w:w="114" w:type="dxa"/>
                  <w:bottom w:w="60" w:type="dxa"/>
                  <w:right w:w="114" w:type="dxa"/>
                </w:tcMar>
                <w:vAlign w:val="center"/>
              </w:tcPr>
              <w:p w14:paraId="11AD1244" w14:textId="2C6D9F4D"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32</w:t>
                </w:r>
              </w:p>
            </w:tc>
            <w:tc>
              <w:tcPr>
                <w:tcW w:w="417" w:type="pct"/>
                <w:shd w:val="clear" w:color="auto" w:fill="FFFFFF" w:themeFill="background2"/>
                <w:tcMar>
                  <w:top w:w="60" w:type="dxa"/>
                  <w:left w:w="114" w:type="dxa"/>
                  <w:bottom w:w="60" w:type="dxa"/>
                  <w:right w:w="114" w:type="dxa"/>
                </w:tcMar>
                <w:vAlign w:val="center"/>
              </w:tcPr>
              <w:p w14:paraId="37A28841" w14:textId="02AD710F"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7151FF60" w14:textId="1C1F648B"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71BEF6F0" w14:textId="4FFA5913"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46145923" w14:textId="4A99552D"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15AC689D" w14:textId="0E1D1320"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1235FACC" w14:textId="43A7B387"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3BE31A95" w14:textId="5C2B25AF"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127FA1FE" w14:textId="192C1E5B"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45765B46" w14:textId="134330D3"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3" w:type="pct"/>
                <w:shd w:val="clear" w:color="auto" w:fill="FFFFFF" w:themeFill="background2"/>
                <w:vAlign w:val="center"/>
              </w:tcPr>
              <w:p w14:paraId="689869A3" w14:textId="1B11E06F"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r>
          <w:tr w:rsidR="007E6368" w:rsidRPr="00B80369" w14:paraId="76CC8D27"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01D96722" w14:textId="77777777" w:rsidR="007E6368" w:rsidRPr="00B80369" w:rsidRDefault="007E6368"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A1.3</w:t>
                </w:r>
              </w:p>
            </w:tc>
            <w:tc>
              <w:tcPr>
                <w:tcW w:w="491" w:type="pct"/>
                <w:shd w:val="clear" w:color="auto" w:fill="FFFFFF" w:themeFill="background2"/>
                <w:tcMar>
                  <w:top w:w="60" w:type="dxa"/>
                  <w:left w:w="114" w:type="dxa"/>
                  <w:bottom w:w="60" w:type="dxa"/>
                  <w:right w:w="114" w:type="dxa"/>
                </w:tcMar>
                <w:vAlign w:val="center"/>
              </w:tcPr>
              <w:p w14:paraId="0C563C13" w14:textId="66F09C11"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98</w:t>
                </w:r>
              </w:p>
            </w:tc>
            <w:tc>
              <w:tcPr>
                <w:tcW w:w="417" w:type="pct"/>
                <w:shd w:val="clear" w:color="auto" w:fill="FFFFFF" w:themeFill="background2"/>
                <w:tcMar>
                  <w:top w:w="60" w:type="dxa"/>
                  <w:left w:w="114" w:type="dxa"/>
                  <w:bottom w:w="60" w:type="dxa"/>
                  <w:right w:w="114" w:type="dxa"/>
                </w:tcMar>
                <w:vAlign w:val="center"/>
              </w:tcPr>
              <w:p w14:paraId="634B6BA3" w14:textId="17F8FA6A"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5F6D28AA" w14:textId="5D02F1BC"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79BDF837" w14:textId="11DA3A3C"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07E85CDB" w14:textId="136D8ED3"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783EEF3C" w14:textId="26F7E035"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216CBB0C" w14:textId="4029901E"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635084B6" w14:textId="01058887"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230033A7" w14:textId="3680E317"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59CA58F8" w14:textId="2ABDCA97"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3" w:type="pct"/>
                <w:shd w:val="clear" w:color="auto" w:fill="FFFFFF" w:themeFill="background2"/>
                <w:vAlign w:val="center"/>
              </w:tcPr>
              <w:p w14:paraId="42C410FD" w14:textId="192505B3"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r>
          <w:tr w:rsidR="007E6368" w:rsidRPr="00B80369" w14:paraId="72DE7477"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205009CE" w14:textId="77777777" w:rsidR="007E6368" w:rsidRPr="00B80369" w:rsidRDefault="007E6368"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A2.1</w:t>
                </w:r>
              </w:p>
            </w:tc>
            <w:tc>
              <w:tcPr>
                <w:tcW w:w="491" w:type="pct"/>
                <w:shd w:val="clear" w:color="auto" w:fill="FFFFFF" w:themeFill="background2"/>
                <w:tcMar>
                  <w:top w:w="60" w:type="dxa"/>
                  <w:left w:w="114" w:type="dxa"/>
                  <w:bottom w:w="60" w:type="dxa"/>
                  <w:right w:w="114" w:type="dxa"/>
                </w:tcMar>
                <w:vAlign w:val="center"/>
              </w:tcPr>
              <w:p w14:paraId="3994E865" w14:textId="25D3CE02"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183</w:t>
                </w:r>
              </w:p>
            </w:tc>
            <w:tc>
              <w:tcPr>
                <w:tcW w:w="417" w:type="pct"/>
                <w:shd w:val="clear" w:color="auto" w:fill="FFFFFF" w:themeFill="background2"/>
                <w:tcMar>
                  <w:top w:w="60" w:type="dxa"/>
                  <w:left w:w="114" w:type="dxa"/>
                  <w:bottom w:w="60" w:type="dxa"/>
                  <w:right w:w="114" w:type="dxa"/>
                </w:tcMar>
                <w:vAlign w:val="center"/>
              </w:tcPr>
              <w:p w14:paraId="20A44C40" w14:textId="259A07BD"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5A0DF9C2" w14:textId="0A672A4E"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65335E64" w14:textId="3FEF2960"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7EB91723" w14:textId="5C264273"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1DB9A0BD" w14:textId="45A8B2E7"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7558326C" w14:textId="12827A8E"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5393492D" w14:textId="671E4E99"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546B2B92" w14:textId="53E15209"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2E737348" w14:textId="7197864D"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3" w:type="pct"/>
                <w:shd w:val="clear" w:color="auto" w:fill="FFFFFF" w:themeFill="background2"/>
                <w:vAlign w:val="center"/>
              </w:tcPr>
              <w:p w14:paraId="1E1A5292" w14:textId="1F3D69A6"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r>
          <w:tr w:rsidR="007E6368" w:rsidRPr="00B80369" w14:paraId="551E353B"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5B26F9BB" w14:textId="77777777" w:rsidR="007E6368" w:rsidRPr="00B80369" w:rsidRDefault="007E6368"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A2.2</w:t>
                </w:r>
              </w:p>
            </w:tc>
            <w:tc>
              <w:tcPr>
                <w:tcW w:w="491" w:type="pct"/>
                <w:shd w:val="clear" w:color="auto" w:fill="FFFFFF" w:themeFill="background2"/>
                <w:tcMar>
                  <w:top w:w="60" w:type="dxa"/>
                  <w:left w:w="114" w:type="dxa"/>
                  <w:bottom w:w="60" w:type="dxa"/>
                  <w:right w:w="114" w:type="dxa"/>
                </w:tcMar>
                <w:vAlign w:val="center"/>
              </w:tcPr>
              <w:p w14:paraId="0147688F" w14:textId="430323F0"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670</w:t>
                </w:r>
              </w:p>
            </w:tc>
            <w:tc>
              <w:tcPr>
                <w:tcW w:w="417" w:type="pct"/>
                <w:shd w:val="clear" w:color="auto" w:fill="FFFFFF" w:themeFill="background2"/>
                <w:tcMar>
                  <w:top w:w="60" w:type="dxa"/>
                  <w:left w:w="114" w:type="dxa"/>
                  <w:bottom w:w="60" w:type="dxa"/>
                  <w:right w:w="114" w:type="dxa"/>
                </w:tcMar>
                <w:vAlign w:val="center"/>
              </w:tcPr>
              <w:p w14:paraId="2B82DF76" w14:textId="44A4B728"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56C37D78" w14:textId="46CB512D"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w:t>
                </w:r>
              </w:p>
            </w:tc>
            <w:tc>
              <w:tcPr>
                <w:tcW w:w="417" w:type="pct"/>
                <w:shd w:val="clear" w:color="auto" w:fill="FFFFFF" w:themeFill="background2"/>
                <w:vAlign w:val="center"/>
              </w:tcPr>
              <w:p w14:paraId="24B15480" w14:textId="773DAA9C"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w:t>
                </w:r>
              </w:p>
            </w:tc>
            <w:tc>
              <w:tcPr>
                <w:tcW w:w="417" w:type="pct"/>
                <w:shd w:val="clear" w:color="auto" w:fill="FFFFFF" w:themeFill="background2"/>
                <w:vAlign w:val="center"/>
              </w:tcPr>
              <w:p w14:paraId="420383DF" w14:textId="57BA5DDE"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w:t>
                </w:r>
              </w:p>
            </w:tc>
            <w:tc>
              <w:tcPr>
                <w:tcW w:w="417" w:type="pct"/>
                <w:shd w:val="clear" w:color="auto" w:fill="FFFFFF" w:themeFill="background2"/>
                <w:vAlign w:val="center"/>
              </w:tcPr>
              <w:p w14:paraId="1BE6E5E5" w14:textId="32AEA5C6"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w:t>
                </w:r>
              </w:p>
            </w:tc>
            <w:tc>
              <w:tcPr>
                <w:tcW w:w="417" w:type="pct"/>
                <w:shd w:val="clear" w:color="auto" w:fill="FFFFFF" w:themeFill="background2"/>
                <w:vAlign w:val="center"/>
              </w:tcPr>
              <w:p w14:paraId="040E3A8B" w14:textId="207347EC"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30E88A63" w14:textId="2C919A34"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0.15%</w:t>
                </w:r>
              </w:p>
            </w:tc>
            <w:tc>
              <w:tcPr>
                <w:tcW w:w="417" w:type="pct"/>
                <w:shd w:val="clear" w:color="auto" w:fill="FFFFFF" w:themeFill="background2"/>
                <w:vAlign w:val="center"/>
              </w:tcPr>
              <w:p w14:paraId="6411D207" w14:textId="656BDC73"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0.45%</w:t>
                </w:r>
              </w:p>
            </w:tc>
            <w:tc>
              <w:tcPr>
                <w:tcW w:w="417" w:type="pct"/>
                <w:shd w:val="clear" w:color="auto" w:fill="FFFFFF" w:themeFill="background2"/>
                <w:vAlign w:val="center"/>
              </w:tcPr>
              <w:p w14:paraId="1AB33D1F" w14:textId="562E9AD5"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0.60%</w:t>
                </w:r>
              </w:p>
            </w:tc>
            <w:tc>
              <w:tcPr>
                <w:tcW w:w="413" w:type="pct"/>
                <w:shd w:val="clear" w:color="auto" w:fill="FFFFFF" w:themeFill="background2"/>
                <w:vAlign w:val="center"/>
              </w:tcPr>
              <w:p w14:paraId="693C9B49" w14:textId="1A1317AC"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0.60%</w:t>
                </w:r>
              </w:p>
            </w:tc>
          </w:tr>
          <w:tr w:rsidR="007E6368" w:rsidRPr="00B80369" w14:paraId="1D28730E"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02ECFFFD" w14:textId="77777777" w:rsidR="007E6368" w:rsidRPr="00B80369" w:rsidRDefault="007E6368"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A3.1</w:t>
                </w:r>
              </w:p>
            </w:tc>
            <w:tc>
              <w:tcPr>
                <w:tcW w:w="491" w:type="pct"/>
                <w:shd w:val="clear" w:color="auto" w:fill="FFFFFF" w:themeFill="background2"/>
                <w:tcMar>
                  <w:top w:w="60" w:type="dxa"/>
                  <w:left w:w="114" w:type="dxa"/>
                  <w:bottom w:w="60" w:type="dxa"/>
                  <w:right w:w="114" w:type="dxa"/>
                </w:tcMar>
                <w:vAlign w:val="center"/>
              </w:tcPr>
              <w:p w14:paraId="5925416F" w14:textId="67B7F76F"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2,120</w:t>
                </w:r>
              </w:p>
            </w:tc>
            <w:tc>
              <w:tcPr>
                <w:tcW w:w="417" w:type="pct"/>
                <w:shd w:val="clear" w:color="auto" w:fill="FFFFFF" w:themeFill="background2"/>
                <w:tcMar>
                  <w:top w:w="60" w:type="dxa"/>
                  <w:left w:w="114" w:type="dxa"/>
                  <w:bottom w:w="60" w:type="dxa"/>
                  <w:right w:w="114" w:type="dxa"/>
                </w:tcMar>
                <w:vAlign w:val="center"/>
              </w:tcPr>
              <w:p w14:paraId="054C25D5" w14:textId="62ABED82"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w:t>
                </w:r>
              </w:p>
            </w:tc>
            <w:tc>
              <w:tcPr>
                <w:tcW w:w="417" w:type="pct"/>
                <w:shd w:val="clear" w:color="auto" w:fill="FFFFFF" w:themeFill="background2"/>
                <w:vAlign w:val="center"/>
              </w:tcPr>
              <w:p w14:paraId="55541313" w14:textId="00B7E1EF"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w:t>
                </w:r>
              </w:p>
            </w:tc>
            <w:tc>
              <w:tcPr>
                <w:tcW w:w="417" w:type="pct"/>
                <w:shd w:val="clear" w:color="auto" w:fill="FFFFFF" w:themeFill="background2"/>
                <w:vAlign w:val="center"/>
              </w:tcPr>
              <w:p w14:paraId="156CB0AC" w14:textId="5D0F9833"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16</w:t>
                </w:r>
              </w:p>
            </w:tc>
            <w:tc>
              <w:tcPr>
                <w:tcW w:w="417" w:type="pct"/>
                <w:shd w:val="clear" w:color="auto" w:fill="FFFFFF" w:themeFill="background2"/>
                <w:vAlign w:val="center"/>
              </w:tcPr>
              <w:p w14:paraId="05C27820" w14:textId="7B9574D0"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30</w:t>
                </w:r>
              </w:p>
            </w:tc>
            <w:tc>
              <w:tcPr>
                <w:tcW w:w="417" w:type="pct"/>
                <w:shd w:val="clear" w:color="auto" w:fill="FFFFFF" w:themeFill="background2"/>
                <w:vAlign w:val="center"/>
              </w:tcPr>
              <w:p w14:paraId="10871B9A" w14:textId="71777C43"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38</w:t>
                </w:r>
              </w:p>
            </w:tc>
            <w:tc>
              <w:tcPr>
                <w:tcW w:w="417" w:type="pct"/>
                <w:shd w:val="clear" w:color="auto" w:fill="FFFFFF" w:themeFill="background2"/>
                <w:vAlign w:val="center"/>
              </w:tcPr>
              <w:p w14:paraId="2A3A8A5C" w14:textId="2BB26E5A"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0.09%</w:t>
                </w:r>
              </w:p>
            </w:tc>
            <w:tc>
              <w:tcPr>
                <w:tcW w:w="417" w:type="pct"/>
                <w:shd w:val="clear" w:color="auto" w:fill="FFFFFF" w:themeFill="background2"/>
                <w:vAlign w:val="center"/>
              </w:tcPr>
              <w:p w14:paraId="22DAB3BB" w14:textId="74894632"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0.28%</w:t>
                </w:r>
              </w:p>
            </w:tc>
            <w:tc>
              <w:tcPr>
                <w:tcW w:w="417" w:type="pct"/>
                <w:shd w:val="clear" w:color="auto" w:fill="FFFFFF" w:themeFill="background2"/>
                <w:vAlign w:val="center"/>
              </w:tcPr>
              <w:p w14:paraId="3B2DCB46" w14:textId="0BC585C8"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0.75%</w:t>
                </w:r>
              </w:p>
            </w:tc>
            <w:tc>
              <w:tcPr>
                <w:tcW w:w="417" w:type="pct"/>
                <w:shd w:val="clear" w:color="auto" w:fill="FFFFFF" w:themeFill="background2"/>
                <w:vAlign w:val="center"/>
              </w:tcPr>
              <w:p w14:paraId="66DC1B10" w14:textId="1D2F9E34"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1.42%</w:t>
                </w:r>
              </w:p>
            </w:tc>
            <w:tc>
              <w:tcPr>
                <w:tcW w:w="413" w:type="pct"/>
                <w:shd w:val="clear" w:color="auto" w:fill="FFFFFF" w:themeFill="background2"/>
                <w:vAlign w:val="center"/>
              </w:tcPr>
              <w:p w14:paraId="25071E77" w14:textId="74462DE8"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1.79%</w:t>
                </w:r>
              </w:p>
            </w:tc>
          </w:tr>
          <w:tr w:rsidR="007E6368" w:rsidRPr="00B80369" w14:paraId="4FD75731"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33D29FED" w14:textId="77777777" w:rsidR="007E6368" w:rsidRPr="00B80369" w:rsidRDefault="007E6368"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B1.1</w:t>
                </w:r>
              </w:p>
            </w:tc>
            <w:tc>
              <w:tcPr>
                <w:tcW w:w="491" w:type="pct"/>
                <w:shd w:val="clear" w:color="auto" w:fill="FFFFFF" w:themeFill="background2"/>
                <w:tcMar>
                  <w:top w:w="60" w:type="dxa"/>
                  <w:left w:w="114" w:type="dxa"/>
                  <w:bottom w:w="60" w:type="dxa"/>
                  <w:right w:w="114" w:type="dxa"/>
                </w:tcMar>
                <w:vAlign w:val="center"/>
              </w:tcPr>
              <w:p w14:paraId="324E17A6" w14:textId="3F0C596B"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3,456</w:t>
                </w:r>
              </w:p>
            </w:tc>
            <w:tc>
              <w:tcPr>
                <w:tcW w:w="417" w:type="pct"/>
                <w:shd w:val="clear" w:color="auto" w:fill="FFFFFF" w:themeFill="background2"/>
                <w:tcMar>
                  <w:top w:w="60" w:type="dxa"/>
                  <w:left w:w="114" w:type="dxa"/>
                  <w:bottom w:w="60" w:type="dxa"/>
                  <w:right w:w="114" w:type="dxa"/>
                </w:tcMar>
                <w:vAlign w:val="center"/>
              </w:tcPr>
              <w:p w14:paraId="78EDF8E5" w14:textId="43DB2FD1"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8</w:t>
                </w:r>
              </w:p>
            </w:tc>
            <w:tc>
              <w:tcPr>
                <w:tcW w:w="417" w:type="pct"/>
                <w:shd w:val="clear" w:color="auto" w:fill="FFFFFF" w:themeFill="background2"/>
                <w:vAlign w:val="center"/>
              </w:tcPr>
              <w:p w14:paraId="5C724EDE" w14:textId="2F9CB6D2"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21</w:t>
                </w:r>
              </w:p>
            </w:tc>
            <w:tc>
              <w:tcPr>
                <w:tcW w:w="417" w:type="pct"/>
                <w:shd w:val="clear" w:color="auto" w:fill="FFFFFF" w:themeFill="background2"/>
                <w:vAlign w:val="center"/>
              </w:tcPr>
              <w:p w14:paraId="28488739" w14:textId="6A003358"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38</w:t>
                </w:r>
              </w:p>
            </w:tc>
            <w:tc>
              <w:tcPr>
                <w:tcW w:w="417" w:type="pct"/>
                <w:shd w:val="clear" w:color="auto" w:fill="FFFFFF" w:themeFill="background2"/>
                <w:vAlign w:val="center"/>
              </w:tcPr>
              <w:p w14:paraId="017850C1" w14:textId="3F897291"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64</w:t>
                </w:r>
              </w:p>
            </w:tc>
            <w:tc>
              <w:tcPr>
                <w:tcW w:w="417" w:type="pct"/>
                <w:shd w:val="clear" w:color="auto" w:fill="FFFFFF" w:themeFill="background2"/>
                <w:vAlign w:val="center"/>
              </w:tcPr>
              <w:p w14:paraId="7FBEB4AE" w14:textId="0371F77B"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88</w:t>
                </w:r>
              </w:p>
            </w:tc>
            <w:tc>
              <w:tcPr>
                <w:tcW w:w="417" w:type="pct"/>
                <w:shd w:val="clear" w:color="auto" w:fill="FFFFFF" w:themeFill="background2"/>
                <w:vAlign w:val="center"/>
              </w:tcPr>
              <w:p w14:paraId="52267CBC" w14:textId="368910F4"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0.23%</w:t>
                </w:r>
              </w:p>
            </w:tc>
            <w:tc>
              <w:tcPr>
                <w:tcW w:w="417" w:type="pct"/>
                <w:shd w:val="clear" w:color="auto" w:fill="FFFFFF" w:themeFill="background2"/>
                <w:vAlign w:val="center"/>
              </w:tcPr>
              <w:p w14:paraId="298C118A" w14:textId="435EFC50"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0.61%</w:t>
                </w:r>
              </w:p>
            </w:tc>
            <w:tc>
              <w:tcPr>
                <w:tcW w:w="417" w:type="pct"/>
                <w:shd w:val="clear" w:color="auto" w:fill="FFFFFF" w:themeFill="background2"/>
                <w:vAlign w:val="center"/>
              </w:tcPr>
              <w:p w14:paraId="7D899B6B" w14:textId="2E175864"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1.10%</w:t>
                </w:r>
              </w:p>
            </w:tc>
            <w:tc>
              <w:tcPr>
                <w:tcW w:w="417" w:type="pct"/>
                <w:shd w:val="clear" w:color="auto" w:fill="FFFFFF" w:themeFill="background2"/>
                <w:vAlign w:val="center"/>
              </w:tcPr>
              <w:p w14:paraId="231C523B" w14:textId="28884D15"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1.85%</w:t>
                </w:r>
              </w:p>
            </w:tc>
            <w:tc>
              <w:tcPr>
                <w:tcW w:w="413" w:type="pct"/>
                <w:shd w:val="clear" w:color="auto" w:fill="FFFFFF" w:themeFill="background2"/>
                <w:vAlign w:val="center"/>
              </w:tcPr>
              <w:p w14:paraId="108B6CBD" w14:textId="3355EB6B"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2.55%</w:t>
                </w:r>
              </w:p>
            </w:tc>
          </w:tr>
          <w:tr w:rsidR="007E6368" w:rsidRPr="00B80369" w14:paraId="07F282AE"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1338C60D" w14:textId="77777777" w:rsidR="007E6368" w:rsidRPr="00B80369" w:rsidRDefault="007E6368"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B1.2</w:t>
                </w:r>
              </w:p>
            </w:tc>
            <w:tc>
              <w:tcPr>
                <w:tcW w:w="491" w:type="pct"/>
                <w:shd w:val="clear" w:color="auto" w:fill="FFFFFF" w:themeFill="background2"/>
                <w:tcMar>
                  <w:top w:w="60" w:type="dxa"/>
                  <w:left w:w="114" w:type="dxa"/>
                  <w:bottom w:w="60" w:type="dxa"/>
                  <w:right w:w="114" w:type="dxa"/>
                </w:tcMar>
                <w:vAlign w:val="center"/>
              </w:tcPr>
              <w:p w14:paraId="04128CA2" w14:textId="4E4C6A21"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4,526</w:t>
                </w:r>
              </w:p>
            </w:tc>
            <w:tc>
              <w:tcPr>
                <w:tcW w:w="417" w:type="pct"/>
                <w:shd w:val="clear" w:color="auto" w:fill="FFFFFF" w:themeFill="background2"/>
                <w:tcMar>
                  <w:top w:w="60" w:type="dxa"/>
                  <w:left w:w="114" w:type="dxa"/>
                  <w:bottom w:w="60" w:type="dxa"/>
                  <w:right w:w="114" w:type="dxa"/>
                </w:tcMar>
                <w:vAlign w:val="center"/>
              </w:tcPr>
              <w:p w14:paraId="56A9E743" w14:textId="0D6019B4"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29</w:t>
                </w:r>
              </w:p>
            </w:tc>
            <w:tc>
              <w:tcPr>
                <w:tcW w:w="417" w:type="pct"/>
                <w:shd w:val="clear" w:color="auto" w:fill="FFFFFF" w:themeFill="background2"/>
                <w:vAlign w:val="center"/>
              </w:tcPr>
              <w:p w14:paraId="4F19C8F6" w14:textId="79274F5D"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78</w:t>
                </w:r>
              </w:p>
            </w:tc>
            <w:tc>
              <w:tcPr>
                <w:tcW w:w="417" w:type="pct"/>
                <w:shd w:val="clear" w:color="auto" w:fill="FFFFFF" w:themeFill="background2"/>
                <w:vAlign w:val="center"/>
              </w:tcPr>
              <w:p w14:paraId="2B3F541E" w14:textId="0A5D8D62"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132</w:t>
                </w:r>
              </w:p>
            </w:tc>
            <w:tc>
              <w:tcPr>
                <w:tcW w:w="417" w:type="pct"/>
                <w:shd w:val="clear" w:color="auto" w:fill="FFFFFF" w:themeFill="background2"/>
                <w:vAlign w:val="center"/>
              </w:tcPr>
              <w:p w14:paraId="378AD911" w14:textId="6DF66947"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185</w:t>
                </w:r>
              </w:p>
            </w:tc>
            <w:tc>
              <w:tcPr>
                <w:tcW w:w="417" w:type="pct"/>
                <w:shd w:val="clear" w:color="auto" w:fill="FFFFFF" w:themeFill="background2"/>
                <w:vAlign w:val="center"/>
              </w:tcPr>
              <w:p w14:paraId="64B636AB" w14:textId="0C0486E4"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223</w:t>
                </w:r>
              </w:p>
            </w:tc>
            <w:tc>
              <w:tcPr>
                <w:tcW w:w="417" w:type="pct"/>
                <w:shd w:val="clear" w:color="auto" w:fill="FFFFFF" w:themeFill="background2"/>
                <w:vAlign w:val="center"/>
              </w:tcPr>
              <w:p w14:paraId="3D5C21A0" w14:textId="2FC24731"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0.64%</w:t>
                </w:r>
              </w:p>
            </w:tc>
            <w:tc>
              <w:tcPr>
                <w:tcW w:w="417" w:type="pct"/>
                <w:shd w:val="clear" w:color="auto" w:fill="FFFFFF" w:themeFill="background2"/>
                <w:vAlign w:val="center"/>
              </w:tcPr>
              <w:p w14:paraId="1282D95C" w14:textId="557FAABA"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1.72%</w:t>
                </w:r>
              </w:p>
            </w:tc>
            <w:tc>
              <w:tcPr>
                <w:tcW w:w="417" w:type="pct"/>
                <w:shd w:val="clear" w:color="auto" w:fill="FFFFFF" w:themeFill="background2"/>
                <w:vAlign w:val="center"/>
              </w:tcPr>
              <w:p w14:paraId="40D956EB" w14:textId="3CF992DC"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2.92%</w:t>
                </w:r>
              </w:p>
            </w:tc>
            <w:tc>
              <w:tcPr>
                <w:tcW w:w="417" w:type="pct"/>
                <w:shd w:val="clear" w:color="auto" w:fill="FFFFFF" w:themeFill="background2"/>
                <w:vAlign w:val="center"/>
              </w:tcPr>
              <w:p w14:paraId="6CE84D8F" w14:textId="54F1CC43"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4.09%</w:t>
                </w:r>
              </w:p>
            </w:tc>
            <w:tc>
              <w:tcPr>
                <w:tcW w:w="413" w:type="pct"/>
                <w:shd w:val="clear" w:color="auto" w:fill="FFFFFF" w:themeFill="background2"/>
                <w:vAlign w:val="center"/>
              </w:tcPr>
              <w:p w14:paraId="26F45F23" w14:textId="44F07102"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4.93%</w:t>
                </w:r>
              </w:p>
            </w:tc>
          </w:tr>
          <w:tr w:rsidR="007E6368" w:rsidRPr="00B80369" w14:paraId="20451039"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7D8C1331" w14:textId="77777777" w:rsidR="007E6368" w:rsidRPr="00B80369" w:rsidRDefault="007E6368"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B2.1</w:t>
                </w:r>
              </w:p>
            </w:tc>
            <w:tc>
              <w:tcPr>
                <w:tcW w:w="491" w:type="pct"/>
                <w:shd w:val="clear" w:color="auto" w:fill="FFFFFF" w:themeFill="background2"/>
                <w:tcMar>
                  <w:top w:w="60" w:type="dxa"/>
                  <w:left w:w="114" w:type="dxa"/>
                  <w:bottom w:w="60" w:type="dxa"/>
                  <w:right w:w="114" w:type="dxa"/>
                </w:tcMar>
                <w:vAlign w:val="center"/>
              </w:tcPr>
              <w:p w14:paraId="01C931AC" w14:textId="556FB719"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4,304</w:t>
                </w:r>
              </w:p>
            </w:tc>
            <w:tc>
              <w:tcPr>
                <w:tcW w:w="417" w:type="pct"/>
                <w:shd w:val="clear" w:color="auto" w:fill="FFFFFF" w:themeFill="background2"/>
                <w:tcMar>
                  <w:top w:w="60" w:type="dxa"/>
                  <w:left w:w="114" w:type="dxa"/>
                  <w:bottom w:w="60" w:type="dxa"/>
                  <w:right w:w="114" w:type="dxa"/>
                </w:tcMar>
                <w:vAlign w:val="center"/>
              </w:tcPr>
              <w:p w14:paraId="1E833222" w14:textId="7F316F8C"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59</w:t>
                </w:r>
              </w:p>
            </w:tc>
            <w:tc>
              <w:tcPr>
                <w:tcW w:w="417" w:type="pct"/>
                <w:shd w:val="clear" w:color="auto" w:fill="FFFFFF" w:themeFill="background2"/>
                <w:vAlign w:val="center"/>
              </w:tcPr>
              <w:p w14:paraId="2A2700FF" w14:textId="311E9A1B"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145</w:t>
                </w:r>
              </w:p>
            </w:tc>
            <w:tc>
              <w:tcPr>
                <w:tcW w:w="417" w:type="pct"/>
                <w:shd w:val="clear" w:color="auto" w:fill="FFFFFF" w:themeFill="background2"/>
                <w:vAlign w:val="center"/>
              </w:tcPr>
              <w:p w14:paraId="355DFB6C" w14:textId="01C06451"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226</w:t>
                </w:r>
              </w:p>
            </w:tc>
            <w:tc>
              <w:tcPr>
                <w:tcW w:w="417" w:type="pct"/>
                <w:shd w:val="clear" w:color="auto" w:fill="FFFFFF" w:themeFill="background2"/>
                <w:vAlign w:val="center"/>
              </w:tcPr>
              <w:p w14:paraId="71832E54" w14:textId="27AAFF4D"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295</w:t>
                </w:r>
              </w:p>
            </w:tc>
            <w:tc>
              <w:tcPr>
                <w:tcW w:w="417" w:type="pct"/>
                <w:shd w:val="clear" w:color="auto" w:fill="FFFFFF" w:themeFill="background2"/>
                <w:vAlign w:val="center"/>
              </w:tcPr>
              <w:p w14:paraId="50955363" w14:textId="3619CCEB"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349</w:t>
                </w:r>
              </w:p>
            </w:tc>
            <w:tc>
              <w:tcPr>
                <w:tcW w:w="417" w:type="pct"/>
                <w:shd w:val="clear" w:color="auto" w:fill="FFFFFF" w:themeFill="background2"/>
                <w:vAlign w:val="center"/>
              </w:tcPr>
              <w:p w14:paraId="0BACD502" w14:textId="5464CB07"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1.37%</w:t>
                </w:r>
              </w:p>
            </w:tc>
            <w:tc>
              <w:tcPr>
                <w:tcW w:w="417" w:type="pct"/>
                <w:shd w:val="clear" w:color="auto" w:fill="FFFFFF" w:themeFill="background2"/>
                <w:vAlign w:val="center"/>
              </w:tcPr>
              <w:p w14:paraId="0074719E" w14:textId="204E9DC9" w:rsidR="007E6368" w:rsidRPr="00B80369" w:rsidRDefault="007E6368"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3.37%</w:t>
                </w:r>
              </w:p>
            </w:tc>
            <w:tc>
              <w:tcPr>
                <w:tcW w:w="417" w:type="pct"/>
                <w:shd w:val="clear" w:color="auto" w:fill="FFFFFF" w:themeFill="background2"/>
                <w:vAlign w:val="center"/>
              </w:tcPr>
              <w:p w14:paraId="0E375D3E" w14:textId="62A42477" w:rsidR="007E6368" w:rsidRPr="00B80369" w:rsidRDefault="007E6368"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5.25%</w:t>
                </w:r>
              </w:p>
            </w:tc>
            <w:tc>
              <w:tcPr>
                <w:tcW w:w="417" w:type="pct"/>
                <w:shd w:val="clear" w:color="auto" w:fill="FFFFFF" w:themeFill="background2"/>
                <w:vAlign w:val="center"/>
              </w:tcPr>
              <w:p w14:paraId="7D00D8C1" w14:textId="0540DD11" w:rsidR="007E6368" w:rsidRPr="00B80369" w:rsidRDefault="007E6368"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6.85%</w:t>
                </w:r>
              </w:p>
            </w:tc>
            <w:tc>
              <w:tcPr>
                <w:tcW w:w="413" w:type="pct"/>
                <w:shd w:val="clear" w:color="auto" w:fill="FFFFFF" w:themeFill="background2"/>
                <w:vAlign w:val="center"/>
              </w:tcPr>
              <w:p w14:paraId="24886986" w14:textId="16D5DABA" w:rsidR="007E6368" w:rsidRPr="00B80369" w:rsidRDefault="007E6368"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8.11%</w:t>
                </w:r>
              </w:p>
            </w:tc>
          </w:tr>
          <w:tr w:rsidR="007E6368" w:rsidRPr="00B80369" w14:paraId="0FE7A048"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148C2CAE" w14:textId="77777777" w:rsidR="007E6368" w:rsidRPr="00B80369" w:rsidRDefault="007E6368"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B2.2</w:t>
                </w:r>
              </w:p>
            </w:tc>
            <w:tc>
              <w:tcPr>
                <w:tcW w:w="491" w:type="pct"/>
                <w:shd w:val="clear" w:color="auto" w:fill="FFFFFF" w:themeFill="background2"/>
                <w:tcMar>
                  <w:top w:w="60" w:type="dxa"/>
                  <w:left w:w="114" w:type="dxa"/>
                  <w:bottom w:w="60" w:type="dxa"/>
                  <w:right w:w="114" w:type="dxa"/>
                </w:tcMar>
                <w:vAlign w:val="center"/>
              </w:tcPr>
              <w:p w14:paraId="609ADE1C" w14:textId="73E8757F"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2,176</w:t>
                </w:r>
              </w:p>
            </w:tc>
            <w:tc>
              <w:tcPr>
                <w:tcW w:w="417" w:type="pct"/>
                <w:shd w:val="clear" w:color="auto" w:fill="FFFFFF" w:themeFill="background2"/>
                <w:tcMar>
                  <w:top w:w="60" w:type="dxa"/>
                  <w:left w:w="114" w:type="dxa"/>
                  <w:bottom w:w="60" w:type="dxa"/>
                  <w:right w:w="114" w:type="dxa"/>
                </w:tcMar>
                <w:vAlign w:val="center"/>
              </w:tcPr>
              <w:p w14:paraId="3047BC47" w14:textId="1E22CAC6"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59</w:t>
                </w:r>
              </w:p>
            </w:tc>
            <w:tc>
              <w:tcPr>
                <w:tcW w:w="417" w:type="pct"/>
                <w:shd w:val="clear" w:color="auto" w:fill="FFFFFF" w:themeFill="background2"/>
                <w:vAlign w:val="center"/>
              </w:tcPr>
              <w:p w14:paraId="4B0EBD0B" w14:textId="546089AF"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120</w:t>
                </w:r>
              </w:p>
            </w:tc>
            <w:tc>
              <w:tcPr>
                <w:tcW w:w="417" w:type="pct"/>
                <w:shd w:val="clear" w:color="auto" w:fill="FFFFFF" w:themeFill="background2"/>
                <w:vAlign w:val="center"/>
              </w:tcPr>
              <w:p w14:paraId="0F773341" w14:textId="7FA41C9A"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173</w:t>
                </w:r>
              </w:p>
            </w:tc>
            <w:tc>
              <w:tcPr>
                <w:tcW w:w="417" w:type="pct"/>
                <w:shd w:val="clear" w:color="auto" w:fill="FFFFFF" w:themeFill="background2"/>
                <w:vAlign w:val="center"/>
              </w:tcPr>
              <w:p w14:paraId="6AF5F96F" w14:textId="148C7C12"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242</w:t>
                </w:r>
              </w:p>
            </w:tc>
            <w:tc>
              <w:tcPr>
                <w:tcW w:w="417" w:type="pct"/>
                <w:shd w:val="clear" w:color="auto" w:fill="FFFFFF" w:themeFill="background2"/>
                <w:vAlign w:val="center"/>
              </w:tcPr>
              <w:p w14:paraId="796F19B2" w14:textId="1A65C9CE"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273</w:t>
                </w:r>
              </w:p>
            </w:tc>
            <w:tc>
              <w:tcPr>
                <w:tcW w:w="417" w:type="pct"/>
                <w:shd w:val="clear" w:color="auto" w:fill="FFFFFF" w:themeFill="background2"/>
                <w:vAlign w:val="center"/>
              </w:tcPr>
              <w:p w14:paraId="3639C3F7" w14:textId="47EE697A"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2.71%</w:t>
                </w:r>
              </w:p>
            </w:tc>
            <w:tc>
              <w:tcPr>
                <w:tcW w:w="417" w:type="pct"/>
                <w:shd w:val="clear" w:color="auto" w:fill="FFFFFF" w:themeFill="background2"/>
                <w:vAlign w:val="center"/>
              </w:tcPr>
              <w:p w14:paraId="611FAFC6" w14:textId="67D65091"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5.51%</w:t>
                </w:r>
              </w:p>
            </w:tc>
            <w:tc>
              <w:tcPr>
                <w:tcW w:w="417" w:type="pct"/>
                <w:shd w:val="clear" w:color="auto" w:fill="FFFFFF" w:themeFill="background2"/>
                <w:vAlign w:val="center"/>
              </w:tcPr>
              <w:p w14:paraId="17A71EFE" w14:textId="0B924FE2"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7.95%</w:t>
                </w:r>
              </w:p>
            </w:tc>
            <w:tc>
              <w:tcPr>
                <w:tcW w:w="417" w:type="pct"/>
                <w:shd w:val="clear" w:color="auto" w:fill="FFFFFF" w:themeFill="background2"/>
                <w:vAlign w:val="center"/>
              </w:tcPr>
              <w:p w14:paraId="015CA482" w14:textId="7164A0D0"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11.12%</w:t>
                </w:r>
              </w:p>
            </w:tc>
            <w:tc>
              <w:tcPr>
                <w:tcW w:w="413" w:type="pct"/>
                <w:shd w:val="clear" w:color="auto" w:fill="FFFFFF" w:themeFill="background2"/>
                <w:vAlign w:val="center"/>
              </w:tcPr>
              <w:p w14:paraId="5A1FC579" w14:textId="37F64FC4"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12.55%</w:t>
                </w:r>
              </w:p>
            </w:tc>
          </w:tr>
          <w:tr w:rsidR="007E6368" w:rsidRPr="00B80369" w14:paraId="3045701C"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43FCA99F" w14:textId="77777777" w:rsidR="007E6368" w:rsidRPr="00B80369" w:rsidRDefault="007E6368"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C1.1</w:t>
                </w:r>
              </w:p>
            </w:tc>
            <w:tc>
              <w:tcPr>
                <w:tcW w:w="491" w:type="pct"/>
                <w:shd w:val="clear" w:color="auto" w:fill="FFFFFF" w:themeFill="background2"/>
                <w:tcMar>
                  <w:top w:w="60" w:type="dxa"/>
                  <w:left w:w="114" w:type="dxa"/>
                  <w:bottom w:w="60" w:type="dxa"/>
                  <w:right w:w="114" w:type="dxa"/>
                </w:tcMar>
                <w:vAlign w:val="center"/>
              </w:tcPr>
              <w:p w14:paraId="4F040CD5" w14:textId="753F2E6F"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1,130</w:t>
                </w:r>
              </w:p>
            </w:tc>
            <w:tc>
              <w:tcPr>
                <w:tcW w:w="417" w:type="pct"/>
                <w:shd w:val="clear" w:color="auto" w:fill="FFFFFF" w:themeFill="background2"/>
                <w:tcMar>
                  <w:top w:w="60" w:type="dxa"/>
                  <w:left w:w="114" w:type="dxa"/>
                  <w:bottom w:w="60" w:type="dxa"/>
                  <w:right w:w="114" w:type="dxa"/>
                </w:tcMar>
                <w:vAlign w:val="center"/>
              </w:tcPr>
              <w:p w14:paraId="696D1993" w14:textId="61CF75C9"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59</w:t>
                </w:r>
              </w:p>
            </w:tc>
            <w:tc>
              <w:tcPr>
                <w:tcW w:w="417" w:type="pct"/>
                <w:shd w:val="clear" w:color="auto" w:fill="FFFFFF" w:themeFill="background2"/>
                <w:vAlign w:val="center"/>
              </w:tcPr>
              <w:p w14:paraId="197B0036" w14:textId="1EF12FA7"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105</w:t>
                </w:r>
              </w:p>
            </w:tc>
            <w:tc>
              <w:tcPr>
                <w:tcW w:w="417" w:type="pct"/>
                <w:shd w:val="clear" w:color="auto" w:fill="FFFFFF" w:themeFill="background2"/>
                <w:vAlign w:val="center"/>
              </w:tcPr>
              <w:p w14:paraId="1EC3C8FF" w14:textId="7D6E165E"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135</w:t>
                </w:r>
              </w:p>
            </w:tc>
            <w:tc>
              <w:tcPr>
                <w:tcW w:w="417" w:type="pct"/>
                <w:shd w:val="clear" w:color="auto" w:fill="FFFFFF" w:themeFill="background2"/>
                <w:vAlign w:val="center"/>
              </w:tcPr>
              <w:p w14:paraId="5802AD03" w14:textId="260D84FE"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171</w:t>
                </w:r>
              </w:p>
            </w:tc>
            <w:tc>
              <w:tcPr>
                <w:tcW w:w="417" w:type="pct"/>
                <w:shd w:val="clear" w:color="auto" w:fill="FFFFFF" w:themeFill="background2"/>
                <w:vAlign w:val="center"/>
              </w:tcPr>
              <w:p w14:paraId="79B425C7" w14:textId="6259F056"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197</w:t>
                </w:r>
              </w:p>
            </w:tc>
            <w:tc>
              <w:tcPr>
                <w:tcW w:w="417" w:type="pct"/>
                <w:shd w:val="clear" w:color="auto" w:fill="FFFFFF" w:themeFill="background2"/>
                <w:vAlign w:val="center"/>
              </w:tcPr>
              <w:p w14:paraId="0F1A2D65" w14:textId="74D4C9D5"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5.22%</w:t>
                </w:r>
              </w:p>
            </w:tc>
            <w:tc>
              <w:tcPr>
                <w:tcW w:w="417" w:type="pct"/>
                <w:shd w:val="clear" w:color="auto" w:fill="FFFFFF" w:themeFill="background2"/>
                <w:vAlign w:val="center"/>
              </w:tcPr>
              <w:p w14:paraId="7A4C36F5" w14:textId="6D99EF39"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9.29%</w:t>
                </w:r>
              </w:p>
            </w:tc>
            <w:tc>
              <w:tcPr>
                <w:tcW w:w="417" w:type="pct"/>
                <w:shd w:val="clear" w:color="auto" w:fill="FFFFFF" w:themeFill="background2"/>
                <w:vAlign w:val="center"/>
              </w:tcPr>
              <w:p w14:paraId="58E548D8" w14:textId="245958D0"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11.95%</w:t>
                </w:r>
              </w:p>
            </w:tc>
            <w:tc>
              <w:tcPr>
                <w:tcW w:w="417" w:type="pct"/>
                <w:shd w:val="clear" w:color="auto" w:fill="FFFFFF" w:themeFill="background2"/>
                <w:vAlign w:val="center"/>
              </w:tcPr>
              <w:p w14:paraId="6F285969" w14:textId="25338C70"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15.13%</w:t>
                </w:r>
              </w:p>
            </w:tc>
            <w:tc>
              <w:tcPr>
                <w:tcW w:w="413" w:type="pct"/>
                <w:shd w:val="clear" w:color="auto" w:fill="FFFFFF" w:themeFill="background2"/>
                <w:vAlign w:val="center"/>
              </w:tcPr>
              <w:p w14:paraId="79FB1444" w14:textId="0D92EE99"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17.43%</w:t>
                </w:r>
              </w:p>
            </w:tc>
          </w:tr>
          <w:tr w:rsidR="007E6368" w:rsidRPr="00B80369" w14:paraId="1E4E61F7"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72EAC24D" w14:textId="77777777" w:rsidR="007E6368" w:rsidRPr="00B80369" w:rsidRDefault="007E6368"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C1.2</w:t>
                </w:r>
              </w:p>
            </w:tc>
            <w:tc>
              <w:tcPr>
                <w:tcW w:w="491" w:type="pct"/>
                <w:shd w:val="clear" w:color="auto" w:fill="FFFFFF" w:themeFill="background2"/>
                <w:tcMar>
                  <w:top w:w="60" w:type="dxa"/>
                  <w:left w:w="114" w:type="dxa"/>
                  <w:bottom w:w="60" w:type="dxa"/>
                  <w:right w:w="114" w:type="dxa"/>
                </w:tcMar>
                <w:vAlign w:val="center"/>
              </w:tcPr>
              <w:p w14:paraId="332D05E6" w14:textId="73641E5A"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606</w:t>
                </w:r>
              </w:p>
            </w:tc>
            <w:tc>
              <w:tcPr>
                <w:tcW w:w="417" w:type="pct"/>
                <w:shd w:val="clear" w:color="auto" w:fill="FFFFFF" w:themeFill="background2"/>
                <w:tcMar>
                  <w:top w:w="60" w:type="dxa"/>
                  <w:left w:w="114" w:type="dxa"/>
                  <w:bottom w:w="60" w:type="dxa"/>
                  <w:right w:w="114" w:type="dxa"/>
                </w:tcMar>
                <w:vAlign w:val="center"/>
              </w:tcPr>
              <w:p w14:paraId="61482131" w14:textId="48BE3A4E"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78</w:t>
                </w:r>
              </w:p>
            </w:tc>
            <w:tc>
              <w:tcPr>
                <w:tcW w:w="417" w:type="pct"/>
                <w:shd w:val="clear" w:color="auto" w:fill="FFFFFF" w:themeFill="background2"/>
                <w:vAlign w:val="center"/>
              </w:tcPr>
              <w:p w14:paraId="272E506F" w14:textId="69377815"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112</w:t>
                </w:r>
              </w:p>
            </w:tc>
            <w:tc>
              <w:tcPr>
                <w:tcW w:w="417" w:type="pct"/>
                <w:shd w:val="clear" w:color="auto" w:fill="FFFFFF" w:themeFill="background2"/>
                <w:vAlign w:val="center"/>
              </w:tcPr>
              <w:p w14:paraId="36D080ED" w14:textId="69A5747A"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129</w:t>
                </w:r>
              </w:p>
            </w:tc>
            <w:tc>
              <w:tcPr>
                <w:tcW w:w="417" w:type="pct"/>
                <w:shd w:val="clear" w:color="auto" w:fill="FFFFFF" w:themeFill="background2"/>
                <w:vAlign w:val="center"/>
              </w:tcPr>
              <w:p w14:paraId="77EECC53" w14:textId="3D27DFF8"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146</w:t>
                </w:r>
              </w:p>
            </w:tc>
            <w:tc>
              <w:tcPr>
                <w:tcW w:w="417" w:type="pct"/>
                <w:shd w:val="clear" w:color="auto" w:fill="FFFFFF" w:themeFill="background2"/>
                <w:vAlign w:val="center"/>
              </w:tcPr>
              <w:p w14:paraId="1F219041" w14:textId="3B604BC9"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157</w:t>
                </w:r>
              </w:p>
            </w:tc>
            <w:tc>
              <w:tcPr>
                <w:tcW w:w="417" w:type="pct"/>
                <w:shd w:val="clear" w:color="auto" w:fill="FFFFFF" w:themeFill="background2"/>
                <w:vAlign w:val="center"/>
              </w:tcPr>
              <w:p w14:paraId="65A7CA14" w14:textId="0396FB7D"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12.87%</w:t>
                </w:r>
              </w:p>
            </w:tc>
            <w:tc>
              <w:tcPr>
                <w:tcW w:w="417" w:type="pct"/>
                <w:shd w:val="clear" w:color="auto" w:fill="FFFFFF" w:themeFill="background2"/>
                <w:vAlign w:val="center"/>
              </w:tcPr>
              <w:p w14:paraId="71005181" w14:textId="2DCD9EE1"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18.48%</w:t>
                </w:r>
              </w:p>
            </w:tc>
            <w:tc>
              <w:tcPr>
                <w:tcW w:w="417" w:type="pct"/>
                <w:shd w:val="clear" w:color="auto" w:fill="FFFFFF" w:themeFill="background2"/>
                <w:vAlign w:val="center"/>
              </w:tcPr>
              <w:p w14:paraId="3443C5D0" w14:textId="095D4971"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21.29%</w:t>
                </w:r>
              </w:p>
            </w:tc>
            <w:tc>
              <w:tcPr>
                <w:tcW w:w="417" w:type="pct"/>
                <w:shd w:val="clear" w:color="auto" w:fill="FFFFFF" w:themeFill="background2"/>
                <w:vAlign w:val="center"/>
              </w:tcPr>
              <w:p w14:paraId="27089175" w14:textId="0DA959F9"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24.09%</w:t>
                </w:r>
              </w:p>
            </w:tc>
            <w:tc>
              <w:tcPr>
                <w:tcW w:w="413" w:type="pct"/>
                <w:shd w:val="clear" w:color="auto" w:fill="FFFFFF" w:themeFill="background2"/>
                <w:vAlign w:val="center"/>
              </w:tcPr>
              <w:p w14:paraId="0EC107A1" w14:textId="121787E0"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25.91%</w:t>
                </w:r>
              </w:p>
            </w:tc>
          </w:tr>
          <w:tr w:rsidR="007E6368" w:rsidRPr="00B80369" w14:paraId="342BEE14"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4010F63B" w14:textId="77777777" w:rsidR="007E6368" w:rsidRPr="00B80369" w:rsidRDefault="007E6368"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C2.1</w:t>
                </w:r>
              </w:p>
            </w:tc>
            <w:tc>
              <w:tcPr>
                <w:tcW w:w="491" w:type="pct"/>
                <w:shd w:val="clear" w:color="auto" w:fill="FFFFFF" w:themeFill="background2"/>
                <w:tcMar>
                  <w:top w:w="60" w:type="dxa"/>
                  <w:left w:w="114" w:type="dxa"/>
                  <w:bottom w:w="60" w:type="dxa"/>
                  <w:right w:w="114" w:type="dxa"/>
                </w:tcMar>
                <w:vAlign w:val="center"/>
              </w:tcPr>
              <w:p w14:paraId="65C3036F" w14:textId="2834CD78"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403</w:t>
                </w:r>
              </w:p>
            </w:tc>
            <w:tc>
              <w:tcPr>
                <w:tcW w:w="417" w:type="pct"/>
                <w:shd w:val="clear" w:color="auto" w:fill="FFFFFF" w:themeFill="background2"/>
                <w:tcMar>
                  <w:top w:w="60" w:type="dxa"/>
                  <w:left w:w="114" w:type="dxa"/>
                  <w:bottom w:w="60" w:type="dxa"/>
                  <w:right w:w="114" w:type="dxa"/>
                </w:tcMar>
                <w:vAlign w:val="center"/>
              </w:tcPr>
              <w:p w14:paraId="0567968A" w14:textId="055E70CC"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174</w:t>
                </w:r>
              </w:p>
            </w:tc>
            <w:tc>
              <w:tcPr>
                <w:tcW w:w="417" w:type="pct"/>
                <w:shd w:val="clear" w:color="auto" w:fill="FFFFFF" w:themeFill="background2"/>
                <w:vAlign w:val="center"/>
              </w:tcPr>
              <w:p w14:paraId="7206DE1B" w14:textId="672B7EF0"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220</w:t>
                </w:r>
              </w:p>
            </w:tc>
            <w:tc>
              <w:tcPr>
                <w:tcW w:w="417" w:type="pct"/>
                <w:shd w:val="clear" w:color="auto" w:fill="FFFFFF" w:themeFill="background2"/>
                <w:vAlign w:val="center"/>
              </w:tcPr>
              <w:p w14:paraId="0C83B7EF" w14:textId="5AF8ADD5"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245</w:t>
                </w:r>
              </w:p>
            </w:tc>
            <w:tc>
              <w:tcPr>
                <w:tcW w:w="417" w:type="pct"/>
                <w:shd w:val="clear" w:color="auto" w:fill="FFFFFF" w:themeFill="background2"/>
                <w:vAlign w:val="center"/>
              </w:tcPr>
              <w:p w14:paraId="343404B2" w14:textId="3AA33895"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253</w:t>
                </w:r>
              </w:p>
            </w:tc>
            <w:tc>
              <w:tcPr>
                <w:tcW w:w="417" w:type="pct"/>
                <w:shd w:val="clear" w:color="auto" w:fill="FFFFFF" w:themeFill="background2"/>
                <w:vAlign w:val="center"/>
              </w:tcPr>
              <w:p w14:paraId="4AA4F555" w14:textId="7F96EA40"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260</w:t>
                </w:r>
              </w:p>
            </w:tc>
            <w:tc>
              <w:tcPr>
                <w:tcW w:w="417" w:type="pct"/>
                <w:shd w:val="clear" w:color="auto" w:fill="FFFFFF" w:themeFill="background2"/>
                <w:vAlign w:val="center"/>
              </w:tcPr>
              <w:p w14:paraId="3564A176" w14:textId="78002B49"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43.18%</w:t>
                </w:r>
              </w:p>
            </w:tc>
            <w:tc>
              <w:tcPr>
                <w:tcW w:w="417" w:type="pct"/>
                <w:shd w:val="clear" w:color="auto" w:fill="FFFFFF" w:themeFill="background2"/>
                <w:vAlign w:val="center"/>
              </w:tcPr>
              <w:p w14:paraId="7092EEB3" w14:textId="6BE2EED1"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54.59%</w:t>
                </w:r>
              </w:p>
            </w:tc>
            <w:tc>
              <w:tcPr>
                <w:tcW w:w="417" w:type="pct"/>
                <w:shd w:val="clear" w:color="auto" w:fill="FFFFFF" w:themeFill="background2"/>
                <w:vAlign w:val="center"/>
              </w:tcPr>
              <w:p w14:paraId="4FDC4A21" w14:textId="5F9387CD"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60.79%</w:t>
                </w:r>
              </w:p>
            </w:tc>
            <w:tc>
              <w:tcPr>
                <w:tcW w:w="417" w:type="pct"/>
                <w:shd w:val="clear" w:color="auto" w:fill="FFFFFF" w:themeFill="background2"/>
                <w:vAlign w:val="center"/>
              </w:tcPr>
              <w:p w14:paraId="5114ACA1" w14:textId="203B562F"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62.78%</w:t>
                </w:r>
              </w:p>
            </w:tc>
            <w:tc>
              <w:tcPr>
                <w:tcW w:w="413" w:type="pct"/>
                <w:shd w:val="clear" w:color="auto" w:fill="FFFFFF" w:themeFill="background2"/>
                <w:vAlign w:val="center"/>
              </w:tcPr>
              <w:p w14:paraId="212F71C2" w14:textId="2A9B9099"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64.52%</w:t>
                </w:r>
              </w:p>
            </w:tc>
          </w:tr>
          <w:tr w:rsidR="007E6368" w:rsidRPr="00B80369" w14:paraId="70A2CBAF" w14:textId="77777777" w:rsidTr="00AC7D4E">
            <w:trPr>
              <w:trHeight w:val="227"/>
            </w:trPr>
            <w:tc>
              <w:tcPr>
                <w:tcW w:w="343" w:type="pct"/>
                <w:shd w:val="clear" w:color="auto" w:fill="FFFFFF" w:themeFill="background2"/>
                <w:tcMar>
                  <w:top w:w="60" w:type="dxa"/>
                  <w:left w:w="114" w:type="dxa"/>
                  <w:bottom w:w="60" w:type="dxa"/>
                  <w:right w:w="114" w:type="dxa"/>
                </w:tcMar>
                <w:vAlign w:val="center"/>
              </w:tcPr>
              <w:p w14:paraId="14593D80" w14:textId="77777777" w:rsidR="007E6368" w:rsidRPr="00B80369" w:rsidRDefault="007E6368" w:rsidP="00B80369">
                <w:pPr>
                  <w:spacing w:before="0" w:line="240" w:lineRule="auto"/>
                  <w:jc w:val="center"/>
                  <w:rPr>
                    <w:rFonts w:cs="Segoe UI"/>
                    <w:b/>
                    <w:bCs/>
                    <w:sz w:val="14"/>
                    <w:szCs w:val="14"/>
                    <w:lang w:eastAsia="it-IT"/>
                  </w:rPr>
                </w:pPr>
                <w:r w:rsidRPr="00B80369">
                  <w:rPr>
                    <w:rFonts w:cs="Segoe UI"/>
                    <w:b/>
                    <w:bCs/>
                    <w:sz w:val="14"/>
                    <w:szCs w:val="14"/>
                    <w:lang w:eastAsia="it-IT"/>
                  </w:rPr>
                  <w:t>TOTAL</w:t>
                </w:r>
              </w:p>
            </w:tc>
            <w:tc>
              <w:tcPr>
                <w:tcW w:w="491" w:type="pct"/>
                <w:shd w:val="clear" w:color="auto" w:fill="FFFFFF" w:themeFill="background2"/>
                <w:tcMar>
                  <w:top w:w="60" w:type="dxa"/>
                  <w:left w:w="114" w:type="dxa"/>
                  <w:bottom w:w="60" w:type="dxa"/>
                  <w:right w:w="114" w:type="dxa"/>
                </w:tcMar>
                <w:vAlign w:val="center"/>
              </w:tcPr>
              <w:p w14:paraId="3E990EDF" w14:textId="01687AF3"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19,714</w:t>
                </w:r>
              </w:p>
            </w:tc>
            <w:tc>
              <w:tcPr>
                <w:tcW w:w="417" w:type="pct"/>
                <w:shd w:val="clear" w:color="auto" w:fill="FFFFFF" w:themeFill="background2"/>
                <w:tcMar>
                  <w:top w:w="60" w:type="dxa"/>
                  <w:left w:w="114" w:type="dxa"/>
                  <w:bottom w:w="60" w:type="dxa"/>
                  <w:right w:w="114" w:type="dxa"/>
                </w:tcMar>
                <w:vAlign w:val="center"/>
              </w:tcPr>
              <w:p w14:paraId="10DC63C5" w14:textId="0815E00D"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468</w:t>
                </w:r>
              </w:p>
            </w:tc>
            <w:tc>
              <w:tcPr>
                <w:tcW w:w="417" w:type="pct"/>
                <w:shd w:val="clear" w:color="auto" w:fill="FFFFFF" w:themeFill="background2"/>
                <w:vAlign w:val="center"/>
              </w:tcPr>
              <w:p w14:paraId="71EC3F7A" w14:textId="3B627698"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808</w:t>
                </w:r>
              </w:p>
            </w:tc>
            <w:tc>
              <w:tcPr>
                <w:tcW w:w="417" w:type="pct"/>
                <w:shd w:val="clear" w:color="auto" w:fill="FFFFFF" w:themeFill="background2"/>
                <w:vAlign w:val="center"/>
              </w:tcPr>
              <w:p w14:paraId="0F4C0D08" w14:textId="194DF6EA"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1,097</w:t>
                </w:r>
              </w:p>
            </w:tc>
            <w:tc>
              <w:tcPr>
                <w:tcW w:w="417" w:type="pct"/>
                <w:shd w:val="clear" w:color="auto" w:fill="FFFFFF" w:themeFill="background2"/>
                <w:vAlign w:val="center"/>
              </w:tcPr>
              <w:p w14:paraId="739C99FC" w14:textId="08BC285A"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1,390</w:t>
                </w:r>
              </w:p>
            </w:tc>
            <w:tc>
              <w:tcPr>
                <w:tcW w:w="417" w:type="pct"/>
                <w:shd w:val="clear" w:color="auto" w:fill="FFFFFF" w:themeFill="background2"/>
                <w:vAlign w:val="center"/>
              </w:tcPr>
              <w:p w14:paraId="59CC4D95" w14:textId="75DA4C0E" w:rsidR="007E6368" w:rsidRPr="00B80369" w:rsidRDefault="007E6368"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1,589</w:t>
                </w:r>
              </w:p>
            </w:tc>
            <w:tc>
              <w:tcPr>
                <w:tcW w:w="417" w:type="pct"/>
                <w:shd w:val="clear" w:color="auto" w:fill="FFFFFF" w:themeFill="background2"/>
                <w:vAlign w:val="center"/>
              </w:tcPr>
              <w:p w14:paraId="0DC942D8" w14:textId="14138653"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2.37%</w:t>
                </w:r>
              </w:p>
            </w:tc>
            <w:tc>
              <w:tcPr>
                <w:tcW w:w="417" w:type="pct"/>
                <w:shd w:val="clear" w:color="auto" w:fill="FFFFFF" w:themeFill="background2"/>
                <w:vAlign w:val="center"/>
              </w:tcPr>
              <w:p w14:paraId="7D1619A7" w14:textId="57786B1D"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4.10%</w:t>
                </w:r>
              </w:p>
            </w:tc>
            <w:tc>
              <w:tcPr>
                <w:tcW w:w="417" w:type="pct"/>
                <w:shd w:val="clear" w:color="auto" w:fill="FFFFFF" w:themeFill="background2"/>
                <w:vAlign w:val="center"/>
              </w:tcPr>
              <w:p w14:paraId="53E31CEB" w14:textId="6942AB2C"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5.56%</w:t>
                </w:r>
              </w:p>
            </w:tc>
            <w:tc>
              <w:tcPr>
                <w:tcW w:w="417" w:type="pct"/>
                <w:shd w:val="clear" w:color="auto" w:fill="FFFFFF" w:themeFill="background2"/>
                <w:vAlign w:val="center"/>
              </w:tcPr>
              <w:p w14:paraId="4AD949F3" w14:textId="48ECC58E"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7.05%</w:t>
                </w:r>
              </w:p>
            </w:tc>
            <w:tc>
              <w:tcPr>
                <w:tcW w:w="413" w:type="pct"/>
                <w:shd w:val="clear" w:color="auto" w:fill="FFFFFF" w:themeFill="background2"/>
                <w:vAlign w:val="center"/>
              </w:tcPr>
              <w:p w14:paraId="0CF6BC4F" w14:textId="1053C1B2" w:rsidR="007E6368" w:rsidRPr="00B80369" w:rsidRDefault="007E6368"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8.06%</w:t>
                </w:r>
              </w:p>
            </w:tc>
          </w:tr>
        </w:tbl>
        <w:p w14:paraId="6D909330" w14:textId="77777777" w:rsidR="007E6368" w:rsidRPr="007E6368" w:rsidRDefault="007E6368" w:rsidP="007E6368">
          <w:pPr>
            <w:rPr>
              <w:lang w:val="en-GB"/>
            </w:rPr>
          </w:pPr>
        </w:p>
        <w:p w14:paraId="3C6B8EBC" w14:textId="2C8BE4B7" w:rsidR="004101BF" w:rsidRDefault="004101BF" w:rsidP="004101BF">
          <w:pPr>
            <w:pStyle w:val="Didascalia"/>
            <w:rPr>
              <w:rFonts w:ascii="Segoe UI" w:hAnsi="Segoe UI" w:cs="Segoe UI"/>
              <w:i/>
              <w:sz w:val="14"/>
              <w:lang w:val="en-GB"/>
            </w:rPr>
          </w:pPr>
          <w:bookmarkStart w:id="135" w:name="_Toc130806339"/>
          <w:bookmarkStart w:id="136" w:name="_Toc166675679"/>
          <w:bookmarkStart w:id="137" w:name="_Toc167131806"/>
          <w:r w:rsidRPr="0032337D">
            <w:rPr>
              <w:rFonts w:ascii="Segoe UI" w:hAnsi="Segoe UI" w:cs="Segoe UI"/>
              <w:i/>
              <w:sz w:val="14"/>
              <w:lang w:val="en-GB"/>
            </w:rPr>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38</w:t>
          </w:r>
          <w:r>
            <w:rPr>
              <w:rFonts w:ascii="Segoe UI" w:hAnsi="Segoe UI" w:cs="Segoe UI"/>
              <w:i/>
              <w:sz w:val="14"/>
              <w:lang w:val="en-GB"/>
            </w:rPr>
            <w:fldChar w:fldCharType="end"/>
          </w:r>
          <w:r w:rsidRPr="0032337D">
            <w:rPr>
              <w:rFonts w:ascii="Segoe UI" w:hAnsi="Segoe UI" w:cs="Segoe UI"/>
              <w:i/>
              <w:sz w:val="14"/>
              <w:lang w:val="en-GB"/>
            </w:rPr>
            <w:t>: Static pool as of 31</w:t>
          </w:r>
          <w:r w:rsidRPr="0032337D">
            <w:rPr>
              <w:rFonts w:ascii="Segoe UI" w:hAnsi="Segoe UI" w:cs="Segoe UI"/>
              <w:i/>
              <w:sz w:val="14"/>
              <w:vertAlign w:val="superscript"/>
              <w:lang w:val="en-GB"/>
            </w:rPr>
            <w:t>st</w:t>
          </w:r>
          <w:r w:rsidRPr="0032337D">
            <w:rPr>
              <w:rFonts w:ascii="Segoe UI" w:hAnsi="Segoe UI" w:cs="Segoe UI"/>
              <w:i/>
              <w:sz w:val="14"/>
              <w:lang w:val="en-GB"/>
            </w:rPr>
            <w:t xml:space="preserve"> December 2016</w:t>
          </w:r>
          <w:bookmarkEnd w:id="135"/>
          <w:bookmarkEnd w:id="136"/>
          <w:bookmarkEnd w:id="137"/>
        </w:p>
        <w:tbl>
          <w:tblPr>
            <w:tblW w:w="5000" w:type="pct"/>
            <w:tblBorders>
              <w:top w:val="single" w:sz="4" w:space="0" w:color="AFAFB4" w:themeColor="accent4"/>
              <w:bottom w:val="single" w:sz="4" w:space="0" w:color="AFAFB4" w:themeColor="accent4"/>
              <w:insideH w:val="single" w:sz="4" w:space="0" w:color="AFAFB4" w:themeColor="accent4"/>
            </w:tblBorders>
            <w:shd w:val="clear" w:color="auto" w:fill="FFFFFF" w:themeFill="background2"/>
            <w:tblCellMar>
              <w:left w:w="0" w:type="dxa"/>
              <w:right w:w="0" w:type="dxa"/>
            </w:tblCellMar>
            <w:tblLook w:val="0620" w:firstRow="1" w:lastRow="0" w:firstColumn="0" w:lastColumn="0" w:noHBand="1" w:noVBand="1"/>
            <w:tblDescription w:val="{&quot;Ott&quot;:{&quot;FirstRow&quot;:{&quot;BackgroundColor&quot;:{&quot;Key&quot;:&quot;Light2&quot;},&quot;Font&quot;:{&quot;Name&quot;:&quot;Source Sans Pro&quot;,&quot;Size&quot;:14.0,&quot;Bold&quot;:false,&quot;Italic&quot;:false,&quot;Color&quot;:{&quot;Key&quot;:&quot;Dark2&quot;}},&quot;ExcelCellFormatting&quot;:&quot;General&quot;,&quot;Alignment&quot;:{&quot;Horizontal&quot;:&quot;Left&quot;,&quot;Vertical&quot;:&quot;Bottom&quot;},&quot;Borders&quot;:{&quot;Vertical&quot;:{&quot;Visible&quot;:false},&quot;Left&quot;:{&quot;Visible&quot;:false},&quot;Top&quot;:{&quot;Visible&quot;:false},&quot;Right&quot;:{&quot;Visible&quot;:false},&quot;Bottom&quot;:{&quot;Color&quot;:{&quot;Key&quot;:&quot;Accent4&quot;},&quot;BorderWeight&quot;:&quot;Pt1_5&quot;,&quot;Type&quot;:&quot;Solid&quot;,&quot;Visible&quot;:true}}},&quot;FitRowHeightPp&quot;:true,&quot;ZeroMarginsWord&quot;:true,&quot;BackgroundColor&quot;:{&quot;Key&quot;:&quot;Light2&quot;},&quot;Font&quot;:{&quot;Name&quot;:&quot;Source Sans Pro&quot;,&quot;Size&quot;:11.0,&quot;Bold&quot;:false,&quot;Italic&quot;:false,&quot;Color&quot;:{&quot;Key&quot;:&quot;Dark2&quot;}},&quot;LineSpacing&quot;:{&quot;Rule&quot;:&quot;Single&quot;},&quot;Alignment&quot;:{&quot;Horizontal&quot;:&quot;Left&quot;,&quot;Vertical&quot;:&quot;Top&quot;},&quot;Margin&quot;:{&quot;Left&quot;:5.7,&quot;Top&quot;:3.0,&quot;Right&quot;:5.7,&quot;Bottom&quot;:3.0},&quot;Borders&quot;:{&quot;Vertical&quot;:{&quot;Visible&quot;:false},&quot;Horizontal&quot;:{&quot;Color&quot;:{&quot;Key&quot;:&quot;Accent4&quot;},&quot;BorderWeight&quot;:&quot;Pt0_5&quot;,&quot;Type&quot;:&quot;Solid&quot;,&quot;Visible&quot;:true}},&quot;ParagraphSpacing&quot;:{&quot;SpaceBefore&quot;:2.0,&quot;SpaceAfter&quot;:2.0},&quot;ExcelWrapText&quot;:true},&quot;Ccs&quot;:{&quot;DarkBlue&quot;:&quot;0, 20, 55&quot;,&quot;Turquoise&quot;:&quot;0, 164, 230&quot;,&quot;Red&quot;:&quot;214, 70, 65&quot;,&quot;LightGrey&quot;:&quot;174, 174, 180&quot;,&quot;BlueGrey&quot;:&quot;77, 91, 115&quot;,&quot;IceBlue&quot;:&quot;178, 184, 195&quot;,&quot;Grey&quot;:&quot;145, 147, 153&quot;,&quot;Background&quot;:&quot;0, 0, 0, 0&quot;,&quot;White&quot;:&quot;White&quot;,&quot;Accent1&quot;:&quot;1, 1, 1, 1&quot;,&quot;Accent2&quot;:&quot;1, 1, 1, 2&quot;,&quot;Accent3&quot;:&quot;1, 1, 1, 3&quot;,&quot;Accent4&quot;:&quot;1, 1, 1, 4&quot;,&quot;Accent5&quot;:&quot;1, 1, 1, 5&quot;,&quot;Accent6&quot;:&quot;1, 1, 1, 6&quot;,&quot;Dark1&quot;:&quot;1, 1, 1, 7&quot;,&quot;Dark2&quot;:&quot;1, 1, 1, 9&quot;,&quot;Light1&quot;:&quot;1, 1, 1, 8&quot;,&quot;Light2&quot;:&quot;1, 1, 1, 10&quot;},&quot;Cop&quot;:{&quot;FirstRow&quot;:true,&quot;LastRow&quot;:false,&quot;FirstColumn&quot;:false,&quot;LastColumn&quot;:false,&quot;BandedRows&quot;:false,&quot;BandedColumns&quot;:false},&quot;Aaf&quot;:false}"/>
          </w:tblPr>
          <w:tblGrid>
            <w:gridCol w:w="710"/>
            <w:gridCol w:w="1016"/>
            <w:gridCol w:w="863"/>
            <w:gridCol w:w="863"/>
            <w:gridCol w:w="863"/>
            <w:gridCol w:w="863"/>
            <w:gridCol w:w="863"/>
            <w:gridCol w:w="863"/>
            <w:gridCol w:w="863"/>
            <w:gridCol w:w="863"/>
            <w:gridCol w:w="863"/>
            <w:gridCol w:w="855"/>
          </w:tblGrid>
          <w:tr w:rsidR="00707524" w:rsidRPr="00B80369" w14:paraId="406F83F4" w14:textId="77777777" w:rsidTr="00AC7D4E">
            <w:trPr>
              <w:trHeight w:val="227"/>
              <w:tblHeader/>
            </w:trPr>
            <w:tc>
              <w:tcPr>
                <w:tcW w:w="343" w:type="pct"/>
                <w:vMerge w:val="restar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4D28BC18" w14:textId="77777777"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Rating</w:t>
                </w:r>
              </w:p>
            </w:tc>
            <w:tc>
              <w:tcPr>
                <w:tcW w:w="491"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2EC4D317" w14:textId="77777777"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Static pool</w:t>
                </w:r>
              </w:p>
            </w:tc>
            <w:tc>
              <w:tcPr>
                <w:tcW w:w="2085" w:type="pct"/>
                <w:gridSpan w:val="5"/>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4FE2E22F" w14:textId="06457AE5"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Observed defaults by years since rating issuance</w:t>
                </w:r>
              </w:p>
            </w:tc>
            <w:tc>
              <w:tcPr>
                <w:tcW w:w="2081" w:type="pct"/>
                <w:gridSpan w:val="5"/>
                <w:tcBorders>
                  <w:top w:val="single" w:sz="12" w:space="0" w:color="AFAFB4" w:themeColor="accent4"/>
                </w:tcBorders>
                <w:shd w:val="clear" w:color="auto" w:fill="FFFFFF" w:themeFill="background2"/>
                <w:vAlign w:val="center"/>
              </w:tcPr>
              <w:p w14:paraId="4E0C1431" w14:textId="77777777"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Percentage of cumulative default rates</w:t>
                </w:r>
              </w:p>
            </w:tc>
          </w:tr>
          <w:tr w:rsidR="00EC35E1" w:rsidRPr="00B80369" w14:paraId="34B2DB1B" w14:textId="77777777" w:rsidTr="00AC7D4E">
            <w:trPr>
              <w:trHeight w:val="227"/>
              <w:tblHeader/>
            </w:trPr>
            <w:tc>
              <w:tcPr>
                <w:tcW w:w="343" w:type="pct"/>
                <w:vMerge/>
                <w:shd w:val="clear" w:color="auto" w:fill="FFFFFF" w:themeFill="background2"/>
                <w:tcMar>
                  <w:top w:w="60" w:type="dxa"/>
                  <w:left w:w="114" w:type="dxa"/>
                  <w:bottom w:w="60" w:type="dxa"/>
                  <w:right w:w="114" w:type="dxa"/>
                </w:tcMar>
                <w:vAlign w:val="center"/>
              </w:tcPr>
              <w:p w14:paraId="1125ED8D" w14:textId="77777777" w:rsidR="00EC35E1" w:rsidRPr="00B80369" w:rsidRDefault="00EC35E1" w:rsidP="00B80369">
                <w:pPr>
                  <w:spacing w:before="0" w:line="240" w:lineRule="auto"/>
                  <w:jc w:val="center"/>
                  <w:rPr>
                    <w:b/>
                    <w:color w:val="33A1AB" w:themeColor="accent2"/>
                    <w:sz w:val="14"/>
                    <w:szCs w:val="14"/>
                  </w:rPr>
                </w:pPr>
              </w:p>
            </w:tc>
            <w:tc>
              <w:tcPr>
                <w:tcW w:w="491"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7716FFC1" w14:textId="51DD9273" w:rsidR="00EC35E1" w:rsidRPr="00B80369" w:rsidRDefault="00EC35E1" w:rsidP="00B80369">
                <w:pPr>
                  <w:spacing w:before="0" w:line="240" w:lineRule="auto"/>
                  <w:jc w:val="center"/>
                  <w:rPr>
                    <w:b/>
                    <w:color w:val="33A1AB" w:themeColor="accent2"/>
                    <w:sz w:val="14"/>
                    <w:szCs w:val="14"/>
                  </w:rPr>
                </w:pPr>
                <w:r w:rsidRPr="00B80369">
                  <w:rPr>
                    <w:b/>
                    <w:color w:val="33A1AB" w:themeColor="accent2"/>
                    <w:sz w:val="14"/>
                    <w:szCs w:val="14"/>
                  </w:rPr>
                  <w:t>31 Dec 2016</w:t>
                </w:r>
              </w:p>
            </w:tc>
            <w:tc>
              <w:tcPr>
                <w:tcW w:w="417"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485E7E88" w14:textId="77777777" w:rsidR="00EC35E1" w:rsidRPr="00B80369" w:rsidRDefault="00EC35E1" w:rsidP="00B80369">
                <w:pPr>
                  <w:spacing w:before="0" w:line="240" w:lineRule="auto"/>
                  <w:jc w:val="center"/>
                  <w:rPr>
                    <w:b/>
                    <w:color w:val="33A1AB" w:themeColor="accent2"/>
                    <w:sz w:val="14"/>
                    <w:szCs w:val="14"/>
                  </w:rPr>
                </w:pPr>
                <w:r w:rsidRPr="00B80369">
                  <w:rPr>
                    <w:b/>
                    <w:color w:val="33A1AB" w:themeColor="accent2"/>
                    <w:sz w:val="14"/>
                    <w:szCs w:val="14"/>
                  </w:rPr>
                  <w:t>1-Y DR</w:t>
                </w:r>
              </w:p>
            </w:tc>
            <w:tc>
              <w:tcPr>
                <w:tcW w:w="417" w:type="pct"/>
                <w:tcBorders>
                  <w:top w:val="single" w:sz="12" w:space="0" w:color="AFAFB4" w:themeColor="accent4"/>
                </w:tcBorders>
                <w:shd w:val="clear" w:color="auto" w:fill="FFFFFF" w:themeFill="background2"/>
                <w:vAlign w:val="center"/>
              </w:tcPr>
              <w:p w14:paraId="6C290524" w14:textId="77777777" w:rsidR="00EC35E1" w:rsidRPr="00B80369" w:rsidRDefault="00EC35E1" w:rsidP="00B80369">
                <w:pPr>
                  <w:spacing w:before="0" w:line="240" w:lineRule="auto"/>
                  <w:jc w:val="center"/>
                  <w:rPr>
                    <w:b/>
                    <w:color w:val="33A1AB" w:themeColor="accent2"/>
                    <w:sz w:val="14"/>
                    <w:szCs w:val="14"/>
                  </w:rPr>
                </w:pPr>
                <w:r w:rsidRPr="00B80369">
                  <w:rPr>
                    <w:b/>
                    <w:color w:val="33A1AB" w:themeColor="accent2"/>
                    <w:sz w:val="14"/>
                    <w:szCs w:val="14"/>
                  </w:rPr>
                  <w:t>2-Y DR</w:t>
                </w:r>
              </w:p>
            </w:tc>
            <w:tc>
              <w:tcPr>
                <w:tcW w:w="417" w:type="pct"/>
                <w:tcBorders>
                  <w:top w:val="single" w:sz="12" w:space="0" w:color="AFAFB4" w:themeColor="accent4"/>
                </w:tcBorders>
                <w:shd w:val="clear" w:color="auto" w:fill="FFFFFF" w:themeFill="background2"/>
                <w:vAlign w:val="center"/>
              </w:tcPr>
              <w:p w14:paraId="7CB718D5" w14:textId="77777777" w:rsidR="00EC35E1" w:rsidRPr="00B80369" w:rsidRDefault="00EC35E1" w:rsidP="00B80369">
                <w:pPr>
                  <w:spacing w:before="0" w:line="240" w:lineRule="auto"/>
                  <w:jc w:val="center"/>
                  <w:rPr>
                    <w:b/>
                    <w:color w:val="33A1AB" w:themeColor="accent2"/>
                    <w:sz w:val="14"/>
                    <w:szCs w:val="14"/>
                  </w:rPr>
                </w:pPr>
                <w:r w:rsidRPr="00B80369">
                  <w:rPr>
                    <w:b/>
                    <w:color w:val="33A1AB" w:themeColor="accent2"/>
                    <w:sz w:val="14"/>
                    <w:szCs w:val="14"/>
                  </w:rPr>
                  <w:t>3-Y DR</w:t>
                </w:r>
              </w:p>
            </w:tc>
            <w:tc>
              <w:tcPr>
                <w:tcW w:w="417" w:type="pct"/>
                <w:tcBorders>
                  <w:top w:val="single" w:sz="12" w:space="0" w:color="AFAFB4" w:themeColor="accent4"/>
                </w:tcBorders>
                <w:shd w:val="clear" w:color="auto" w:fill="FFFFFF" w:themeFill="background2"/>
                <w:vAlign w:val="center"/>
              </w:tcPr>
              <w:p w14:paraId="17408CCE" w14:textId="77777777" w:rsidR="00EC35E1" w:rsidRPr="00B80369" w:rsidRDefault="00EC35E1" w:rsidP="00B80369">
                <w:pPr>
                  <w:spacing w:before="0" w:line="240" w:lineRule="auto"/>
                  <w:jc w:val="center"/>
                  <w:rPr>
                    <w:b/>
                    <w:color w:val="33A1AB" w:themeColor="accent2"/>
                    <w:sz w:val="14"/>
                    <w:szCs w:val="14"/>
                  </w:rPr>
                </w:pPr>
                <w:r w:rsidRPr="00B80369">
                  <w:rPr>
                    <w:b/>
                    <w:color w:val="33A1AB" w:themeColor="accent2"/>
                    <w:sz w:val="14"/>
                    <w:szCs w:val="14"/>
                  </w:rPr>
                  <w:t>4-Y DR</w:t>
                </w:r>
              </w:p>
            </w:tc>
            <w:tc>
              <w:tcPr>
                <w:tcW w:w="417" w:type="pct"/>
                <w:tcBorders>
                  <w:top w:val="single" w:sz="12" w:space="0" w:color="AFAFB4" w:themeColor="accent4"/>
                </w:tcBorders>
                <w:shd w:val="clear" w:color="auto" w:fill="FFFFFF" w:themeFill="background2"/>
                <w:vAlign w:val="center"/>
              </w:tcPr>
              <w:p w14:paraId="22668431" w14:textId="77777777" w:rsidR="00EC35E1" w:rsidRPr="00B80369" w:rsidRDefault="00EC35E1" w:rsidP="00B80369">
                <w:pPr>
                  <w:spacing w:before="0" w:line="240" w:lineRule="auto"/>
                  <w:jc w:val="center"/>
                  <w:rPr>
                    <w:b/>
                    <w:color w:val="33A1AB" w:themeColor="accent2"/>
                    <w:sz w:val="14"/>
                    <w:szCs w:val="14"/>
                  </w:rPr>
                </w:pPr>
                <w:r w:rsidRPr="00B80369">
                  <w:rPr>
                    <w:b/>
                    <w:color w:val="33A1AB" w:themeColor="accent2"/>
                    <w:sz w:val="14"/>
                    <w:szCs w:val="14"/>
                  </w:rPr>
                  <w:t>5-Y DR</w:t>
                </w:r>
              </w:p>
            </w:tc>
            <w:tc>
              <w:tcPr>
                <w:tcW w:w="417" w:type="pct"/>
                <w:tcBorders>
                  <w:top w:val="single" w:sz="12" w:space="0" w:color="AFAFB4" w:themeColor="accent4"/>
                </w:tcBorders>
                <w:shd w:val="clear" w:color="auto" w:fill="FFFFFF" w:themeFill="background2"/>
                <w:vAlign w:val="center"/>
              </w:tcPr>
              <w:p w14:paraId="51EA1EF8" w14:textId="77777777" w:rsidR="00EC35E1" w:rsidRPr="00B80369" w:rsidRDefault="00EC35E1" w:rsidP="00B80369">
                <w:pPr>
                  <w:spacing w:before="0" w:line="240" w:lineRule="auto"/>
                  <w:jc w:val="center"/>
                  <w:rPr>
                    <w:b/>
                    <w:color w:val="33A1AB" w:themeColor="accent2"/>
                    <w:sz w:val="14"/>
                    <w:szCs w:val="14"/>
                  </w:rPr>
                </w:pPr>
                <w:r w:rsidRPr="00B80369">
                  <w:rPr>
                    <w:b/>
                    <w:color w:val="33A1AB" w:themeColor="accent2"/>
                    <w:sz w:val="14"/>
                    <w:szCs w:val="14"/>
                  </w:rPr>
                  <w:t>1-Y DR</w:t>
                </w:r>
              </w:p>
            </w:tc>
            <w:tc>
              <w:tcPr>
                <w:tcW w:w="417" w:type="pct"/>
                <w:tcBorders>
                  <w:top w:val="single" w:sz="12" w:space="0" w:color="AFAFB4" w:themeColor="accent4"/>
                </w:tcBorders>
                <w:shd w:val="clear" w:color="auto" w:fill="FFFFFF" w:themeFill="background2"/>
                <w:vAlign w:val="center"/>
              </w:tcPr>
              <w:p w14:paraId="1DB301C3" w14:textId="77777777" w:rsidR="00EC35E1" w:rsidRPr="00B80369" w:rsidRDefault="00EC35E1" w:rsidP="00B80369">
                <w:pPr>
                  <w:spacing w:before="0" w:line="240" w:lineRule="auto"/>
                  <w:jc w:val="center"/>
                  <w:rPr>
                    <w:b/>
                    <w:color w:val="33A1AB" w:themeColor="accent2"/>
                    <w:sz w:val="14"/>
                    <w:szCs w:val="14"/>
                  </w:rPr>
                </w:pPr>
                <w:r w:rsidRPr="00B80369">
                  <w:rPr>
                    <w:b/>
                    <w:color w:val="33A1AB" w:themeColor="accent2"/>
                    <w:sz w:val="14"/>
                    <w:szCs w:val="14"/>
                  </w:rPr>
                  <w:t>2-Y DR</w:t>
                </w:r>
              </w:p>
            </w:tc>
            <w:tc>
              <w:tcPr>
                <w:tcW w:w="417" w:type="pct"/>
                <w:tcBorders>
                  <w:top w:val="single" w:sz="12" w:space="0" w:color="AFAFB4" w:themeColor="accent4"/>
                </w:tcBorders>
                <w:shd w:val="clear" w:color="auto" w:fill="FFFFFF" w:themeFill="background2"/>
                <w:vAlign w:val="center"/>
              </w:tcPr>
              <w:p w14:paraId="77575E5E" w14:textId="77777777" w:rsidR="00EC35E1" w:rsidRPr="00B80369" w:rsidRDefault="00EC35E1" w:rsidP="00B80369">
                <w:pPr>
                  <w:spacing w:before="0" w:line="240" w:lineRule="auto"/>
                  <w:jc w:val="center"/>
                  <w:rPr>
                    <w:b/>
                    <w:color w:val="33A1AB" w:themeColor="accent2"/>
                    <w:sz w:val="14"/>
                    <w:szCs w:val="14"/>
                  </w:rPr>
                </w:pPr>
                <w:r w:rsidRPr="00B80369">
                  <w:rPr>
                    <w:b/>
                    <w:color w:val="33A1AB" w:themeColor="accent2"/>
                    <w:sz w:val="14"/>
                    <w:szCs w:val="14"/>
                  </w:rPr>
                  <w:t>3-Y DR</w:t>
                </w:r>
              </w:p>
            </w:tc>
            <w:tc>
              <w:tcPr>
                <w:tcW w:w="417" w:type="pct"/>
                <w:tcBorders>
                  <w:top w:val="single" w:sz="12" w:space="0" w:color="AFAFB4" w:themeColor="accent4"/>
                </w:tcBorders>
                <w:shd w:val="clear" w:color="auto" w:fill="FFFFFF" w:themeFill="background2"/>
                <w:vAlign w:val="center"/>
              </w:tcPr>
              <w:p w14:paraId="6DCC35C1" w14:textId="77777777" w:rsidR="00EC35E1" w:rsidRPr="00B80369" w:rsidRDefault="00EC35E1" w:rsidP="00B80369">
                <w:pPr>
                  <w:spacing w:before="0" w:line="240" w:lineRule="auto"/>
                  <w:jc w:val="center"/>
                  <w:rPr>
                    <w:b/>
                    <w:color w:val="33A1AB" w:themeColor="accent2"/>
                    <w:sz w:val="14"/>
                    <w:szCs w:val="14"/>
                  </w:rPr>
                </w:pPr>
                <w:r w:rsidRPr="00B80369">
                  <w:rPr>
                    <w:b/>
                    <w:color w:val="33A1AB" w:themeColor="accent2"/>
                    <w:sz w:val="14"/>
                    <w:szCs w:val="14"/>
                  </w:rPr>
                  <w:t>4-Y DR</w:t>
                </w:r>
              </w:p>
            </w:tc>
            <w:tc>
              <w:tcPr>
                <w:tcW w:w="413" w:type="pct"/>
                <w:tcBorders>
                  <w:top w:val="single" w:sz="12" w:space="0" w:color="AFAFB4" w:themeColor="accent4"/>
                </w:tcBorders>
                <w:shd w:val="clear" w:color="auto" w:fill="FFFFFF" w:themeFill="background2"/>
                <w:vAlign w:val="center"/>
              </w:tcPr>
              <w:p w14:paraId="4E3725D2" w14:textId="77777777" w:rsidR="00EC35E1" w:rsidRPr="00B80369" w:rsidRDefault="00EC35E1" w:rsidP="00B80369">
                <w:pPr>
                  <w:spacing w:before="0" w:line="240" w:lineRule="auto"/>
                  <w:jc w:val="center"/>
                  <w:rPr>
                    <w:b/>
                    <w:color w:val="33A1AB" w:themeColor="accent2"/>
                    <w:sz w:val="14"/>
                    <w:szCs w:val="14"/>
                  </w:rPr>
                </w:pPr>
                <w:r w:rsidRPr="00B80369">
                  <w:rPr>
                    <w:b/>
                    <w:color w:val="33A1AB" w:themeColor="accent2"/>
                    <w:sz w:val="14"/>
                    <w:szCs w:val="14"/>
                  </w:rPr>
                  <w:t>5-Y DR</w:t>
                </w:r>
              </w:p>
            </w:tc>
          </w:tr>
          <w:tr w:rsidR="00EC35E1" w:rsidRPr="00B80369" w14:paraId="6A331E19"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4C8C7147" w14:textId="77777777" w:rsidR="00EC35E1" w:rsidRPr="00B80369" w:rsidRDefault="00EC35E1"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A1.1</w:t>
                </w:r>
              </w:p>
            </w:tc>
            <w:tc>
              <w:tcPr>
                <w:tcW w:w="491" w:type="pct"/>
                <w:shd w:val="clear" w:color="auto" w:fill="FFFFFF" w:themeFill="background2"/>
                <w:tcMar>
                  <w:top w:w="60" w:type="dxa"/>
                  <w:left w:w="114" w:type="dxa"/>
                  <w:bottom w:w="60" w:type="dxa"/>
                  <w:right w:w="114" w:type="dxa"/>
                </w:tcMar>
                <w:vAlign w:val="center"/>
              </w:tcPr>
              <w:p w14:paraId="42E27BCC" w14:textId="0B6A3729"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w:t>
                </w:r>
              </w:p>
            </w:tc>
            <w:tc>
              <w:tcPr>
                <w:tcW w:w="417" w:type="pct"/>
                <w:shd w:val="clear" w:color="auto" w:fill="FFFFFF" w:themeFill="background2"/>
                <w:tcMar>
                  <w:top w:w="60" w:type="dxa"/>
                  <w:left w:w="114" w:type="dxa"/>
                  <w:bottom w:w="60" w:type="dxa"/>
                  <w:right w:w="114" w:type="dxa"/>
                </w:tcMar>
                <w:vAlign w:val="center"/>
              </w:tcPr>
              <w:p w14:paraId="05B41422" w14:textId="29201CDF"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687519B7" w14:textId="3AC57A94"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6F68789D" w14:textId="16197D01"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15E817E6" w14:textId="5478D2BE"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03E98596" w14:textId="4F4F1B70"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30B6735B" w14:textId="2F3234BB"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627435CF" w14:textId="70B3853A"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1F41388B" w14:textId="67D0F24D"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2422E704" w14:textId="6757C060"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3" w:type="pct"/>
                <w:shd w:val="clear" w:color="auto" w:fill="FFFFFF" w:themeFill="background2"/>
                <w:vAlign w:val="center"/>
              </w:tcPr>
              <w:p w14:paraId="6A0558F8" w14:textId="306632EE"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r>
          <w:tr w:rsidR="00EC35E1" w:rsidRPr="00B80369" w14:paraId="3C8DB94D"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46169686" w14:textId="77777777" w:rsidR="00EC35E1" w:rsidRPr="00B80369" w:rsidRDefault="00EC35E1"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A1.2</w:t>
                </w:r>
              </w:p>
            </w:tc>
            <w:tc>
              <w:tcPr>
                <w:tcW w:w="491" w:type="pct"/>
                <w:shd w:val="clear" w:color="auto" w:fill="FFFFFF" w:themeFill="background2"/>
                <w:tcMar>
                  <w:top w:w="60" w:type="dxa"/>
                  <w:left w:w="114" w:type="dxa"/>
                  <w:bottom w:w="60" w:type="dxa"/>
                  <w:right w:w="114" w:type="dxa"/>
                </w:tcMar>
                <w:vAlign w:val="center"/>
              </w:tcPr>
              <w:p w14:paraId="6B996CAB" w14:textId="7126E9C1"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36</w:t>
                </w:r>
              </w:p>
            </w:tc>
            <w:tc>
              <w:tcPr>
                <w:tcW w:w="417" w:type="pct"/>
                <w:shd w:val="clear" w:color="auto" w:fill="FFFFFF" w:themeFill="background2"/>
                <w:tcMar>
                  <w:top w:w="60" w:type="dxa"/>
                  <w:left w:w="114" w:type="dxa"/>
                  <w:bottom w:w="60" w:type="dxa"/>
                  <w:right w:w="114" w:type="dxa"/>
                </w:tcMar>
                <w:vAlign w:val="center"/>
              </w:tcPr>
              <w:p w14:paraId="77EABBBA" w14:textId="17AEE7A0"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0330C616" w14:textId="7D4D833B"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012BE2AF" w14:textId="6ADD52B9"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0BA3F8E5" w14:textId="15020E62"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2C901ED6" w14:textId="7A8ADBB8"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2FFBC08E" w14:textId="1B75F903"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6816D835" w14:textId="54336221"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4F71542D" w14:textId="3EB3A4F9"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49B723E7" w14:textId="24236D00"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3" w:type="pct"/>
                <w:shd w:val="clear" w:color="auto" w:fill="FFFFFF" w:themeFill="background2"/>
                <w:vAlign w:val="center"/>
              </w:tcPr>
              <w:p w14:paraId="11E941CB" w14:textId="2FA5674F"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r>
          <w:tr w:rsidR="00EC35E1" w:rsidRPr="00B80369" w14:paraId="75A340F7"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240A8D6D" w14:textId="77777777" w:rsidR="00EC35E1" w:rsidRPr="00B80369" w:rsidRDefault="00EC35E1"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A1.3</w:t>
                </w:r>
              </w:p>
            </w:tc>
            <w:tc>
              <w:tcPr>
                <w:tcW w:w="491" w:type="pct"/>
                <w:shd w:val="clear" w:color="auto" w:fill="FFFFFF" w:themeFill="background2"/>
                <w:tcMar>
                  <w:top w:w="60" w:type="dxa"/>
                  <w:left w:w="114" w:type="dxa"/>
                  <w:bottom w:w="60" w:type="dxa"/>
                  <w:right w:w="114" w:type="dxa"/>
                </w:tcMar>
                <w:vAlign w:val="center"/>
              </w:tcPr>
              <w:p w14:paraId="43E048E4" w14:textId="7799030D"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87</w:t>
                </w:r>
              </w:p>
            </w:tc>
            <w:tc>
              <w:tcPr>
                <w:tcW w:w="417" w:type="pct"/>
                <w:shd w:val="clear" w:color="auto" w:fill="FFFFFF" w:themeFill="background2"/>
                <w:tcMar>
                  <w:top w:w="60" w:type="dxa"/>
                  <w:left w:w="114" w:type="dxa"/>
                  <w:bottom w:w="60" w:type="dxa"/>
                  <w:right w:w="114" w:type="dxa"/>
                </w:tcMar>
                <w:vAlign w:val="center"/>
              </w:tcPr>
              <w:p w14:paraId="0E5938CF" w14:textId="3F63C332"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0FE518D8" w14:textId="5DFD3FDB"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62F6E06C" w14:textId="47BB685C"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340C73CA" w14:textId="7AAA7131"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5CC2DD14" w14:textId="6C13D9D9"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3AA83A28" w14:textId="233A3E62"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62CBEDF7" w14:textId="744B9B5A"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447509FA" w14:textId="242254FF"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590C8F37" w14:textId="70A2A4EB"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3" w:type="pct"/>
                <w:shd w:val="clear" w:color="auto" w:fill="FFFFFF" w:themeFill="background2"/>
                <w:vAlign w:val="center"/>
              </w:tcPr>
              <w:p w14:paraId="51DF1130" w14:textId="7EB224F2"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r>
          <w:tr w:rsidR="00EC35E1" w:rsidRPr="00B80369" w14:paraId="6ABB502D"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13003E77" w14:textId="77777777" w:rsidR="00EC35E1" w:rsidRPr="00B80369" w:rsidRDefault="00EC35E1"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A2.1</w:t>
                </w:r>
              </w:p>
            </w:tc>
            <w:tc>
              <w:tcPr>
                <w:tcW w:w="491" w:type="pct"/>
                <w:shd w:val="clear" w:color="auto" w:fill="FFFFFF" w:themeFill="background2"/>
                <w:tcMar>
                  <w:top w:w="60" w:type="dxa"/>
                  <w:left w:w="114" w:type="dxa"/>
                  <w:bottom w:w="60" w:type="dxa"/>
                  <w:right w:w="114" w:type="dxa"/>
                </w:tcMar>
                <w:vAlign w:val="center"/>
              </w:tcPr>
              <w:p w14:paraId="0B692317" w14:textId="28055743"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214</w:t>
                </w:r>
              </w:p>
            </w:tc>
            <w:tc>
              <w:tcPr>
                <w:tcW w:w="417" w:type="pct"/>
                <w:shd w:val="clear" w:color="auto" w:fill="FFFFFF" w:themeFill="background2"/>
                <w:tcMar>
                  <w:top w:w="60" w:type="dxa"/>
                  <w:left w:w="114" w:type="dxa"/>
                  <w:bottom w:w="60" w:type="dxa"/>
                  <w:right w:w="114" w:type="dxa"/>
                </w:tcMar>
                <w:vAlign w:val="center"/>
              </w:tcPr>
              <w:p w14:paraId="5B73E43F" w14:textId="1DCB8358"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08083C40" w14:textId="2E3967C2"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3EFC244A" w14:textId="7B9F73A6"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w:t>
                </w:r>
              </w:p>
            </w:tc>
            <w:tc>
              <w:tcPr>
                <w:tcW w:w="417" w:type="pct"/>
                <w:shd w:val="clear" w:color="auto" w:fill="FFFFFF" w:themeFill="background2"/>
                <w:vAlign w:val="center"/>
              </w:tcPr>
              <w:p w14:paraId="6A08F7D5" w14:textId="38B3CDC0"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w:t>
                </w:r>
              </w:p>
            </w:tc>
            <w:tc>
              <w:tcPr>
                <w:tcW w:w="417" w:type="pct"/>
                <w:shd w:val="clear" w:color="auto" w:fill="FFFFFF" w:themeFill="background2"/>
                <w:vAlign w:val="center"/>
              </w:tcPr>
              <w:p w14:paraId="7518951F" w14:textId="5A928ADC"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w:t>
                </w:r>
              </w:p>
            </w:tc>
            <w:tc>
              <w:tcPr>
                <w:tcW w:w="417" w:type="pct"/>
                <w:shd w:val="clear" w:color="auto" w:fill="FFFFFF" w:themeFill="background2"/>
                <w:vAlign w:val="center"/>
              </w:tcPr>
              <w:p w14:paraId="4B1DB1EF" w14:textId="09DF5BDD"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4D3FF869" w14:textId="50FB4630"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2A29C523" w14:textId="3CD6EC04"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0.47%</w:t>
                </w:r>
              </w:p>
            </w:tc>
            <w:tc>
              <w:tcPr>
                <w:tcW w:w="417" w:type="pct"/>
                <w:shd w:val="clear" w:color="auto" w:fill="FFFFFF" w:themeFill="background2"/>
                <w:vAlign w:val="center"/>
              </w:tcPr>
              <w:p w14:paraId="1F7CA642" w14:textId="74A04F8D"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0.47%</w:t>
                </w:r>
              </w:p>
            </w:tc>
            <w:tc>
              <w:tcPr>
                <w:tcW w:w="413" w:type="pct"/>
                <w:shd w:val="clear" w:color="auto" w:fill="FFFFFF" w:themeFill="background2"/>
                <w:vAlign w:val="center"/>
              </w:tcPr>
              <w:p w14:paraId="0C0303F4" w14:textId="63133CEE"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0.93%</w:t>
                </w:r>
              </w:p>
            </w:tc>
          </w:tr>
          <w:tr w:rsidR="00EC35E1" w:rsidRPr="00B80369" w14:paraId="548D6A12"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2EFFB274" w14:textId="77777777" w:rsidR="00EC35E1" w:rsidRPr="00B80369" w:rsidRDefault="00EC35E1"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A2.2</w:t>
                </w:r>
              </w:p>
            </w:tc>
            <w:tc>
              <w:tcPr>
                <w:tcW w:w="491" w:type="pct"/>
                <w:shd w:val="clear" w:color="auto" w:fill="FFFFFF" w:themeFill="background2"/>
                <w:tcMar>
                  <w:top w:w="60" w:type="dxa"/>
                  <w:left w:w="114" w:type="dxa"/>
                  <w:bottom w:w="60" w:type="dxa"/>
                  <w:right w:w="114" w:type="dxa"/>
                </w:tcMar>
                <w:vAlign w:val="center"/>
              </w:tcPr>
              <w:p w14:paraId="226DD965" w14:textId="7531580A"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732</w:t>
                </w:r>
              </w:p>
            </w:tc>
            <w:tc>
              <w:tcPr>
                <w:tcW w:w="417" w:type="pct"/>
                <w:shd w:val="clear" w:color="auto" w:fill="FFFFFF" w:themeFill="background2"/>
                <w:tcMar>
                  <w:top w:w="60" w:type="dxa"/>
                  <w:left w:w="114" w:type="dxa"/>
                  <w:bottom w:w="60" w:type="dxa"/>
                  <w:right w:w="114" w:type="dxa"/>
                </w:tcMar>
                <w:vAlign w:val="center"/>
              </w:tcPr>
              <w:p w14:paraId="6B39B594" w14:textId="30BED5F4"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1FF7F052" w14:textId="665AE58D"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05CB2F84" w14:textId="2F24AC87"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5EEA977E" w14:textId="42494F3C"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68C2B3FB" w14:textId="4D39515E"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w:t>
                </w:r>
              </w:p>
            </w:tc>
            <w:tc>
              <w:tcPr>
                <w:tcW w:w="417" w:type="pct"/>
                <w:shd w:val="clear" w:color="auto" w:fill="FFFFFF" w:themeFill="background2"/>
                <w:vAlign w:val="center"/>
              </w:tcPr>
              <w:p w14:paraId="107FA404" w14:textId="55D2E11D"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0BC3DC49" w14:textId="73025EAD"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73E6A426" w14:textId="6DE1E89F"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72343884" w14:textId="146F1135"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3" w:type="pct"/>
                <w:shd w:val="clear" w:color="auto" w:fill="FFFFFF" w:themeFill="background2"/>
                <w:vAlign w:val="center"/>
              </w:tcPr>
              <w:p w14:paraId="586923C0" w14:textId="3F56BB5A"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0.14%</w:t>
                </w:r>
              </w:p>
            </w:tc>
          </w:tr>
          <w:tr w:rsidR="00EC35E1" w:rsidRPr="00B80369" w14:paraId="730F3E4F"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502B0EE7" w14:textId="77777777" w:rsidR="00EC35E1" w:rsidRPr="00B80369" w:rsidRDefault="00EC35E1"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A3.1</w:t>
                </w:r>
              </w:p>
            </w:tc>
            <w:tc>
              <w:tcPr>
                <w:tcW w:w="491" w:type="pct"/>
                <w:shd w:val="clear" w:color="auto" w:fill="FFFFFF" w:themeFill="background2"/>
                <w:tcMar>
                  <w:top w:w="60" w:type="dxa"/>
                  <w:left w:w="114" w:type="dxa"/>
                  <w:bottom w:w="60" w:type="dxa"/>
                  <w:right w:w="114" w:type="dxa"/>
                </w:tcMar>
                <w:vAlign w:val="center"/>
              </w:tcPr>
              <w:p w14:paraId="1EE79002" w14:textId="23035CF0"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2,301</w:t>
                </w:r>
              </w:p>
            </w:tc>
            <w:tc>
              <w:tcPr>
                <w:tcW w:w="417" w:type="pct"/>
                <w:shd w:val="clear" w:color="auto" w:fill="FFFFFF" w:themeFill="background2"/>
                <w:tcMar>
                  <w:top w:w="60" w:type="dxa"/>
                  <w:left w:w="114" w:type="dxa"/>
                  <w:bottom w:w="60" w:type="dxa"/>
                  <w:right w:w="114" w:type="dxa"/>
                </w:tcMar>
                <w:vAlign w:val="center"/>
              </w:tcPr>
              <w:p w14:paraId="348C5945" w14:textId="53A4B226"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w:t>
                </w:r>
              </w:p>
            </w:tc>
            <w:tc>
              <w:tcPr>
                <w:tcW w:w="417" w:type="pct"/>
                <w:shd w:val="clear" w:color="auto" w:fill="FFFFFF" w:themeFill="background2"/>
                <w:vAlign w:val="center"/>
              </w:tcPr>
              <w:p w14:paraId="07497CEB" w14:textId="46FDE16B"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w:t>
                </w:r>
              </w:p>
            </w:tc>
            <w:tc>
              <w:tcPr>
                <w:tcW w:w="417" w:type="pct"/>
                <w:shd w:val="clear" w:color="auto" w:fill="FFFFFF" w:themeFill="background2"/>
                <w:vAlign w:val="center"/>
              </w:tcPr>
              <w:p w14:paraId="2949F679" w14:textId="2CFB8F63"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13</w:t>
                </w:r>
              </w:p>
            </w:tc>
            <w:tc>
              <w:tcPr>
                <w:tcW w:w="417" w:type="pct"/>
                <w:shd w:val="clear" w:color="auto" w:fill="FFFFFF" w:themeFill="background2"/>
                <w:vAlign w:val="center"/>
              </w:tcPr>
              <w:p w14:paraId="15815527" w14:textId="465B1582"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17</w:t>
                </w:r>
              </w:p>
            </w:tc>
            <w:tc>
              <w:tcPr>
                <w:tcW w:w="417" w:type="pct"/>
                <w:shd w:val="clear" w:color="auto" w:fill="FFFFFF" w:themeFill="background2"/>
                <w:vAlign w:val="center"/>
              </w:tcPr>
              <w:p w14:paraId="1DAC80CD" w14:textId="6C451B41"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23</w:t>
                </w:r>
              </w:p>
            </w:tc>
            <w:tc>
              <w:tcPr>
                <w:tcW w:w="417" w:type="pct"/>
                <w:shd w:val="clear" w:color="auto" w:fill="FFFFFF" w:themeFill="background2"/>
                <w:vAlign w:val="center"/>
              </w:tcPr>
              <w:p w14:paraId="7DD604D2" w14:textId="7E35451A"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0.04%</w:t>
                </w:r>
              </w:p>
            </w:tc>
            <w:tc>
              <w:tcPr>
                <w:tcW w:w="417" w:type="pct"/>
                <w:shd w:val="clear" w:color="auto" w:fill="FFFFFF" w:themeFill="background2"/>
                <w:vAlign w:val="center"/>
              </w:tcPr>
              <w:p w14:paraId="1683F004" w14:textId="5736850E"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0.22%</w:t>
                </w:r>
              </w:p>
            </w:tc>
            <w:tc>
              <w:tcPr>
                <w:tcW w:w="417" w:type="pct"/>
                <w:shd w:val="clear" w:color="auto" w:fill="FFFFFF" w:themeFill="background2"/>
                <w:vAlign w:val="center"/>
              </w:tcPr>
              <w:p w14:paraId="5E9B8984" w14:textId="1F66ABCB"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0.56%</w:t>
                </w:r>
              </w:p>
            </w:tc>
            <w:tc>
              <w:tcPr>
                <w:tcW w:w="417" w:type="pct"/>
                <w:shd w:val="clear" w:color="auto" w:fill="FFFFFF" w:themeFill="background2"/>
                <w:vAlign w:val="center"/>
              </w:tcPr>
              <w:p w14:paraId="0FF77269" w14:textId="6CA19AEF"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0.74%</w:t>
                </w:r>
              </w:p>
            </w:tc>
            <w:tc>
              <w:tcPr>
                <w:tcW w:w="413" w:type="pct"/>
                <w:shd w:val="clear" w:color="auto" w:fill="FFFFFF" w:themeFill="background2"/>
                <w:vAlign w:val="center"/>
              </w:tcPr>
              <w:p w14:paraId="22ECD760" w14:textId="35EE88B5"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1.00%</w:t>
                </w:r>
              </w:p>
            </w:tc>
          </w:tr>
          <w:tr w:rsidR="00EC35E1" w:rsidRPr="00B80369" w14:paraId="7466CF8F"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2AD664FF" w14:textId="77777777" w:rsidR="00EC35E1" w:rsidRPr="00B80369" w:rsidRDefault="00EC35E1"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B1.1</w:t>
                </w:r>
              </w:p>
            </w:tc>
            <w:tc>
              <w:tcPr>
                <w:tcW w:w="491" w:type="pct"/>
                <w:shd w:val="clear" w:color="auto" w:fill="FFFFFF" w:themeFill="background2"/>
                <w:tcMar>
                  <w:top w:w="60" w:type="dxa"/>
                  <w:left w:w="114" w:type="dxa"/>
                  <w:bottom w:w="60" w:type="dxa"/>
                  <w:right w:w="114" w:type="dxa"/>
                </w:tcMar>
                <w:vAlign w:val="center"/>
              </w:tcPr>
              <w:p w14:paraId="7DED4DB2" w14:textId="524CF605"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3,861</w:t>
                </w:r>
              </w:p>
            </w:tc>
            <w:tc>
              <w:tcPr>
                <w:tcW w:w="417" w:type="pct"/>
                <w:shd w:val="clear" w:color="auto" w:fill="FFFFFF" w:themeFill="background2"/>
                <w:tcMar>
                  <w:top w:w="60" w:type="dxa"/>
                  <w:left w:w="114" w:type="dxa"/>
                  <w:bottom w:w="60" w:type="dxa"/>
                  <w:right w:w="114" w:type="dxa"/>
                </w:tcMar>
                <w:vAlign w:val="center"/>
              </w:tcPr>
              <w:p w14:paraId="13CA954F" w14:textId="6E64935D"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11</w:t>
                </w:r>
              </w:p>
            </w:tc>
            <w:tc>
              <w:tcPr>
                <w:tcW w:w="417" w:type="pct"/>
                <w:shd w:val="clear" w:color="auto" w:fill="FFFFFF" w:themeFill="background2"/>
                <w:vAlign w:val="center"/>
              </w:tcPr>
              <w:p w14:paraId="5DCEC40D" w14:textId="0C618BC4"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28</w:t>
                </w:r>
              </w:p>
            </w:tc>
            <w:tc>
              <w:tcPr>
                <w:tcW w:w="417" w:type="pct"/>
                <w:shd w:val="clear" w:color="auto" w:fill="FFFFFF" w:themeFill="background2"/>
                <w:vAlign w:val="center"/>
              </w:tcPr>
              <w:p w14:paraId="60440415" w14:textId="49B8825C"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50</w:t>
                </w:r>
              </w:p>
            </w:tc>
            <w:tc>
              <w:tcPr>
                <w:tcW w:w="417" w:type="pct"/>
                <w:shd w:val="clear" w:color="auto" w:fill="FFFFFF" w:themeFill="background2"/>
                <w:vAlign w:val="center"/>
              </w:tcPr>
              <w:p w14:paraId="2C5D7FE8" w14:textId="657689B1"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71</w:t>
                </w:r>
              </w:p>
            </w:tc>
            <w:tc>
              <w:tcPr>
                <w:tcW w:w="417" w:type="pct"/>
                <w:shd w:val="clear" w:color="auto" w:fill="FFFFFF" w:themeFill="background2"/>
                <w:vAlign w:val="center"/>
              </w:tcPr>
              <w:p w14:paraId="1A00BECD" w14:textId="397F9215"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88</w:t>
                </w:r>
              </w:p>
            </w:tc>
            <w:tc>
              <w:tcPr>
                <w:tcW w:w="417" w:type="pct"/>
                <w:shd w:val="clear" w:color="auto" w:fill="FFFFFF" w:themeFill="background2"/>
                <w:vAlign w:val="center"/>
              </w:tcPr>
              <w:p w14:paraId="29A477F2" w14:textId="0E551974"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0.28%</w:t>
                </w:r>
              </w:p>
            </w:tc>
            <w:tc>
              <w:tcPr>
                <w:tcW w:w="417" w:type="pct"/>
                <w:shd w:val="clear" w:color="auto" w:fill="FFFFFF" w:themeFill="background2"/>
                <w:vAlign w:val="center"/>
              </w:tcPr>
              <w:p w14:paraId="259A3E9B" w14:textId="2A8F1D61"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0.73%</w:t>
                </w:r>
              </w:p>
            </w:tc>
            <w:tc>
              <w:tcPr>
                <w:tcW w:w="417" w:type="pct"/>
                <w:shd w:val="clear" w:color="auto" w:fill="FFFFFF" w:themeFill="background2"/>
                <w:vAlign w:val="center"/>
              </w:tcPr>
              <w:p w14:paraId="296082EC" w14:textId="36B5B864"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1.30%</w:t>
                </w:r>
              </w:p>
            </w:tc>
            <w:tc>
              <w:tcPr>
                <w:tcW w:w="417" w:type="pct"/>
                <w:shd w:val="clear" w:color="auto" w:fill="FFFFFF" w:themeFill="background2"/>
                <w:vAlign w:val="center"/>
              </w:tcPr>
              <w:p w14:paraId="768B5D91" w14:textId="7BF233DC"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1.84%</w:t>
                </w:r>
              </w:p>
            </w:tc>
            <w:tc>
              <w:tcPr>
                <w:tcW w:w="413" w:type="pct"/>
                <w:shd w:val="clear" w:color="auto" w:fill="FFFFFF" w:themeFill="background2"/>
                <w:vAlign w:val="center"/>
              </w:tcPr>
              <w:p w14:paraId="5B91689A" w14:textId="78636307"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2.28%</w:t>
                </w:r>
              </w:p>
            </w:tc>
          </w:tr>
          <w:tr w:rsidR="00EC35E1" w:rsidRPr="00B80369" w14:paraId="4698A2E1"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27358535" w14:textId="77777777" w:rsidR="00EC35E1" w:rsidRPr="00B80369" w:rsidRDefault="00EC35E1"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B1.2</w:t>
                </w:r>
              </w:p>
            </w:tc>
            <w:tc>
              <w:tcPr>
                <w:tcW w:w="491" w:type="pct"/>
                <w:shd w:val="clear" w:color="auto" w:fill="FFFFFF" w:themeFill="background2"/>
                <w:tcMar>
                  <w:top w:w="60" w:type="dxa"/>
                  <w:left w:w="114" w:type="dxa"/>
                  <w:bottom w:w="60" w:type="dxa"/>
                  <w:right w:w="114" w:type="dxa"/>
                </w:tcMar>
                <w:vAlign w:val="center"/>
              </w:tcPr>
              <w:p w14:paraId="4B43F73A" w14:textId="47EF2AED"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5,513</w:t>
                </w:r>
              </w:p>
            </w:tc>
            <w:tc>
              <w:tcPr>
                <w:tcW w:w="417" w:type="pct"/>
                <w:shd w:val="clear" w:color="auto" w:fill="FFFFFF" w:themeFill="background2"/>
                <w:tcMar>
                  <w:top w:w="60" w:type="dxa"/>
                  <w:left w:w="114" w:type="dxa"/>
                  <w:bottom w:w="60" w:type="dxa"/>
                  <w:right w:w="114" w:type="dxa"/>
                </w:tcMar>
                <w:vAlign w:val="center"/>
              </w:tcPr>
              <w:p w14:paraId="09705606" w14:textId="0A18C5DC"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16</w:t>
                </w:r>
              </w:p>
            </w:tc>
            <w:tc>
              <w:tcPr>
                <w:tcW w:w="417" w:type="pct"/>
                <w:shd w:val="clear" w:color="auto" w:fill="FFFFFF" w:themeFill="background2"/>
                <w:vAlign w:val="center"/>
              </w:tcPr>
              <w:p w14:paraId="35A0D183" w14:textId="718EE287"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54</w:t>
                </w:r>
              </w:p>
            </w:tc>
            <w:tc>
              <w:tcPr>
                <w:tcW w:w="417" w:type="pct"/>
                <w:shd w:val="clear" w:color="auto" w:fill="FFFFFF" w:themeFill="background2"/>
                <w:vAlign w:val="center"/>
              </w:tcPr>
              <w:p w14:paraId="7592644E" w14:textId="466DE281"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96</w:t>
                </w:r>
              </w:p>
            </w:tc>
            <w:tc>
              <w:tcPr>
                <w:tcW w:w="417" w:type="pct"/>
                <w:shd w:val="clear" w:color="auto" w:fill="FFFFFF" w:themeFill="background2"/>
                <w:vAlign w:val="center"/>
              </w:tcPr>
              <w:p w14:paraId="0C1EFCC0" w14:textId="0F0250A5"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132</w:t>
                </w:r>
              </w:p>
            </w:tc>
            <w:tc>
              <w:tcPr>
                <w:tcW w:w="417" w:type="pct"/>
                <w:shd w:val="clear" w:color="auto" w:fill="FFFFFF" w:themeFill="background2"/>
                <w:vAlign w:val="center"/>
              </w:tcPr>
              <w:p w14:paraId="1BD30155" w14:textId="373C7B95"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161</w:t>
                </w:r>
              </w:p>
            </w:tc>
            <w:tc>
              <w:tcPr>
                <w:tcW w:w="417" w:type="pct"/>
                <w:shd w:val="clear" w:color="auto" w:fill="FFFFFF" w:themeFill="background2"/>
                <w:vAlign w:val="center"/>
              </w:tcPr>
              <w:p w14:paraId="08E6DA79" w14:textId="78C51557"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0.29%</w:t>
                </w:r>
              </w:p>
            </w:tc>
            <w:tc>
              <w:tcPr>
                <w:tcW w:w="417" w:type="pct"/>
                <w:shd w:val="clear" w:color="auto" w:fill="FFFFFF" w:themeFill="background2"/>
                <w:vAlign w:val="center"/>
              </w:tcPr>
              <w:p w14:paraId="1B57F71A" w14:textId="50BF6727"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0.98%</w:t>
                </w:r>
              </w:p>
            </w:tc>
            <w:tc>
              <w:tcPr>
                <w:tcW w:w="417" w:type="pct"/>
                <w:shd w:val="clear" w:color="auto" w:fill="FFFFFF" w:themeFill="background2"/>
                <w:vAlign w:val="center"/>
              </w:tcPr>
              <w:p w14:paraId="18AF5B31" w14:textId="4726356C"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1.74%</w:t>
                </w:r>
              </w:p>
            </w:tc>
            <w:tc>
              <w:tcPr>
                <w:tcW w:w="417" w:type="pct"/>
                <w:shd w:val="clear" w:color="auto" w:fill="FFFFFF" w:themeFill="background2"/>
                <w:vAlign w:val="center"/>
              </w:tcPr>
              <w:p w14:paraId="1A4A29DD" w14:textId="6165E8D2"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2.39%</w:t>
                </w:r>
              </w:p>
            </w:tc>
            <w:tc>
              <w:tcPr>
                <w:tcW w:w="413" w:type="pct"/>
                <w:shd w:val="clear" w:color="auto" w:fill="FFFFFF" w:themeFill="background2"/>
                <w:vAlign w:val="center"/>
              </w:tcPr>
              <w:p w14:paraId="2A34CC91" w14:textId="60A79BDA"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2.92%</w:t>
                </w:r>
              </w:p>
            </w:tc>
          </w:tr>
          <w:tr w:rsidR="00EC35E1" w:rsidRPr="00B80369" w14:paraId="15B85517"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68AD6129" w14:textId="77777777" w:rsidR="00EC35E1" w:rsidRPr="00B80369" w:rsidRDefault="00EC35E1"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B2.1</w:t>
                </w:r>
              </w:p>
            </w:tc>
            <w:tc>
              <w:tcPr>
                <w:tcW w:w="491" w:type="pct"/>
                <w:shd w:val="clear" w:color="auto" w:fill="FFFFFF" w:themeFill="background2"/>
                <w:tcMar>
                  <w:top w:w="60" w:type="dxa"/>
                  <w:left w:w="114" w:type="dxa"/>
                  <w:bottom w:w="60" w:type="dxa"/>
                  <w:right w:w="114" w:type="dxa"/>
                </w:tcMar>
                <w:vAlign w:val="center"/>
              </w:tcPr>
              <w:p w14:paraId="5E75506A" w14:textId="023210E3"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6,433</w:t>
                </w:r>
              </w:p>
            </w:tc>
            <w:tc>
              <w:tcPr>
                <w:tcW w:w="417" w:type="pct"/>
                <w:shd w:val="clear" w:color="auto" w:fill="FFFFFF" w:themeFill="background2"/>
                <w:tcMar>
                  <w:top w:w="60" w:type="dxa"/>
                  <w:left w:w="114" w:type="dxa"/>
                  <w:bottom w:w="60" w:type="dxa"/>
                  <w:right w:w="114" w:type="dxa"/>
                </w:tcMar>
                <w:vAlign w:val="center"/>
              </w:tcPr>
              <w:p w14:paraId="559AC946" w14:textId="0724B4BE"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54</w:t>
                </w:r>
              </w:p>
            </w:tc>
            <w:tc>
              <w:tcPr>
                <w:tcW w:w="417" w:type="pct"/>
                <w:shd w:val="clear" w:color="auto" w:fill="FFFFFF" w:themeFill="background2"/>
                <w:vAlign w:val="center"/>
              </w:tcPr>
              <w:p w14:paraId="2E28694F" w14:textId="14136A0A"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124</w:t>
                </w:r>
              </w:p>
            </w:tc>
            <w:tc>
              <w:tcPr>
                <w:tcW w:w="417" w:type="pct"/>
                <w:shd w:val="clear" w:color="auto" w:fill="FFFFFF" w:themeFill="background2"/>
                <w:vAlign w:val="center"/>
              </w:tcPr>
              <w:p w14:paraId="5F5CBE3C" w14:textId="00975BF7"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211</w:t>
                </w:r>
              </w:p>
            </w:tc>
            <w:tc>
              <w:tcPr>
                <w:tcW w:w="417" w:type="pct"/>
                <w:shd w:val="clear" w:color="auto" w:fill="FFFFFF" w:themeFill="background2"/>
                <w:vAlign w:val="center"/>
              </w:tcPr>
              <w:p w14:paraId="03FAE907" w14:textId="77197637"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286</w:t>
                </w:r>
              </w:p>
            </w:tc>
            <w:tc>
              <w:tcPr>
                <w:tcW w:w="417" w:type="pct"/>
                <w:shd w:val="clear" w:color="auto" w:fill="FFFFFF" w:themeFill="background2"/>
                <w:vAlign w:val="center"/>
              </w:tcPr>
              <w:p w14:paraId="4BCA743B" w14:textId="6EC26F5C"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345</w:t>
                </w:r>
              </w:p>
            </w:tc>
            <w:tc>
              <w:tcPr>
                <w:tcW w:w="417" w:type="pct"/>
                <w:shd w:val="clear" w:color="auto" w:fill="FFFFFF" w:themeFill="background2"/>
                <w:vAlign w:val="center"/>
              </w:tcPr>
              <w:p w14:paraId="30D9C83D" w14:textId="3C9D8DFC"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0.84%</w:t>
                </w:r>
              </w:p>
            </w:tc>
            <w:tc>
              <w:tcPr>
                <w:tcW w:w="417" w:type="pct"/>
                <w:shd w:val="clear" w:color="auto" w:fill="FFFFFF" w:themeFill="background2"/>
                <w:vAlign w:val="center"/>
              </w:tcPr>
              <w:p w14:paraId="2DE3869B" w14:textId="1B9685C5" w:rsidR="00EC35E1" w:rsidRPr="00B80369" w:rsidRDefault="00EC35E1"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1.93%</w:t>
                </w:r>
              </w:p>
            </w:tc>
            <w:tc>
              <w:tcPr>
                <w:tcW w:w="417" w:type="pct"/>
                <w:shd w:val="clear" w:color="auto" w:fill="FFFFFF" w:themeFill="background2"/>
                <w:vAlign w:val="center"/>
              </w:tcPr>
              <w:p w14:paraId="0CAFB5DD" w14:textId="42C77355" w:rsidR="00EC35E1" w:rsidRPr="00B80369" w:rsidRDefault="00EC35E1"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3.28%</w:t>
                </w:r>
              </w:p>
            </w:tc>
            <w:tc>
              <w:tcPr>
                <w:tcW w:w="417" w:type="pct"/>
                <w:shd w:val="clear" w:color="auto" w:fill="FFFFFF" w:themeFill="background2"/>
                <w:vAlign w:val="center"/>
              </w:tcPr>
              <w:p w14:paraId="4BE092B0" w14:textId="39A5BF9F" w:rsidR="00EC35E1" w:rsidRPr="00B80369" w:rsidRDefault="00EC35E1"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4.45%</w:t>
                </w:r>
              </w:p>
            </w:tc>
            <w:tc>
              <w:tcPr>
                <w:tcW w:w="413" w:type="pct"/>
                <w:shd w:val="clear" w:color="auto" w:fill="FFFFFF" w:themeFill="background2"/>
                <w:vAlign w:val="center"/>
              </w:tcPr>
              <w:p w14:paraId="016834A5" w14:textId="0B78B38D" w:rsidR="00EC35E1" w:rsidRPr="00B80369" w:rsidRDefault="00EC35E1"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5.36%</w:t>
                </w:r>
              </w:p>
            </w:tc>
          </w:tr>
          <w:tr w:rsidR="00EC35E1" w:rsidRPr="00B80369" w14:paraId="66D15CAC"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5BA52135" w14:textId="77777777" w:rsidR="00EC35E1" w:rsidRPr="00B80369" w:rsidRDefault="00EC35E1"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B2.2</w:t>
                </w:r>
              </w:p>
            </w:tc>
            <w:tc>
              <w:tcPr>
                <w:tcW w:w="491" w:type="pct"/>
                <w:shd w:val="clear" w:color="auto" w:fill="FFFFFF" w:themeFill="background2"/>
                <w:tcMar>
                  <w:top w:w="60" w:type="dxa"/>
                  <w:left w:w="114" w:type="dxa"/>
                  <w:bottom w:w="60" w:type="dxa"/>
                  <w:right w:w="114" w:type="dxa"/>
                </w:tcMar>
                <w:vAlign w:val="center"/>
              </w:tcPr>
              <w:p w14:paraId="68F7C907" w14:textId="2861E1DB"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3,308</w:t>
                </w:r>
              </w:p>
            </w:tc>
            <w:tc>
              <w:tcPr>
                <w:tcW w:w="417" w:type="pct"/>
                <w:shd w:val="clear" w:color="auto" w:fill="FFFFFF" w:themeFill="background2"/>
                <w:tcMar>
                  <w:top w:w="60" w:type="dxa"/>
                  <w:left w:w="114" w:type="dxa"/>
                  <w:bottom w:w="60" w:type="dxa"/>
                  <w:right w:w="114" w:type="dxa"/>
                </w:tcMar>
                <w:vAlign w:val="center"/>
              </w:tcPr>
              <w:p w14:paraId="04E800BE" w14:textId="143D9A15"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62</w:t>
                </w:r>
              </w:p>
            </w:tc>
            <w:tc>
              <w:tcPr>
                <w:tcW w:w="417" w:type="pct"/>
                <w:shd w:val="clear" w:color="auto" w:fill="FFFFFF" w:themeFill="background2"/>
                <w:vAlign w:val="center"/>
              </w:tcPr>
              <w:p w14:paraId="53711B6A" w14:textId="0EE4DED0"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133</w:t>
                </w:r>
              </w:p>
            </w:tc>
            <w:tc>
              <w:tcPr>
                <w:tcW w:w="417" w:type="pct"/>
                <w:shd w:val="clear" w:color="auto" w:fill="FFFFFF" w:themeFill="background2"/>
                <w:vAlign w:val="center"/>
              </w:tcPr>
              <w:p w14:paraId="353599A9" w14:textId="49AFB1D3"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198</w:t>
                </w:r>
              </w:p>
            </w:tc>
            <w:tc>
              <w:tcPr>
                <w:tcW w:w="417" w:type="pct"/>
                <w:shd w:val="clear" w:color="auto" w:fill="FFFFFF" w:themeFill="background2"/>
                <w:vAlign w:val="center"/>
              </w:tcPr>
              <w:p w14:paraId="6454AE4D" w14:textId="6BCADC6C"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246</w:t>
                </w:r>
              </w:p>
            </w:tc>
            <w:tc>
              <w:tcPr>
                <w:tcW w:w="417" w:type="pct"/>
                <w:shd w:val="clear" w:color="auto" w:fill="FFFFFF" w:themeFill="background2"/>
                <w:vAlign w:val="center"/>
              </w:tcPr>
              <w:p w14:paraId="1FAFABDF" w14:textId="54E8B1DF"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286</w:t>
                </w:r>
              </w:p>
            </w:tc>
            <w:tc>
              <w:tcPr>
                <w:tcW w:w="417" w:type="pct"/>
                <w:shd w:val="clear" w:color="auto" w:fill="FFFFFF" w:themeFill="background2"/>
                <w:vAlign w:val="center"/>
              </w:tcPr>
              <w:p w14:paraId="31615311" w14:textId="5E0C8303"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1.87%</w:t>
                </w:r>
              </w:p>
            </w:tc>
            <w:tc>
              <w:tcPr>
                <w:tcW w:w="417" w:type="pct"/>
                <w:shd w:val="clear" w:color="auto" w:fill="FFFFFF" w:themeFill="background2"/>
                <w:vAlign w:val="center"/>
              </w:tcPr>
              <w:p w14:paraId="7DBC90D5" w14:textId="3B8BDF7A"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4.02%</w:t>
                </w:r>
              </w:p>
            </w:tc>
            <w:tc>
              <w:tcPr>
                <w:tcW w:w="417" w:type="pct"/>
                <w:shd w:val="clear" w:color="auto" w:fill="FFFFFF" w:themeFill="background2"/>
                <w:vAlign w:val="center"/>
              </w:tcPr>
              <w:p w14:paraId="460D3D88" w14:textId="77EF3E11"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5.99%</w:t>
                </w:r>
              </w:p>
            </w:tc>
            <w:tc>
              <w:tcPr>
                <w:tcW w:w="417" w:type="pct"/>
                <w:shd w:val="clear" w:color="auto" w:fill="FFFFFF" w:themeFill="background2"/>
                <w:vAlign w:val="center"/>
              </w:tcPr>
              <w:p w14:paraId="04FE5184" w14:textId="4A4F87D5"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7.44%</w:t>
                </w:r>
              </w:p>
            </w:tc>
            <w:tc>
              <w:tcPr>
                <w:tcW w:w="413" w:type="pct"/>
                <w:shd w:val="clear" w:color="auto" w:fill="FFFFFF" w:themeFill="background2"/>
                <w:vAlign w:val="center"/>
              </w:tcPr>
              <w:p w14:paraId="2B89F6E4" w14:textId="66CFB03B"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8.65%</w:t>
                </w:r>
              </w:p>
            </w:tc>
          </w:tr>
          <w:tr w:rsidR="00EC35E1" w:rsidRPr="00B80369" w14:paraId="33AB4244"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08DD1625" w14:textId="77777777" w:rsidR="00EC35E1" w:rsidRPr="00B80369" w:rsidRDefault="00EC35E1"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C1.1</w:t>
                </w:r>
              </w:p>
            </w:tc>
            <w:tc>
              <w:tcPr>
                <w:tcW w:w="491" w:type="pct"/>
                <w:shd w:val="clear" w:color="auto" w:fill="FFFFFF" w:themeFill="background2"/>
                <w:tcMar>
                  <w:top w:w="60" w:type="dxa"/>
                  <w:left w:w="114" w:type="dxa"/>
                  <w:bottom w:w="60" w:type="dxa"/>
                  <w:right w:w="114" w:type="dxa"/>
                </w:tcMar>
                <w:vAlign w:val="center"/>
              </w:tcPr>
              <w:p w14:paraId="24A72CE2" w14:textId="0AFA4CAE"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1,561</w:t>
                </w:r>
              </w:p>
            </w:tc>
            <w:tc>
              <w:tcPr>
                <w:tcW w:w="417" w:type="pct"/>
                <w:shd w:val="clear" w:color="auto" w:fill="FFFFFF" w:themeFill="background2"/>
                <w:tcMar>
                  <w:top w:w="60" w:type="dxa"/>
                  <w:left w:w="114" w:type="dxa"/>
                  <w:bottom w:w="60" w:type="dxa"/>
                  <w:right w:w="114" w:type="dxa"/>
                </w:tcMar>
                <w:vAlign w:val="center"/>
              </w:tcPr>
              <w:p w14:paraId="3C71B0B8" w14:textId="5599333D"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52</w:t>
                </w:r>
              </w:p>
            </w:tc>
            <w:tc>
              <w:tcPr>
                <w:tcW w:w="417" w:type="pct"/>
                <w:shd w:val="clear" w:color="auto" w:fill="FFFFFF" w:themeFill="background2"/>
                <w:vAlign w:val="center"/>
              </w:tcPr>
              <w:p w14:paraId="70955BC8" w14:textId="148E2D14"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107</w:t>
                </w:r>
              </w:p>
            </w:tc>
            <w:tc>
              <w:tcPr>
                <w:tcW w:w="417" w:type="pct"/>
                <w:shd w:val="clear" w:color="auto" w:fill="FFFFFF" w:themeFill="background2"/>
                <w:vAlign w:val="center"/>
              </w:tcPr>
              <w:p w14:paraId="2CEEF8CD" w14:textId="7445D41A"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150</w:t>
                </w:r>
              </w:p>
            </w:tc>
            <w:tc>
              <w:tcPr>
                <w:tcW w:w="417" w:type="pct"/>
                <w:shd w:val="clear" w:color="auto" w:fill="FFFFFF" w:themeFill="background2"/>
                <w:vAlign w:val="center"/>
              </w:tcPr>
              <w:p w14:paraId="66CB8EBC" w14:textId="4DA80BA8"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184</w:t>
                </w:r>
              </w:p>
            </w:tc>
            <w:tc>
              <w:tcPr>
                <w:tcW w:w="417" w:type="pct"/>
                <w:shd w:val="clear" w:color="auto" w:fill="FFFFFF" w:themeFill="background2"/>
                <w:vAlign w:val="center"/>
              </w:tcPr>
              <w:p w14:paraId="2A2FC054" w14:textId="5D67A85D"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210</w:t>
                </w:r>
              </w:p>
            </w:tc>
            <w:tc>
              <w:tcPr>
                <w:tcW w:w="417" w:type="pct"/>
                <w:shd w:val="clear" w:color="auto" w:fill="FFFFFF" w:themeFill="background2"/>
                <w:vAlign w:val="center"/>
              </w:tcPr>
              <w:p w14:paraId="04F21DED" w14:textId="246E29CC"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3.33%</w:t>
                </w:r>
              </w:p>
            </w:tc>
            <w:tc>
              <w:tcPr>
                <w:tcW w:w="417" w:type="pct"/>
                <w:shd w:val="clear" w:color="auto" w:fill="FFFFFF" w:themeFill="background2"/>
                <w:vAlign w:val="center"/>
              </w:tcPr>
              <w:p w14:paraId="5772C48B" w14:textId="6EEA6AFC"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6.85%</w:t>
                </w:r>
              </w:p>
            </w:tc>
            <w:tc>
              <w:tcPr>
                <w:tcW w:w="417" w:type="pct"/>
                <w:shd w:val="clear" w:color="auto" w:fill="FFFFFF" w:themeFill="background2"/>
                <w:vAlign w:val="center"/>
              </w:tcPr>
              <w:p w14:paraId="68EAF238" w14:textId="408877C2"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9.61%</w:t>
                </w:r>
              </w:p>
            </w:tc>
            <w:tc>
              <w:tcPr>
                <w:tcW w:w="417" w:type="pct"/>
                <w:shd w:val="clear" w:color="auto" w:fill="FFFFFF" w:themeFill="background2"/>
                <w:vAlign w:val="center"/>
              </w:tcPr>
              <w:p w14:paraId="185B3380" w14:textId="65790A50"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11.79%</w:t>
                </w:r>
              </w:p>
            </w:tc>
            <w:tc>
              <w:tcPr>
                <w:tcW w:w="413" w:type="pct"/>
                <w:shd w:val="clear" w:color="auto" w:fill="FFFFFF" w:themeFill="background2"/>
                <w:vAlign w:val="center"/>
              </w:tcPr>
              <w:p w14:paraId="7DD37137" w14:textId="241E882A"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13.45%</w:t>
                </w:r>
              </w:p>
            </w:tc>
          </w:tr>
          <w:tr w:rsidR="00EC35E1" w:rsidRPr="00B80369" w14:paraId="609BCAF4"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4C1A0B23" w14:textId="77777777" w:rsidR="00EC35E1" w:rsidRPr="00B80369" w:rsidRDefault="00EC35E1"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C1.2</w:t>
                </w:r>
              </w:p>
            </w:tc>
            <w:tc>
              <w:tcPr>
                <w:tcW w:w="491" w:type="pct"/>
                <w:shd w:val="clear" w:color="auto" w:fill="FFFFFF" w:themeFill="background2"/>
                <w:tcMar>
                  <w:top w:w="60" w:type="dxa"/>
                  <w:left w:w="114" w:type="dxa"/>
                  <w:bottom w:w="60" w:type="dxa"/>
                  <w:right w:w="114" w:type="dxa"/>
                </w:tcMar>
                <w:vAlign w:val="center"/>
              </w:tcPr>
              <w:p w14:paraId="1E2A0ECA" w14:textId="263D1142"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820</w:t>
                </w:r>
              </w:p>
            </w:tc>
            <w:tc>
              <w:tcPr>
                <w:tcW w:w="417" w:type="pct"/>
                <w:shd w:val="clear" w:color="auto" w:fill="FFFFFF" w:themeFill="background2"/>
                <w:tcMar>
                  <w:top w:w="60" w:type="dxa"/>
                  <w:left w:w="114" w:type="dxa"/>
                  <w:bottom w:w="60" w:type="dxa"/>
                  <w:right w:w="114" w:type="dxa"/>
                </w:tcMar>
                <w:vAlign w:val="center"/>
              </w:tcPr>
              <w:p w14:paraId="4E862363" w14:textId="187E5955"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58</w:t>
                </w:r>
              </w:p>
            </w:tc>
            <w:tc>
              <w:tcPr>
                <w:tcW w:w="417" w:type="pct"/>
                <w:shd w:val="clear" w:color="auto" w:fill="FFFFFF" w:themeFill="background2"/>
                <w:vAlign w:val="center"/>
              </w:tcPr>
              <w:p w14:paraId="0B087C29" w14:textId="23A1C894"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83</w:t>
                </w:r>
              </w:p>
            </w:tc>
            <w:tc>
              <w:tcPr>
                <w:tcW w:w="417" w:type="pct"/>
                <w:shd w:val="clear" w:color="auto" w:fill="FFFFFF" w:themeFill="background2"/>
                <w:vAlign w:val="center"/>
              </w:tcPr>
              <w:p w14:paraId="5F8FF9A6" w14:textId="35E6D6B1"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118</w:t>
                </w:r>
              </w:p>
            </w:tc>
            <w:tc>
              <w:tcPr>
                <w:tcW w:w="417" w:type="pct"/>
                <w:shd w:val="clear" w:color="auto" w:fill="FFFFFF" w:themeFill="background2"/>
                <w:vAlign w:val="center"/>
              </w:tcPr>
              <w:p w14:paraId="31693D75" w14:textId="2C22BE50"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136</w:t>
                </w:r>
              </w:p>
            </w:tc>
            <w:tc>
              <w:tcPr>
                <w:tcW w:w="417" w:type="pct"/>
                <w:shd w:val="clear" w:color="auto" w:fill="FFFFFF" w:themeFill="background2"/>
                <w:vAlign w:val="center"/>
              </w:tcPr>
              <w:p w14:paraId="2D67776A" w14:textId="2D679690"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150</w:t>
                </w:r>
              </w:p>
            </w:tc>
            <w:tc>
              <w:tcPr>
                <w:tcW w:w="417" w:type="pct"/>
                <w:shd w:val="clear" w:color="auto" w:fill="FFFFFF" w:themeFill="background2"/>
                <w:vAlign w:val="center"/>
              </w:tcPr>
              <w:p w14:paraId="755CE30A" w14:textId="1CD327A7"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7.07%</w:t>
                </w:r>
              </w:p>
            </w:tc>
            <w:tc>
              <w:tcPr>
                <w:tcW w:w="417" w:type="pct"/>
                <w:shd w:val="clear" w:color="auto" w:fill="FFFFFF" w:themeFill="background2"/>
                <w:vAlign w:val="center"/>
              </w:tcPr>
              <w:p w14:paraId="077EE60E" w14:textId="32CBED86"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10.12%</w:t>
                </w:r>
              </w:p>
            </w:tc>
            <w:tc>
              <w:tcPr>
                <w:tcW w:w="417" w:type="pct"/>
                <w:shd w:val="clear" w:color="auto" w:fill="FFFFFF" w:themeFill="background2"/>
                <w:vAlign w:val="center"/>
              </w:tcPr>
              <w:p w14:paraId="2A4C5E76" w14:textId="1C0E502A"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14.39%</w:t>
                </w:r>
              </w:p>
            </w:tc>
            <w:tc>
              <w:tcPr>
                <w:tcW w:w="417" w:type="pct"/>
                <w:shd w:val="clear" w:color="auto" w:fill="FFFFFF" w:themeFill="background2"/>
                <w:vAlign w:val="center"/>
              </w:tcPr>
              <w:p w14:paraId="4ED09142" w14:textId="0CB3C117"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16.59%</w:t>
                </w:r>
              </w:p>
            </w:tc>
            <w:tc>
              <w:tcPr>
                <w:tcW w:w="413" w:type="pct"/>
                <w:shd w:val="clear" w:color="auto" w:fill="FFFFFF" w:themeFill="background2"/>
                <w:vAlign w:val="center"/>
              </w:tcPr>
              <w:p w14:paraId="32617A41" w14:textId="04E822E1"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18.29%</w:t>
                </w:r>
              </w:p>
            </w:tc>
          </w:tr>
          <w:tr w:rsidR="00EC35E1" w:rsidRPr="00B80369" w14:paraId="0C2EA278"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53C5ED72" w14:textId="77777777" w:rsidR="00EC35E1" w:rsidRPr="00B80369" w:rsidRDefault="00EC35E1"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C2.1</w:t>
                </w:r>
              </w:p>
            </w:tc>
            <w:tc>
              <w:tcPr>
                <w:tcW w:w="491" w:type="pct"/>
                <w:shd w:val="clear" w:color="auto" w:fill="FFFFFF" w:themeFill="background2"/>
                <w:tcMar>
                  <w:top w:w="60" w:type="dxa"/>
                  <w:left w:w="114" w:type="dxa"/>
                  <w:bottom w:w="60" w:type="dxa"/>
                  <w:right w:w="114" w:type="dxa"/>
                </w:tcMar>
                <w:vAlign w:val="center"/>
              </w:tcPr>
              <w:p w14:paraId="6B332373" w14:textId="7983D163"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413</w:t>
                </w:r>
              </w:p>
            </w:tc>
            <w:tc>
              <w:tcPr>
                <w:tcW w:w="417" w:type="pct"/>
                <w:shd w:val="clear" w:color="auto" w:fill="FFFFFF" w:themeFill="background2"/>
                <w:tcMar>
                  <w:top w:w="60" w:type="dxa"/>
                  <w:left w:w="114" w:type="dxa"/>
                  <w:bottom w:w="60" w:type="dxa"/>
                  <w:right w:w="114" w:type="dxa"/>
                </w:tcMar>
                <w:vAlign w:val="center"/>
              </w:tcPr>
              <w:p w14:paraId="23E3E858" w14:textId="408C05AD"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145</w:t>
                </w:r>
              </w:p>
            </w:tc>
            <w:tc>
              <w:tcPr>
                <w:tcW w:w="417" w:type="pct"/>
                <w:shd w:val="clear" w:color="auto" w:fill="FFFFFF" w:themeFill="background2"/>
                <w:vAlign w:val="center"/>
              </w:tcPr>
              <w:p w14:paraId="79552B4B" w14:textId="02282DC7"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178</w:t>
                </w:r>
              </w:p>
            </w:tc>
            <w:tc>
              <w:tcPr>
                <w:tcW w:w="417" w:type="pct"/>
                <w:shd w:val="clear" w:color="auto" w:fill="FFFFFF" w:themeFill="background2"/>
                <w:vAlign w:val="center"/>
              </w:tcPr>
              <w:p w14:paraId="536AC658" w14:textId="73C717D8"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194</w:t>
                </w:r>
              </w:p>
            </w:tc>
            <w:tc>
              <w:tcPr>
                <w:tcW w:w="417" w:type="pct"/>
                <w:shd w:val="clear" w:color="auto" w:fill="FFFFFF" w:themeFill="background2"/>
                <w:vAlign w:val="center"/>
              </w:tcPr>
              <w:p w14:paraId="4247FF9A" w14:textId="5861C114"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202</w:t>
                </w:r>
              </w:p>
            </w:tc>
            <w:tc>
              <w:tcPr>
                <w:tcW w:w="417" w:type="pct"/>
                <w:shd w:val="clear" w:color="auto" w:fill="FFFFFF" w:themeFill="background2"/>
                <w:vAlign w:val="center"/>
              </w:tcPr>
              <w:p w14:paraId="5F25846B" w14:textId="5DAD08C9"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217</w:t>
                </w:r>
              </w:p>
            </w:tc>
            <w:tc>
              <w:tcPr>
                <w:tcW w:w="417" w:type="pct"/>
                <w:shd w:val="clear" w:color="auto" w:fill="FFFFFF" w:themeFill="background2"/>
                <w:vAlign w:val="center"/>
              </w:tcPr>
              <w:p w14:paraId="3D55F608" w14:textId="1DAAF19D"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35.11%</w:t>
                </w:r>
              </w:p>
            </w:tc>
            <w:tc>
              <w:tcPr>
                <w:tcW w:w="417" w:type="pct"/>
                <w:shd w:val="clear" w:color="auto" w:fill="FFFFFF" w:themeFill="background2"/>
                <w:vAlign w:val="center"/>
              </w:tcPr>
              <w:p w14:paraId="25CC5FBC" w14:textId="29C41354"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43.10%</w:t>
                </w:r>
              </w:p>
            </w:tc>
            <w:tc>
              <w:tcPr>
                <w:tcW w:w="417" w:type="pct"/>
                <w:shd w:val="clear" w:color="auto" w:fill="FFFFFF" w:themeFill="background2"/>
                <w:vAlign w:val="center"/>
              </w:tcPr>
              <w:p w14:paraId="2C816612" w14:textId="700F7C79"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46.97%</w:t>
                </w:r>
              </w:p>
            </w:tc>
            <w:tc>
              <w:tcPr>
                <w:tcW w:w="417" w:type="pct"/>
                <w:shd w:val="clear" w:color="auto" w:fill="FFFFFF" w:themeFill="background2"/>
                <w:vAlign w:val="center"/>
              </w:tcPr>
              <w:p w14:paraId="7B3591E8" w14:textId="0408A24D"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48.91%</w:t>
                </w:r>
              </w:p>
            </w:tc>
            <w:tc>
              <w:tcPr>
                <w:tcW w:w="413" w:type="pct"/>
                <w:shd w:val="clear" w:color="auto" w:fill="FFFFFF" w:themeFill="background2"/>
                <w:vAlign w:val="center"/>
              </w:tcPr>
              <w:p w14:paraId="512B7B86" w14:textId="71EBA483"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52.54%</w:t>
                </w:r>
              </w:p>
            </w:tc>
          </w:tr>
          <w:tr w:rsidR="00EC35E1" w:rsidRPr="00B80369" w14:paraId="3878710F" w14:textId="77777777" w:rsidTr="00AC7D4E">
            <w:trPr>
              <w:trHeight w:val="227"/>
            </w:trPr>
            <w:tc>
              <w:tcPr>
                <w:tcW w:w="343" w:type="pct"/>
                <w:shd w:val="clear" w:color="auto" w:fill="FFFFFF" w:themeFill="background2"/>
                <w:tcMar>
                  <w:top w:w="60" w:type="dxa"/>
                  <w:left w:w="114" w:type="dxa"/>
                  <w:bottom w:w="60" w:type="dxa"/>
                  <w:right w:w="114" w:type="dxa"/>
                </w:tcMar>
                <w:vAlign w:val="center"/>
              </w:tcPr>
              <w:p w14:paraId="741B8073" w14:textId="77777777" w:rsidR="00EC35E1" w:rsidRPr="00B80369" w:rsidRDefault="00EC35E1" w:rsidP="00B80369">
                <w:pPr>
                  <w:spacing w:before="0" w:line="240" w:lineRule="auto"/>
                  <w:jc w:val="center"/>
                  <w:rPr>
                    <w:rFonts w:cs="Segoe UI"/>
                    <w:b/>
                    <w:bCs/>
                    <w:sz w:val="14"/>
                    <w:szCs w:val="14"/>
                    <w:lang w:eastAsia="it-IT"/>
                  </w:rPr>
                </w:pPr>
                <w:r w:rsidRPr="00B80369">
                  <w:rPr>
                    <w:rFonts w:cs="Segoe UI"/>
                    <w:b/>
                    <w:bCs/>
                    <w:sz w:val="14"/>
                    <w:szCs w:val="14"/>
                    <w:lang w:eastAsia="it-IT"/>
                  </w:rPr>
                  <w:t>TOTAL</w:t>
                </w:r>
              </w:p>
            </w:tc>
            <w:tc>
              <w:tcPr>
                <w:tcW w:w="491" w:type="pct"/>
                <w:shd w:val="clear" w:color="auto" w:fill="FFFFFF" w:themeFill="background2"/>
                <w:tcMar>
                  <w:top w:w="60" w:type="dxa"/>
                  <w:left w:w="114" w:type="dxa"/>
                  <w:bottom w:w="60" w:type="dxa"/>
                  <w:right w:w="114" w:type="dxa"/>
                </w:tcMar>
                <w:vAlign w:val="center"/>
              </w:tcPr>
              <w:p w14:paraId="5E1BB815" w14:textId="0FFB8CD9"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25,286</w:t>
                </w:r>
              </w:p>
            </w:tc>
            <w:tc>
              <w:tcPr>
                <w:tcW w:w="417" w:type="pct"/>
                <w:shd w:val="clear" w:color="auto" w:fill="FFFFFF" w:themeFill="background2"/>
                <w:tcMar>
                  <w:top w:w="60" w:type="dxa"/>
                  <w:left w:w="114" w:type="dxa"/>
                  <w:bottom w:w="60" w:type="dxa"/>
                  <w:right w:w="114" w:type="dxa"/>
                </w:tcMar>
                <w:vAlign w:val="center"/>
              </w:tcPr>
              <w:p w14:paraId="6871E4A7" w14:textId="6AE347A4"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399</w:t>
                </w:r>
              </w:p>
            </w:tc>
            <w:tc>
              <w:tcPr>
                <w:tcW w:w="417" w:type="pct"/>
                <w:shd w:val="clear" w:color="auto" w:fill="FFFFFF" w:themeFill="background2"/>
                <w:vAlign w:val="center"/>
              </w:tcPr>
              <w:p w14:paraId="745DD180" w14:textId="398452CE"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712</w:t>
                </w:r>
              </w:p>
            </w:tc>
            <w:tc>
              <w:tcPr>
                <w:tcW w:w="417" w:type="pct"/>
                <w:shd w:val="clear" w:color="auto" w:fill="FFFFFF" w:themeFill="background2"/>
                <w:vAlign w:val="center"/>
              </w:tcPr>
              <w:p w14:paraId="4E3B1ED9" w14:textId="37EAA79D"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1,031</w:t>
                </w:r>
              </w:p>
            </w:tc>
            <w:tc>
              <w:tcPr>
                <w:tcW w:w="417" w:type="pct"/>
                <w:shd w:val="clear" w:color="auto" w:fill="FFFFFF" w:themeFill="background2"/>
                <w:vAlign w:val="center"/>
              </w:tcPr>
              <w:p w14:paraId="4D1B54B5" w14:textId="1ADDE692"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1,275</w:t>
                </w:r>
              </w:p>
            </w:tc>
            <w:tc>
              <w:tcPr>
                <w:tcW w:w="417" w:type="pct"/>
                <w:shd w:val="clear" w:color="auto" w:fill="FFFFFF" w:themeFill="background2"/>
                <w:vAlign w:val="center"/>
              </w:tcPr>
              <w:p w14:paraId="2C8D707B" w14:textId="1DCF9234" w:rsidR="00EC35E1" w:rsidRPr="00B80369" w:rsidRDefault="00EC35E1" w:rsidP="00B80369">
                <w:pPr>
                  <w:spacing w:before="0" w:line="240" w:lineRule="auto"/>
                  <w:jc w:val="center"/>
                  <w:rPr>
                    <w:rFonts w:eastAsia="Times New Roman" w:cs="Segoe UI"/>
                    <w:sz w:val="14"/>
                    <w:szCs w:val="14"/>
                    <w:lang w:val="en-GB" w:eastAsia="it-IT"/>
                  </w:rPr>
                </w:pPr>
                <w:r w:rsidRPr="00B80369">
                  <w:rPr>
                    <w:rFonts w:eastAsia="Times New Roman" w:cs="Segoe UI"/>
                    <w:b/>
                    <w:bCs/>
                    <w:sz w:val="14"/>
                    <w:szCs w:val="14"/>
                    <w:lang w:val="en-GB" w:eastAsia="it-IT"/>
                  </w:rPr>
                  <w:t>1,483</w:t>
                </w:r>
              </w:p>
            </w:tc>
            <w:tc>
              <w:tcPr>
                <w:tcW w:w="417" w:type="pct"/>
                <w:shd w:val="clear" w:color="auto" w:fill="FFFFFF" w:themeFill="background2"/>
                <w:vAlign w:val="center"/>
              </w:tcPr>
              <w:p w14:paraId="4920F886" w14:textId="15A77A69"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1.58%</w:t>
                </w:r>
              </w:p>
            </w:tc>
            <w:tc>
              <w:tcPr>
                <w:tcW w:w="417" w:type="pct"/>
                <w:shd w:val="clear" w:color="auto" w:fill="FFFFFF" w:themeFill="background2"/>
                <w:vAlign w:val="center"/>
              </w:tcPr>
              <w:p w14:paraId="10EAFE5B" w14:textId="5C18B92D"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2.82%</w:t>
                </w:r>
              </w:p>
            </w:tc>
            <w:tc>
              <w:tcPr>
                <w:tcW w:w="417" w:type="pct"/>
                <w:shd w:val="clear" w:color="auto" w:fill="FFFFFF" w:themeFill="background2"/>
                <w:vAlign w:val="center"/>
              </w:tcPr>
              <w:p w14:paraId="222C9C16" w14:textId="74E52C63"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4.08%</w:t>
                </w:r>
              </w:p>
            </w:tc>
            <w:tc>
              <w:tcPr>
                <w:tcW w:w="417" w:type="pct"/>
                <w:shd w:val="clear" w:color="auto" w:fill="FFFFFF" w:themeFill="background2"/>
                <w:vAlign w:val="center"/>
              </w:tcPr>
              <w:p w14:paraId="246CC638" w14:textId="5FA25882"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5.04%</w:t>
                </w:r>
              </w:p>
            </w:tc>
            <w:tc>
              <w:tcPr>
                <w:tcW w:w="413" w:type="pct"/>
                <w:shd w:val="clear" w:color="auto" w:fill="FFFFFF" w:themeFill="background2"/>
                <w:vAlign w:val="center"/>
              </w:tcPr>
              <w:p w14:paraId="7BFD1E18" w14:textId="5C906EB3" w:rsidR="00EC35E1" w:rsidRPr="00B80369" w:rsidRDefault="00EC35E1"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5.86%</w:t>
                </w:r>
              </w:p>
            </w:tc>
          </w:tr>
        </w:tbl>
        <w:p w14:paraId="5E421E42" w14:textId="22307E19" w:rsidR="004101BF" w:rsidRDefault="004101BF" w:rsidP="004101BF">
          <w:pPr>
            <w:pStyle w:val="Didascalia"/>
            <w:rPr>
              <w:rFonts w:ascii="Segoe UI" w:hAnsi="Segoe UI" w:cs="Segoe UI"/>
              <w:i/>
              <w:sz w:val="14"/>
              <w:lang w:val="en-GB"/>
            </w:rPr>
          </w:pPr>
          <w:bookmarkStart w:id="138" w:name="_Toc130806340"/>
          <w:bookmarkStart w:id="139" w:name="_Toc166675680"/>
          <w:bookmarkStart w:id="140" w:name="_Toc167131807"/>
          <w:r w:rsidRPr="0032337D">
            <w:rPr>
              <w:rFonts w:ascii="Segoe UI" w:hAnsi="Segoe UI" w:cs="Segoe UI"/>
              <w:i/>
              <w:sz w:val="14"/>
              <w:lang w:val="en-GB"/>
            </w:rPr>
            <w:lastRenderedPageBreak/>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39</w:t>
          </w:r>
          <w:r>
            <w:rPr>
              <w:rFonts w:ascii="Segoe UI" w:hAnsi="Segoe UI" w:cs="Segoe UI"/>
              <w:i/>
              <w:sz w:val="14"/>
              <w:lang w:val="en-GB"/>
            </w:rPr>
            <w:fldChar w:fldCharType="end"/>
          </w:r>
          <w:r w:rsidRPr="0032337D">
            <w:rPr>
              <w:rFonts w:ascii="Segoe UI" w:hAnsi="Segoe UI" w:cs="Segoe UI"/>
              <w:i/>
              <w:sz w:val="14"/>
              <w:lang w:val="en-GB"/>
            </w:rPr>
            <w:t>: Static pool as of 31</w:t>
          </w:r>
          <w:r w:rsidRPr="0032337D">
            <w:rPr>
              <w:rFonts w:ascii="Segoe UI" w:hAnsi="Segoe UI" w:cs="Segoe UI"/>
              <w:i/>
              <w:sz w:val="14"/>
              <w:vertAlign w:val="superscript"/>
              <w:lang w:val="en-GB"/>
            </w:rPr>
            <w:t>st</w:t>
          </w:r>
          <w:r w:rsidRPr="0032337D">
            <w:rPr>
              <w:rFonts w:ascii="Segoe UI" w:hAnsi="Segoe UI" w:cs="Segoe UI"/>
              <w:i/>
              <w:sz w:val="14"/>
              <w:lang w:val="en-GB"/>
            </w:rPr>
            <w:t xml:space="preserve"> December 2017</w:t>
          </w:r>
          <w:bookmarkEnd w:id="138"/>
          <w:bookmarkEnd w:id="139"/>
          <w:bookmarkEnd w:id="140"/>
        </w:p>
        <w:tbl>
          <w:tblPr>
            <w:tblW w:w="5000" w:type="pct"/>
            <w:tblBorders>
              <w:top w:val="single" w:sz="4" w:space="0" w:color="AFAFB4" w:themeColor="accent4"/>
              <w:bottom w:val="single" w:sz="4" w:space="0" w:color="AFAFB4" w:themeColor="accent4"/>
              <w:insideH w:val="single" w:sz="4" w:space="0" w:color="AFAFB4" w:themeColor="accent4"/>
            </w:tblBorders>
            <w:shd w:val="clear" w:color="auto" w:fill="FFFFFF" w:themeFill="background2"/>
            <w:tblCellMar>
              <w:left w:w="0" w:type="dxa"/>
              <w:right w:w="0" w:type="dxa"/>
            </w:tblCellMar>
            <w:tblLook w:val="0620" w:firstRow="1" w:lastRow="0" w:firstColumn="0" w:lastColumn="0" w:noHBand="1" w:noVBand="1"/>
            <w:tblDescription w:val="{&quot;Ott&quot;:{&quot;FirstRow&quot;:{&quot;BackgroundColor&quot;:{&quot;Key&quot;:&quot;Light2&quot;},&quot;Font&quot;:{&quot;Name&quot;:&quot;Source Sans Pro&quot;,&quot;Size&quot;:14.0,&quot;Bold&quot;:false,&quot;Italic&quot;:false,&quot;Color&quot;:{&quot;Key&quot;:&quot;Dark2&quot;}},&quot;ExcelCellFormatting&quot;:&quot;General&quot;,&quot;Alignment&quot;:{&quot;Horizontal&quot;:&quot;Left&quot;,&quot;Vertical&quot;:&quot;Bottom&quot;},&quot;Borders&quot;:{&quot;Vertical&quot;:{&quot;Visible&quot;:false},&quot;Left&quot;:{&quot;Visible&quot;:false},&quot;Top&quot;:{&quot;Visible&quot;:false},&quot;Right&quot;:{&quot;Visible&quot;:false},&quot;Bottom&quot;:{&quot;Color&quot;:{&quot;Key&quot;:&quot;Accent4&quot;},&quot;BorderWeight&quot;:&quot;Pt1_5&quot;,&quot;Type&quot;:&quot;Solid&quot;,&quot;Visible&quot;:true}}},&quot;FitRowHeightPp&quot;:true,&quot;ZeroMarginsWord&quot;:true,&quot;BackgroundColor&quot;:{&quot;Key&quot;:&quot;Light2&quot;},&quot;Font&quot;:{&quot;Name&quot;:&quot;Source Sans Pro&quot;,&quot;Size&quot;:11.0,&quot;Bold&quot;:false,&quot;Italic&quot;:false,&quot;Color&quot;:{&quot;Key&quot;:&quot;Dark2&quot;}},&quot;LineSpacing&quot;:{&quot;Rule&quot;:&quot;Single&quot;},&quot;Alignment&quot;:{&quot;Horizontal&quot;:&quot;Left&quot;,&quot;Vertical&quot;:&quot;Top&quot;},&quot;Margin&quot;:{&quot;Left&quot;:5.7,&quot;Top&quot;:3.0,&quot;Right&quot;:5.7,&quot;Bottom&quot;:3.0},&quot;Borders&quot;:{&quot;Vertical&quot;:{&quot;Visible&quot;:false},&quot;Horizontal&quot;:{&quot;Color&quot;:{&quot;Key&quot;:&quot;Accent4&quot;},&quot;BorderWeight&quot;:&quot;Pt0_5&quot;,&quot;Type&quot;:&quot;Solid&quot;,&quot;Visible&quot;:true}},&quot;ParagraphSpacing&quot;:{&quot;SpaceBefore&quot;:2.0,&quot;SpaceAfter&quot;:2.0},&quot;ExcelWrapText&quot;:true},&quot;Ccs&quot;:{&quot;DarkBlue&quot;:&quot;0, 20, 55&quot;,&quot;Turquoise&quot;:&quot;0, 164, 230&quot;,&quot;Red&quot;:&quot;214, 70, 65&quot;,&quot;LightGrey&quot;:&quot;174, 174, 180&quot;,&quot;BlueGrey&quot;:&quot;77, 91, 115&quot;,&quot;IceBlue&quot;:&quot;178, 184, 195&quot;,&quot;Grey&quot;:&quot;145, 147, 153&quot;,&quot;Background&quot;:&quot;0, 0, 0, 0&quot;,&quot;White&quot;:&quot;White&quot;,&quot;Accent1&quot;:&quot;1, 1, 1, 1&quot;,&quot;Accent2&quot;:&quot;1, 1, 1, 2&quot;,&quot;Accent3&quot;:&quot;1, 1, 1, 3&quot;,&quot;Accent4&quot;:&quot;1, 1, 1, 4&quot;,&quot;Accent5&quot;:&quot;1, 1, 1, 5&quot;,&quot;Accent6&quot;:&quot;1, 1, 1, 6&quot;,&quot;Dark1&quot;:&quot;1, 1, 1, 7&quot;,&quot;Dark2&quot;:&quot;1, 1, 1, 9&quot;,&quot;Light1&quot;:&quot;1, 1, 1, 8&quot;,&quot;Light2&quot;:&quot;1, 1, 1, 10&quot;},&quot;Cop&quot;:{&quot;FirstRow&quot;:true,&quot;LastRow&quot;:false,&quot;FirstColumn&quot;:false,&quot;LastColumn&quot;:false,&quot;BandedRows&quot;:false,&quot;BandedColumns&quot;:false},&quot;Aaf&quot;:false}"/>
          </w:tblPr>
          <w:tblGrid>
            <w:gridCol w:w="710"/>
            <w:gridCol w:w="1016"/>
            <w:gridCol w:w="863"/>
            <w:gridCol w:w="863"/>
            <w:gridCol w:w="863"/>
            <w:gridCol w:w="863"/>
            <w:gridCol w:w="863"/>
            <w:gridCol w:w="863"/>
            <w:gridCol w:w="863"/>
            <w:gridCol w:w="863"/>
            <w:gridCol w:w="863"/>
            <w:gridCol w:w="855"/>
          </w:tblGrid>
          <w:tr w:rsidR="00707524" w:rsidRPr="00B80369" w14:paraId="607B64A2" w14:textId="77777777" w:rsidTr="00AC7D4E">
            <w:trPr>
              <w:trHeight w:val="227"/>
              <w:tblHeader/>
            </w:trPr>
            <w:tc>
              <w:tcPr>
                <w:tcW w:w="343" w:type="pct"/>
                <w:vMerge w:val="restar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2689DB1F" w14:textId="77777777"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Rating</w:t>
                </w:r>
              </w:p>
            </w:tc>
            <w:tc>
              <w:tcPr>
                <w:tcW w:w="491"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11A7EB90" w14:textId="77777777"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Static pool</w:t>
                </w:r>
              </w:p>
            </w:tc>
            <w:tc>
              <w:tcPr>
                <w:tcW w:w="2085" w:type="pct"/>
                <w:gridSpan w:val="5"/>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7204A8BC" w14:textId="1ADF2B2D"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Observed defaults by years since rating issuance</w:t>
                </w:r>
              </w:p>
            </w:tc>
            <w:tc>
              <w:tcPr>
                <w:tcW w:w="2081" w:type="pct"/>
                <w:gridSpan w:val="5"/>
                <w:tcBorders>
                  <w:top w:val="single" w:sz="12" w:space="0" w:color="AFAFB4" w:themeColor="accent4"/>
                </w:tcBorders>
                <w:shd w:val="clear" w:color="auto" w:fill="FFFFFF" w:themeFill="background2"/>
                <w:vAlign w:val="center"/>
              </w:tcPr>
              <w:p w14:paraId="37CA21B1" w14:textId="77777777"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Percentage of cumulative default rates</w:t>
                </w:r>
              </w:p>
            </w:tc>
          </w:tr>
          <w:tr w:rsidR="00C02410" w:rsidRPr="00B80369" w14:paraId="1B667333" w14:textId="77777777" w:rsidTr="00AC7D4E">
            <w:trPr>
              <w:trHeight w:val="227"/>
              <w:tblHeader/>
            </w:trPr>
            <w:tc>
              <w:tcPr>
                <w:tcW w:w="343" w:type="pct"/>
                <w:vMerge/>
                <w:shd w:val="clear" w:color="auto" w:fill="FFFFFF" w:themeFill="background2"/>
                <w:tcMar>
                  <w:top w:w="60" w:type="dxa"/>
                  <w:left w:w="114" w:type="dxa"/>
                  <w:bottom w:w="60" w:type="dxa"/>
                  <w:right w:w="114" w:type="dxa"/>
                </w:tcMar>
                <w:vAlign w:val="center"/>
              </w:tcPr>
              <w:p w14:paraId="78D072D0" w14:textId="77777777" w:rsidR="00C02410" w:rsidRPr="00B80369" w:rsidRDefault="00C02410" w:rsidP="00B80369">
                <w:pPr>
                  <w:spacing w:before="0" w:line="240" w:lineRule="auto"/>
                  <w:jc w:val="center"/>
                  <w:rPr>
                    <w:b/>
                    <w:color w:val="33A1AB" w:themeColor="accent2"/>
                    <w:sz w:val="14"/>
                    <w:szCs w:val="14"/>
                  </w:rPr>
                </w:pPr>
              </w:p>
            </w:tc>
            <w:tc>
              <w:tcPr>
                <w:tcW w:w="491"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6FD19F34" w14:textId="0575C644" w:rsidR="00C02410" w:rsidRPr="00B80369" w:rsidRDefault="00C02410" w:rsidP="00B80369">
                <w:pPr>
                  <w:spacing w:before="0" w:line="240" w:lineRule="auto"/>
                  <w:jc w:val="center"/>
                  <w:rPr>
                    <w:b/>
                    <w:color w:val="33A1AB" w:themeColor="accent2"/>
                    <w:sz w:val="14"/>
                    <w:szCs w:val="14"/>
                  </w:rPr>
                </w:pPr>
                <w:r w:rsidRPr="00B80369">
                  <w:rPr>
                    <w:b/>
                    <w:color w:val="33A1AB" w:themeColor="accent2"/>
                    <w:sz w:val="14"/>
                    <w:szCs w:val="14"/>
                  </w:rPr>
                  <w:t>31 Dec 2017</w:t>
                </w:r>
              </w:p>
            </w:tc>
            <w:tc>
              <w:tcPr>
                <w:tcW w:w="417"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57D581A7" w14:textId="77777777" w:rsidR="00C02410" w:rsidRPr="00B80369" w:rsidRDefault="00C02410" w:rsidP="00B80369">
                <w:pPr>
                  <w:spacing w:before="0" w:line="240" w:lineRule="auto"/>
                  <w:jc w:val="center"/>
                  <w:rPr>
                    <w:b/>
                    <w:color w:val="33A1AB" w:themeColor="accent2"/>
                    <w:sz w:val="14"/>
                    <w:szCs w:val="14"/>
                  </w:rPr>
                </w:pPr>
                <w:r w:rsidRPr="00B80369">
                  <w:rPr>
                    <w:b/>
                    <w:color w:val="33A1AB" w:themeColor="accent2"/>
                    <w:sz w:val="14"/>
                    <w:szCs w:val="14"/>
                  </w:rPr>
                  <w:t>1-Y DR</w:t>
                </w:r>
              </w:p>
            </w:tc>
            <w:tc>
              <w:tcPr>
                <w:tcW w:w="417" w:type="pct"/>
                <w:tcBorders>
                  <w:top w:val="single" w:sz="12" w:space="0" w:color="AFAFB4" w:themeColor="accent4"/>
                </w:tcBorders>
                <w:shd w:val="clear" w:color="auto" w:fill="FFFFFF" w:themeFill="background2"/>
                <w:vAlign w:val="center"/>
              </w:tcPr>
              <w:p w14:paraId="34DBD5EF" w14:textId="77777777" w:rsidR="00C02410" w:rsidRPr="00B80369" w:rsidRDefault="00C02410" w:rsidP="00B80369">
                <w:pPr>
                  <w:spacing w:before="0" w:line="240" w:lineRule="auto"/>
                  <w:jc w:val="center"/>
                  <w:rPr>
                    <w:b/>
                    <w:color w:val="33A1AB" w:themeColor="accent2"/>
                    <w:sz w:val="14"/>
                    <w:szCs w:val="14"/>
                  </w:rPr>
                </w:pPr>
                <w:r w:rsidRPr="00B80369">
                  <w:rPr>
                    <w:b/>
                    <w:color w:val="33A1AB" w:themeColor="accent2"/>
                    <w:sz w:val="14"/>
                    <w:szCs w:val="14"/>
                  </w:rPr>
                  <w:t>2-Y DR</w:t>
                </w:r>
              </w:p>
            </w:tc>
            <w:tc>
              <w:tcPr>
                <w:tcW w:w="417" w:type="pct"/>
                <w:tcBorders>
                  <w:top w:val="single" w:sz="12" w:space="0" w:color="AFAFB4" w:themeColor="accent4"/>
                </w:tcBorders>
                <w:shd w:val="clear" w:color="auto" w:fill="FFFFFF" w:themeFill="background2"/>
                <w:vAlign w:val="center"/>
              </w:tcPr>
              <w:p w14:paraId="70AB0BBC" w14:textId="77777777" w:rsidR="00C02410" w:rsidRPr="00B80369" w:rsidRDefault="00C02410" w:rsidP="00B80369">
                <w:pPr>
                  <w:spacing w:before="0" w:line="240" w:lineRule="auto"/>
                  <w:jc w:val="center"/>
                  <w:rPr>
                    <w:b/>
                    <w:color w:val="33A1AB" w:themeColor="accent2"/>
                    <w:sz w:val="14"/>
                    <w:szCs w:val="14"/>
                  </w:rPr>
                </w:pPr>
                <w:r w:rsidRPr="00B80369">
                  <w:rPr>
                    <w:b/>
                    <w:color w:val="33A1AB" w:themeColor="accent2"/>
                    <w:sz w:val="14"/>
                    <w:szCs w:val="14"/>
                  </w:rPr>
                  <w:t>3-Y DR</w:t>
                </w:r>
              </w:p>
            </w:tc>
            <w:tc>
              <w:tcPr>
                <w:tcW w:w="417" w:type="pct"/>
                <w:tcBorders>
                  <w:top w:val="single" w:sz="12" w:space="0" w:color="AFAFB4" w:themeColor="accent4"/>
                </w:tcBorders>
                <w:shd w:val="clear" w:color="auto" w:fill="FFFFFF" w:themeFill="background2"/>
                <w:vAlign w:val="center"/>
              </w:tcPr>
              <w:p w14:paraId="6CEE2A4C" w14:textId="77777777" w:rsidR="00C02410" w:rsidRPr="00B80369" w:rsidRDefault="00C02410" w:rsidP="00B80369">
                <w:pPr>
                  <w:spacing w:before="0" w:line="240" w:lineRule="auto"/>
                  <w:jc w:val="center"/>
                  <w:rPr>
                    <w:b/>
                    <w:color w:val="33A1AB" w:themeColor="accent2"/>
                    <w:sz w:val="14"/>
                    <w:szCs w:val="14"/>
                  </w:rPr>
                </w:pPr>
                <w:r w:rsidRPr="00B80369">
                  <w:rPr>
                    <w:b/>
                    <w:color w:val="33A1AB" w:themeColor="accent2"/>
                    <w:sz w:val="14"/>
                    <w:szCs w:val="14"/>
                  </w:rPr>
                  <w:t>4-Y DR</w:t>
                </w:r>
              </w:p>
            </w:tc>
            <w:tc>
              <w:tcPr>
                <w:tcW w:w="417" w:type="pct"/>
                <w:tcBorders>
                  <w:top w:val="single" w:sz="12" w:space="0" w:color="AFAFB4" w:themeColor="accent4"/>
                </w:tcBorders>
                <w:shd w:val="clear" w:color="auto" w:fill="FFFFFF" w:themeFill="background2"/>
                <w:vAlign w:val="center"/>
              </w:tcPr>
              <w:p w14:paraId="07D9A152" w14:textId="77777777" w:rsidR="00C02410" w:rsidRPr="00B80369" w:rsidRDefault="00C02410" w:rsidP="00B80369">
                <w:pPr>
                  <w:spacing w:before="0" w:line="240" w:lineRule="auto"/>
                  <w:jc w:val="center"/>
                  <w:rPr>
                    <w:b/>
                    <w:color w:val="33A1AB" w:themeColor="accent2"/>
                    <w:sz w:val="14"/>
                    <w:szCs w:val="14"/>
                  </w:rPr>
                </w:pPr>
                <w:r w:rsidRPr="00B80369">
                  <w:rPr>
                    <w:b/>
                    <w:color w:val="33A1AB" w:themeColor="accent2"/>
                    <w:sz w:val="14"/>
                    <w:szCs w:val="14"/>
                  </w:rPr>
                  <w:t>5-Y DR</w:t>
                </w:r>
              </w:p>
            </w:tc>
            <w:tc>
              <w:tcPr>
                <w:tcW w:w="417" w:type="pct"/>
                <w:tcBorders>
                  <w:top w:val="single" w:sz="12" w:space="0" w:color="AFAFB4" w:themeColor="accent4"/>
                </w:tcBorders>
                <w:shd w:val="clear" w:color="auto" w:fill="FFFFFF" w:themeFill="background2"/>
                <w:vAlign w:val="center"/>
              </w:tcPr>
              <w:p w14:paraId="430E7612" w14:textId="77777777" w:rsidR="00C02410" w:rsidRPr="00B80369" w:rsidRDefault="00C02410" w:rsidP="00B80369">
                <w:pPr>
                  <w:spacing w:before="0" w:line="240" w:lineRule="auto"/>
                  <w:jc w:val="center"/>
                  <w:rPr>
                    <w:b/>
                    <w:color w:val="33A1AB" w:themeColor="accent2"/>
                    <w:sz w:val="14"/>
                    <w:szCs w:val="14"/>
                  </w:rPr>
                </w:pPr>
                <w:r w:rsidRPr="00B80369">
                  <w:rPr>
                    <w:b/>
                    <w:color w:val="33A1AB" w:themeColor="accent2"/>
                    <w:sz w:val="14"/>
                    <w:szCs w:val="14"/>
                  </w:rPr>
                  <w:t>1-Y DR</w:t>
                </w:r>
              </w:p>
            </w:tc>
            <w:tc>
              <w:tcPr>
                <w:tcW w:w="417" w:type="pct"/>
                <w:tcBorders>
                  <w:top w:val="single" w:sz="12" w:space="0" w:color="AFAFB4" w:themeColor="accent4"/>
                </w:tcBorders>
                <w:shd w:val="clear" w:color="auto" w:fill="FFFFFF" w:themeFill="background2"/>
                <w:vAlign w:val="center"/>
              </w:tcPr>
              <w:p w14:paraId="1CD45B9F" w14:textId="77777777" w:rsidR="00C02410" w:rsidRPr="00B80369" w:rsidRDefault="00C02410" w:rsidP="00B80369">
                <w:pPr>
                  <w:spacing w:before="0" w:line="240" w:lineRule="auto"/>
                  <w:jc w:val="center"/>
                  <w:rPr>
                    <w:b/>
                    <w:color w:val="33A1AB" w:themeColor="accent2"/>
                    <w:sz w:val="14"/>
                    <w:szCs w:val="14"/>
                  </w:rPr>
                </w:pPr>
                <w:r w:rsidRPr="00B80369">
                  <w:rPr>
                    <w:b/>
                    <w:color w:val="33A1AB" w:themeColor="accent2"/>
                    <w:sz w:val="14"/>
                    <w:szCs w:val="14"/>
                  </w:rPr>
                  <w:t>2-Y DR</w:t>
                </w:r>
              </w:p>
            </w:tc>
            <w:tc>
              <w:tcPr>
                <w:tcW w:w="417" w:type="pct"/>
                <w:tcBorders>
                  <w:top w:val="single" w:sz="12" w:space="0" w:color="AFAFB4" w:themeColor="accent4"/>
                </w:tcBorders>
                <w:shd w:val="clear" w:color="auto" w:fill="FFFFFF" w:themeFill="background2"/>
                <w:vAlign w:val="center"/>
              </w:tcPr>
              <w:p w14:paraId="19CB9664" w14:textId="77777777" w:rsidR="00C02410" w:rsidRPr="00B80369" w:rsidRDefault="00C02410" w:rsidP="00B80369">
                <w:pPr>
                  <w:spacing w:before="0" w:line="240" w:lineRule="auto"/>
                  <w:jc w:val="center"/>
                  <w:rPr>
                    <w:b/>
                    <w:color w:val="33A1AB" w:themeColor="accent2"/>
                    <w:sz w:val="14"/>
                    <w:szCs w:val="14"/>
                  </w:rPr>
                </w:pPr>
                <w:r w:rsidRPr="00B80369">
                  <w:rPr>
                    <w:b/>
                    <w:color w:val="33A1AB" w:themeColor="accent2"/>
                    <w:sz w:val="14"/>
                    <w:szCs w:val="14"/>
                  </w:rPr>
                  <w:t>3-Y DR</w:t>
                </w:r>
              </w:p>
            </w:tc>
            <w:tc>
              <w:tcPr>
                <w:tcW w:w="417" w:type="pct"/>
                <w:tcBorders>
                  <w:top w:val="single" w:sz="12" w:space="0" w:color="AFAFB4" w:themeColor="accent4"/>
                </w:tcBorders>
                <w:shd w:val="clear" w:color="auto" w:fill="FFFFFF" w:themeFill="background2"/>
                <w:vAlign w:val="center"/>
              </w:tcPr>
              <w:p w14:paraId="32553393" w14:textId="77777777" w:rsidR="00C02410" w:rsidRPr="00B80369" w:rsidRDefault="00C02410" w:rsidP="00B80369">
                <w:pPr>
                  <w:spacing w:before="0" w:line="240" w:lineRule="auto"/>
                  <w:jc w:val="center"/>
                  <w:rPr>
                    <w:b/>
                    <w:color w:val="33A1AB" w:themeColor="accent2"/>
                    <w:sz w:val="14"/>
                    <w:szCs w:val="14"/>
                  </w:rPr>
                </w:pPr>
                <w:r w:rsidRPr="00B80369">
                  <w:rPr>
                    <w:b/>
                    <w:color w:val="33A1AB" w:themeColor="accent2"/>
                    <w:sz w:val="14"/>
                    <w:szCs w:val="14"/>
                  </w:rPr>
                  <w:t>4-Y DR</w:t>
                </w:r>
              </w:p>
            </w:tc>
            <w:tc>
              <w:tcPr>
                <w:tcW w:w="413" w:type="pct"/>
                <w:tcBorders>
                  <w:top w:val="single" w:sz="12" w:space="0" w:color="AFAFB4" w:themeColor="accent4"/>
                </w:tcBorders>
                <w:shd w:val="clear" w:color="auto" w:fill="FFFFFF" w:themeFill="background2"/>
                <w:vAlign w:val="center"/>
              </w:tcPr>
              <w:p w14:paraId="09A85F8E" w14:textId="77777777" w:rsidR="00C02410" w:rsidRPr="00B80369" w:rsidRDefault="00C02410" w:rsidP="00B80369">
                <w:pPr>
                  <w:spacing w:before="0" w:line="240" w:lineRule="auto"/>
                  <w:jc w:val="center"/>
                  <w:rPr>
                    <w:b/>
                    <w:color w:val="33A1AB" w:themeColor="accent2"/>
                    <w:sz w:val="14"/>
                    <w:szCs w:val="14"/>
                  </w:rPr>
                </w:pPr>
                <w:r w:rsidRPr="00B80369">
                  <w:rPr>
                    <w:b/>
                    <w:color w:val="33A1AB" w:themeColor="accent2"/>
                    <w:sz w:val="14"/>
                    <w:szCs w:val="14"/>
                  </w:rPr>
                  <w:t>5-Y DR</w:t>
                </w:r>
              </w:p>
            </w:tc>
          </w:tr>
          <w:tr w:rsidR="00C02410" w:rsidRPr="00B80369" w14:paraId="2E6FF014"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445E303D" w14:textId="77777777" w:rsidR="00C02410" w:rsidRPr="00B80369" w:rsidRDefault="00C02410"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A1.1</w:t>
                </w:r>
              </w:p>
            </w:tc>
            <w:tc>
              <w:tcPr>
                <w:tcW w:w="491" w:type="pct"/>
                <w:shd w:val="clear" w:color="auto" w:fill="FFFFFF" w:themeFill="background2"/>
                <w:tcMar>
                  <w:top w:w="60" w:type="dxa"/>
                  <w:left w:w="114" w:type="dxa"/>
                  <w:bottom w:w="60" w:type="dxa"/>
                  <w:right w:w="114" w:type="dxa"/>
                </w:tcMar>
                <w:vAlign w:val="center"/>
              </w:tcPr>
              <w:p w14:paraId="6C6D5D4A" w14:textId="3DE59748"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w:t>
                </w:r>
              </w:p>
            </w:tc>
            <w:tc>
              <w:tcPr>
                <w:tcW w:w="417" w:type="pct"/>
                <w:shd w:val="clear" w:color="auto" w:fill="FFFFFF" w:themeFill="background2"/>
                <w:tcMar>
                  <w:top w:w="60" w:type="dxa"/>
                  <w:left w:w="114" w:type="dxa"/>
                  <w:bottom w:w="60" w:type="dxa"/>
                  <w:right w:w="114" w:type="dxa"/>
                </w:tcMar>
                <w:vAlign w:val="center"/>
              </w:tcPr>
              <w:p w14:paraId="3AA0C483" w14:textId="38FE9FB2"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449FAD55" w14:textId="31D0557F"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3CC96441" w14:textId="033F5383"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1517EB4E" w14:textId="7AB39DA2"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51AAD312" w14:textId="15357949"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21703B2C" w14:textId="5C9CE832"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699AD475" w14:textId="20175437"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73D585A9" w14:textId="262AEBCA"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61759995" w14:textId="57F93703"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3" w:type="pct"/>
                <w:shd w:val="clear" w:color="auto" w:fill="FFFFFF" w:themeFill="background2"/>
                <w:vAlign w:val="center"/>
              </w:tcPr>
              <w:p w14:paraId="7791C643" w14:textId="05A7B831"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r>
          <w:tr w:rsidR="00C02410" w:rsidRPr="00B80369" w14:paraId="02143264"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1759ECEF" w14:textId="77777777" w:rsidR="00C02410" w:rsidRPr="00B80369" w:rsidRDefault="00C02410"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A1.2</w:t>
                </w:r>
              </w:p>
            </w:tc>
            <w:tc>
              <w:tcPr>
                <w:tcW w:w="491" w:type="pct"/>
                <w:shd w:val="clear" w:color="auto" w:fill="FFFFFF" w:themeFill="background2"/>
                <w:tcMar>
                  <w:top w:w="60" w:type="dxa"/>
                  <w:left w:w="114" w:type="dxa"/>
                  <w:bottom w:w="60" w:type="dxa"/>
                  <w:right w:w="114" w:type="dxa"/>
                </w:tcMar>
                <w:vAlign w:val="center"/>
              </w:tcPr>
              <w:p w14:paraId="6FE3531B" w14:textId="76804CDA"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22</w:t>
                </w:r>
              </w:p>
            </w:tc>
            <w:tc>
              <w:tcPr>
                <w:tcW w:w="417" w:type="pct"/>
                <w:shd w:val="clear" w:color="auto" w:fill="FFFFFF" w:themeFill="background2"/>
                <w:tcMar>
                  <w:top w:w="60" w:type="dxa"/>
                  <w:left w:w="114" w:type="dxa"/>
                  <w:bottom w:w="60" w:type="dxa"/>
                  <w:right w:w="114" w:type="dxa"/>
                </w:tcMar>
                <w:vAlign w:val="center"/>
              </w:tcPr>
              <w:p w14:paraId="7EF81B2E" w14:textId="34F63388"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0F37B4F7" w14:textId="46AF8CCC"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672627F1" w14:textId="7A5D6332"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3DD73BF1" w14:textId="5DEF9160"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05235BE7" w14:textId="4F094CE8"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38896E1B" w14:textId="2F2BA70D"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0B51DCB3" w14:textId="7D75AB54"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5E8C7F2A" w14:textId="32F30144"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4EF75AAE" w14:textId="066DE6B2"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3" w:type="pct"/>
                <w:shd w:val="clear" w:color="auto" w:fill="FFFFFF" w:themeFill="background2"/>
                <w:vAlign w:val="center"/>
              </w:tcPr>
              <w:p w14:paraId="025E98AF" w14:textId="1B5E39BE"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r>
          <w:tr w:rsidR="00C02410" w:rsidRPr="00B80369" w14:paraId="498413A2"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5BDDDE60" w14:textId="77777777" w:rsidR="00C02410" w:rsidRPr="00B80369" w:rsidRDefault="00C02410"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A1.3</w:t>
                </w:r>
              </w:p>
            </w:tc>
            <w:tc>
              <w:tcPr>
                <w:tcW w:w="491" w:type="pct"/>
                <w:shd w:val="clear" w:color="auto" w:fill="FFFFFF" w:themeFill="background2"/>
                <w:tcMar>
                  <w:top w:w="60" w:type="dxa"/>
                  <w:left w:w="114" w:type="dxa"/>
                  <w:bottom w:w="60" w:type="dxa"/>
                  <w:right w:w="114" w:type="dxa"/>
                </w:tcMar>
                <w:vAlign w:val="center"/>
              </w:tcPr>
              <w:p w14:paraId="69A8F49D" w14:textId="2ACF101D"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81</w:t>
                </w:r>
              </w:p>
            </w:tc>
            <w:tc>
              <w:tcPr>
                <w:tcW w:w="417" w:type="pct"/>
                <w:shd w:val="clear" w:color="auto" w:fill="FFFFFF" w:themeFill="background2"/>
                <w:tcMar>
                  <w:top w:w="60" w:type="dxa"/>
                  <w:left w:w="114" w:type="dxa"/>
                  <w:bottom w:w="60" w:type="dxa"/>
                  <w:right w:w="114" w:type="dxa"/>
                </w:tcMar>
                <w:vAlign w:val="center"/>
              </w:tcPr>
              <w:p w14:paraId="11BD2B3E" w14:textId="64364794"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213094D6" w14:textId="66041E0E"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5FCA88C4" w14:textId="2D956624"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77EDBBCA" w14:textId="549D1C31"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764A267F" w14:textId="43073FE5"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15B3C88E" w14:textId="7724F64F"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2D21B126" w14:textId="7F691898"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0095D62D" w14:textId="4EB14641"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0F4627E2" w14:textId="31A378EA"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3" w:type="pct"/>
                <w:shd w:val="clear" w:color="auto" w:fill="FFFFFF" w:themeFill="background2"/>
                <w:vAlign w:val="center"/>
              </w:tcPr>
              <w:p w14:paraId="1174D109" w14:textId="49DDE086"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r>
          <w:tr w:rsidR="00C02410" w:rsidRPr="00B80369" w14:paraId="50AC8255"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6AF20960" w14:textId="77777777" w:rsidR="00C02410" w:rsidRPr="00B80369" w:rsidRDefault="00C02410"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A2.1</w:t>
                </w:r>
              </w:p>
            </w:tc>
            <w:tc>
              <w:tcPr>
                <w:tcW w:w="491" w:type="pct"/>
                <w:shd w:val="clear" w:color="auto" w:fill="FFFFFF" w:themeFill="background2"/>
                <w:tcMar>
                  <w:top w:w="60" w:type="dxa"/>
                  <w:left w:w="114" w:type="dxa"/>
                  <w:bottom w:w="60" w:type="dxa"/>
                  <w:right w:w="114" w:type="dxa"/>
                </w:tcMar>
                <w:vAlign w:val="center"/>
              </w:tcPr>
              <w:p w14:paraId="625E9006" w14:textId="46B83939"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177</w:t>
                </w:r>
              </w:p>
            </w:tc>
            <w:tc>
              <w:tcPr>
                <w:tcW w:w="417" w:type="pct"/>
                <w:shd w:val="clear" w:color="auto" w:fill="FFFFFF" w:themeFill="background2"/>
                <w:tcMar>
                  <w:top w:w="60" w:type="dxa"/>
                  <w:left w:w="114" w:type="dxa"/>
                  <w:bottom w:w="60" w:type="dxa"/>
                  <w:right w:w="114" w:type="dxa"/>
                </w:tcMar>
                <w:vAlign w:val="center"/>
              </w:tcPr>
              <w:p w14:paraId="60C82299" w14:textId="2C98D721"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78E4416A" w14:textId="5816C979"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67AE66AF" w14:textId="01C3A61D"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28A6260F" w14:textId="25BEFBF0"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090EE92A" w14:textId="216845D9"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1C13B053" w14:textId="638537C6"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3A601F3E" w14:textId="4FD5B401"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149B651E" w14:textId="1F397C85"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2882F057" w14:textId="488B600B"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3" w:type="pct"/>
                <w:shd w:val="clear" w:color="auto" w:fill="FFFFFF" w:themeFill="background2"/>
                <w:vAlign w:val="center"/>
              </w:tcPr>
              <w:p w14:paraId="424AF52C" w14:textId="13EF4B84"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r>
          <w:tr w:rsidR="00C02410" w:rsidRPr="00B80369" w14:paraId="1719135D"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0510DF8F" w14:textId="77777777" w:rsidR="00C02410" w:rsidRPr="00B80369" w:rsidRDefault="00C02410"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A2.2</w:t>
                </w:r>
              </w:p>
            </w:tc>
            <w:tc>
              <w:tcPr>
                <w:tcW w:w="491" w:type="pct"/>
                <w:shd w:val="clear" w:color="auto" w:fill="FFFFFF" w:themeFill="background2"/>
                <w:tcMar>
                  <w:top w:w="60" w:type="dxa"/>
                  <w:left w:w="114" w:type="dxa"/>
                  <w:bottom w:w="60" w:type="dxa"/>
                  <w:right w:w="114" w:type="dxa"/>
                </w:tcMar>
                <w:vAlign w:val="center"/>
              </w:tcPr>
              <w:p w14:paraId="735D1AE8" w14:textId="122174F5"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617</w:t>
                </w:r>
              </w:p>
            </w:tc>
            <w:tc>
              <w:tcPr>
                <w:tcW w:w="417" w:type="pct"/>
                <w:shd w:val="clear" w:color="auto" w:fill="FFFFFF" w:themeFill="background2"/>
                <w:tcMar>
                  <w:top w:w="60" w:type="dxa"/>
                  <w:left w:w="114" w:type="dxa"/>
                  <w:bottom w:w="60" w:type="dxa"/>
                  <w:right w:w="114" w:type="dxa"/>
                </w:tcMar>
                <w:vAlign w:val="center"/>
              </w:tcPr>
              <w:p w14:paraId="55DE2BB1" w14:textId="4FD032A9"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473F176B" w14:textId="51F793F7"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w:t>
                </w:r>
              </w:p>
            </w:tc>
            <w:tc>
              <w:tcPr>
                <w:tcW w:w="417" w:type="pct"/>
                <w:shd w:val="clear" w:color="auto" w:fill="FFFFFF" w:themeFill="background2"/>
                <w:vAlign w:val="center"/>
              </w:tcPr>
              <w:p w14:paraId="5A722FD9" w14:textId="34AC5E85"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w:t>
                </w:r>
              </w:p>
            </w:tc>
            <w:tc>
              <w:tcPr>
                <w:tcW w:w="417" w:type="pct"/>
                <w:shd w:val="clear" w:color="auto" w:fill="FFFFFF" w:themeFill="background2"/>
                <w:vAlign w:val="center"/>
              </w:tcPr>
              <w:p w14:paraId="69A278B6" w14:textId="0F3F8A8C"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w:t>
                </w:r>
              </w:p>
            </w:tc>
            <w:tc>
              <w:tcPr>
                <w:tcW w:w="417" w:type="pct"/>
                <w:shd w:val="clear" w:color="auto" w:fill="FFFFFF" w:themeFill="background2"/>
                <w:vAlign w:val="center"/>
              </w:tcPr>
              <w:p w14:paraId="18FDD901" w14:textId="4EEF1967"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w:t>
                </w:r>
              </w:p>
            </w:tc>
            <w:tc>
              <w:tcPr>
                <w:tcW w:w="417" w:type="pct"/>
                <w:shd w:val="clear" w:color="auto" w:fill="FFFFFF" w:themeFill="background2"/>
                <w:vAlign w:val="center"/>
              </w:tcPr>
              <w:p w14:paraId="5D7AAAA4" w14:textId="4FD85F53"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45F14705" w14:textId="06E73F4D"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0.16%</w:t>
                </w:r>
              </w:p>
            </w:tc>
            <w:tc>
              <w:tcPr>
                <w:tcW w:w="417" w:type="pct"/>
                <w:shd w:val="clear" w:color="auto" w:fill="FFFFFF" w:themeFill="background2"/>
                <w:vAlign w:val="center"/>
              </w:tcPr>
              <w:p w14:paraId="543E64CE" w14:textId="2F58EC9E"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0.32%</w:t>
                </w:r>
              </w:p>
            </w:tc>
            <w:tc>
              <w:tcPr>
                <w:tcW w:w="417" w:type="pct"/>
                <w:shd w:val="clear" w:color="auto" w:fill="FFFFFF" w:themeFill="background2"/>
                <w:vAlign w:val="center"/>
              </w:tcPr>
              <w:p w14:paraId="78AE1271" w14:textId="49C014DA"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0.32%</w:t>
                </w:r>
              </w:p>
            </w:tc>
            <w:tc>
              <w:tcPr>
                <w:tcW w:w="413" w:type="pct"/>
                <w:shd w:val="clear" w:color="auto" w:fill="FFFFFF" w:themeFill="background2"/>
                <w:vAlign w:val="center"/>
              </w:tcPr>
              <w:p w14:paraId="49067090" w14:textId="5CE3D2AF"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0.32%</w:t>
                </w:r>
              </w:p>
            </w:tc>
          </w:tr>
          <w:tr w:rsidR="00C02410" w:rsidRPr="00B80369" w14:paraId="0B330AC1"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3808A277" w14:textId="77777777" w:rsidR="00C02410" w:rsidRPr="00B80369" w:rsidRDefault="00C02410"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A3.1</w:t>
                </w:r>
              </w:p>
            </w:tc>
            <w:tc>
              <w:tcPr>
                <w:tcW w:w="491" w:type="pct"/>
                <w:shd w:val="clear" w:color="auto" w:fill="FFFFFF" w:themeFill="background2"/>
                <w:tcMar>
                  <w:top w:w="60" w:type="dxa"/>
                  <w:left w:w="114" w:type="dxa"/>
                  <w:bottom w:w="60" w:type="dxa"/>
                  <w:right w:w="114" w:type="dxa"/>
                </w:tcMar>
                <w:vAlign w:val="center"/>
              </w:tcPr>
              <w:p w14:paraId="3E4D743D" w14:textId="14B4158D"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2,248</w:t>
                </w:r>
              </w:p>
            </w:tc>
            <w:tc>
              <w:tcPr>
                <w:tcW w:w="417" w:type="pct"/>
                <w:shd w:val="clear" w:color="auto" w:fill="FFFFFF" w:themeFill="background2"/>
                <w:tcMar>
                  <w:top w:w="60" w:type="dxa"/>
                  <w:left w:w="114" w:type="dxa"/>
                  <w:bottom w:w="60" w:type="dxa"/>
                  <w:right w:w="114" w:type="dxa"/>
                </w:tcMar>
                <w:vAlign w:val="center"/>
              </w:tcPr>
              <w:p w14:paraId="3C712D2A" w14:textId="5F8C5AA2"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5CDE7867" w14:textId="4547B39E"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w:t>
                </w:r>
              </w:p>
            </w:tc>
            <w:tc>
              <w:tcPr>
                <w:tcW w:w="417" w:type="pct"/>
                <w:shd w:val="clear" w:color="auto" w:fill="FFFFFF" w:themeFill="background2"/>
                <w:vAlign w:val="center"/>
              </w:tcPr>
              <w:p w14:paraId="5DBDE095" w14:textId="45366790"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w:t>
                </w:r>
              </w:p>
            </w:tc>
            <w:tc>
              <w:tcPr>
                <w:tcW w:w="417" w:type="pct"/>
                <w:shd w:val="clear" w:color="auto" w:fill="FFFFFF" w:themeFill="background2"/>
                <w:vAlign w:val="center"/>
              </w:tcPr>
              <w:p w14:paraId="585D93D0" w14:textId="7037017B"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12</w:t>
                </w:r>
              </w:p>
            </w:tc>
            <w:tc>
              <w:tcPr>
                <w:tcW w:w="417" w:type="pct"/>
                <w:shd w:val="clear" w:color="auto" w:fill="FFFFFF" w:themeFill="background2"/>
                <w:vAlign w:val="center"/>
              </w:tcPr>
              <w:p w14:paraId="18FC6AAE" w14:textId="13930F65"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12</w:t>
                </w:r>
              </w:p>
            </w:tc>
            <w:tc>
              <w:tcPr>
                <w:tcW w:w="417" w:type="pct"/>
                <w:shd w:val="clear" w:color="auto" w:fill="FFFFFF" w:themeFill="background2"/>
                <w:vAlign w:val="center"/>
              </w:tcPr>
              <w:p w14:paraId="26956011" w14:textId="364FF5E0"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4B933142" w14:textId="52465C26"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0.22%</w:t>
                </w:r>
              </w:p>
            </w:tc>
            <w:tc>
              <w:tcPr>
                <w:tcW w:w="417" w:type="pct"/>
                <w:shd w:val="clear" w:color="auto" w:fill="FFFFFF" w:themeFill="background2"/>
                <w:vAlign w:val="center"/>
              </w:tcPr>
              <w:p w14:paraId="68D59CF2" w14:textId="623DD4A3"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0.31%</w:t>
                </w:r>
              </w:p>
            </w:tc>
            <w:tc>
              <w:tcPr>
                <w:tcW w:w="417" w:type="pct"/>
                <w:shd w:val="clear" w:color="auto" w:fill="FFFFFF" w:themeFill="background2"/>
                <w:vAlign w:val="center"/>
              </w:tcPr>
              <w:p w14:paraId="65F2E64C" w14:textId="748965E0"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0.53%</w:t>
                </w:r>
              </w:p>
            </w:tc>
            <w:tc>
              <w:tcPr>
                <w:tcW w:w="413" w:type="pct"/>
                <w:shd w:val="clear" w:color="auto" w:fill="FFFFFF" w:themeFill="background2"/>
                <w:vAlign w:val="center"/>
              </w:tcPr>
              <w:p w14:paraId="3279F183" w14:textId="2DAC0908"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0.53%</w:t>
                </w:r>
              </w:p>
            </w:tc>
          </w:tr>
          <w:tr w:rsidR="00C02410" w:rsidRPr="00B80369" w14:paraId="05E09121"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403051A0" w14:textId="77777777" w:rsidR="00C02410" w:rsidRPr="00B80369" w:rsidRDefault="00C02410"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B1.1</w:t>
                </w:r>
              </w:p>
            </w:tc>
            <w:tc>
              <w:tcPr>
                <w:tcW w:w="491" w:type="pct"/>
                <w:shd w:val="clear" w:color="auto" w:fill="FFFFFF" w:themeFill="background2"/>
                <w:tcMar>
                  <w:top w:w="60" w:type="dxa"/>
                  <w:left w:w="114" w:type="dxa"/>
                  <w:bottom w:w="60" w:type="dxa"/>
                  <w:right w:w="114" w:type="dxa"/>
                </w:tcMar>
                <w:vAlign w:val="center"/>
              </w:tcPr>
              <w:p w14:paraId="18B833DB" w14:textId="1B1CFA0D"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3,784</w:t>
                </w:r>
              </w:p>
            </w:tc>
            <w:tc>
              <w:tcPr>
                <w:tcW w:w="417" w:type="pct"/>
                <w:shd w:val="clear" w:color="auto" w:fill="FFFFFF" w:themeFill="background2"/>
                <w:tcMar>
                  <w:top w:w="60" w:type="dxa"/>
                  <w:left w:w="114" w:type="dxa"/>
                  <w:bottom w:w="60" w:type="dxa"/>
                  <w:right w:w="114" w:type="dxa"/>
                </w:tcMar>
                <w:vAlign w:val="center"/>
              </w:tcPr>
              <w:p w14:paraId="6DAA0C08" w14:textId="5425C29E"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w:t>
                </w:r>
              </w:p>
            </w:tc>
            <w:tc>
              <w:tcPr>
                <w:tcW w:w="417" w:type="pct"/>
                <w:shd w:val="clear" w:color="auto" w:fill="FFFFFF" w:themeFill="background2"/>
                <w:vAlign w:val="center"/>
              </w:tcPr>
              <w:p w14:paraId="2F9C86F1" w14:textId="120B00EF"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15</w:t>
                </w:r>
              </w:p>
            </w:tc>
            <w:tc>
              <w:tcPr>
                <w:tcW w:w="417" w:type="pct"/>
                <w:shd w:val="clear" w:color="auto" w:fill="FFFFFF" w:themeFill="background2"/>
                <w:vAlign w:val="center"/>
              </w:tcPr>
              <w:p w14:paraId="22F1A518" w14:textId="7735C3B0"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32</w:t>
                </w:r>
              </w:p>
            </w:tc>
            <w:tc>
              <w:tcPr>
                <w:tcW w:w="417" w:type="pct"/>
                <w:shd w:val="clear" w:color="auto" w:fill="FFFFFF" w:themeFill="background2"/>
                <w:vAlign w:val="center"/>
              </w:tcPr>
              <w:p w14:paraId="2B573F85" w14:textId="15B969D4"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45</w:t>
                </w:r>
              </w:p>
            </w:tc>
            <w:tc>
              <w:tcPr>
                <w:tcW w:w="417" w:type="pct"/>
                <w:shd w:val="clear" w:color="auto" w:fill="FFFFFF" w:themeFill="background2"/>
                <w:vAlign w:val="center"/>
              </w:tcPr>
              <w:p w14:paraId="4D2C94D4" w14:textId="5D7A4D92"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54</w:t>
                </w:r>
              </w:p>
            </w:tc>
            <w:tc>
              <w:tcPr>
                <w:tcW w:w="417" w:type="pct"/>
                <w:shd w:val="clear" w:color="auto" w:fill="FFFFFF" w:themeFill="background2"/>
                <w:vAlign w:val="center"/>
              </w:tcPr>
              <w:p w14:paraId="425655BE" w14:textId="44EDC661"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0.08%</w:t>
                </w:r>
              </w:p>
            </w:tc>
            <w:tc>
              <w:tcPr>
                <w:tcW w:w="417" w:type="pct"/>
                <w:shd w:val="clear" w:color="auto" w:fill="FFFFFF" w:themeFill="background2"/>
                <w:vAlign w:val="center"/>
              </w:tcPr>
              <w:p w14:paraId="052433DE" w14:textId="690358E4"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0.40%</w:t>
                </w:r>
              </w:p>
            </w:tc>
            <w:tc>
              <w:tcPr>
                <w:tcW w:w="417" w:type="pct"/>
                <w:shd w:val="clear" w:color="auto" w:fill="FFFFFF" w:themeFill="background2"/>
                <w:vAlign w:val="center"/>
              </w:tcPr>
              <w:p w14:paraId="58E676F5" w14:textId="0E0588C6"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0.85%</w:t>
                </w:r>
              </w:p>
            </w:tc>
            <w:tc>
              <w:tcPr>
                <w:tcW w:w="417" w:type="pct"/>
                <w:shd w:val="clear" w:color="auto" w:fill="FFFFFF" w:themeFill="background2"/>
                <w:vAlign w:val="center"/>
              </w:tcPr>
              <w:p w14:paraId="1C6E6E65" w14:textId="530A3613"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1.19%</w:t>
                </w:r>
              </w:p>
            </w:tc>
            <w:tc>
              <w:tcPr>
                <w:tcW w:w="413" w:type="pct"/>
                <w:shd w:val="clear" w:color="auto" w:fill="FFFFFF" w:themeFill="background2"/>
                <w:vAlign w:val="center"/>
              </w:tcPr>
              <w:p w14:paraId="538DE6EA" w14:textId="4B259AF4"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1.43%</w:t>
                </w:r>
              </w:p>
            </w:tc>
          </w:tr>
          <w:tr w:rsidR="00C02410" w:rsidRPr="00B80369" w14:paraId="4D10BFE0"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132C449B" w14:textId="77777777" w:rsidR="00C02410" w:rsidRPr="00B80369" w:rsidRDefault="00C02410"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B1.2</w:t>
                </w:r>
              </w:p>
            </w:tc>
            <w:tc>
              <w:tcPr>
                <w:tcW w:w="491" w:type="pct"/>
                <w:shd w:val="clear" w:color="auto" w:fill="FFFFFF" w:themeFill="background2"/>
                <w:tcMar>
                  <w:top w:w="60" w:type="dxa"/>
                  <w:left w:w="114" w:type="dxa"/>
                  <w:bottom w:w="60" w:type="dxa"/>
                  <w:right w:w="114" w:type="dxa"/>
                </w:tcMar>
                <w:vAlign w:val="center"/>
              </w:tcPr>
              <w:p w14:paraId="2450A8D4" w14:textId="7C319EE7"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5,331</w:t>
                </w:r>
              </w:p>
            </w:tc>
            <w:tc>
              <w:tcPr>
                <w:tcW w:w="417" w:type="pct"/>
                <w:shd w:val="clear" w:color="auto" w:fill="FFFFFF" w:themeFill="background2"/>
                <w:tcMar>
                  <w:top w:w="60" w:type="dxa"/>
                  <w:left w:w="114" w:type="dxa"/>
                  <w:bottom w:w="60" w:type="dxa"/>
                  <w:right w:w="114" w:type="dxa"/>
                </w:tcMar>
                <w:vAlign w:val="center"/>
              </w:tcPr>
              <w:p w14:paraId="4569A189" w14:textId="126476E9"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16</w:t>
                </w:r>
              </w:p>
            </w:tc>
            <w:tc>
              <w:tcPr>
                <w:tcW w:w="417" w:type="pct"/>
                <w:shd w:val="clear" w:color="auto" w:fill="FFFFFF" w:themeFill="background2"/>
                <w:vAlign w:val="center"/>
              </w:tcPr>
              <w:p w14:paraId="0066DA6B" w14:textId="331E1F71"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48</w:t>
                </w:r>
              </w:p>
            </w:tc>
            <w:tc>
              <w:tcPr>
                <w:tcW w:w="417" w:type="pct"/>
                <w:shd w:val="clear" w:color="auto" w:fill="FFFFFF" w:themeFill="background2"/>
                <w:vAlign w:val="center"/>
              </w:tcPr>
              <w:p w14:paraId="04D5DF97" w14:textId="61BB55AE"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82</w:t>
                </w:r>
              </w:p>
            </w:tc>
            <w:tc>
              <w:tcPr>
                <w:tcW w:w="417" w:type="pct"/>
                <w:shd w:val="clear" w:color="auto" w:fill="FFFFFF" w:themeFill="background2"/>
                <w:vAlign w:val="center"/>
              </w:tcPr>
              <w:p w14:paraId="1BEF577C" w14:textId="351AB02E"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114</w:t>
                </w:r>
              </w:p>
            </w:tc>
            <w:tc>
              <w:tcPr>
                <w:tcW w:w="417" w:type="pct"/>
                <w:shd w:val="clear" w:color="auto" w:fill="FFFFFF" w:themeFill="background2"/>
                <w:vAlign w:val="center"/>
              </w:tcPr>
              <w:p w14:paraId="47FBF7AA" w14:textId="128C09BF"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137</w:t>
                </w:r>
              </w:p>
            </w:tc>
            <w:tc>
              <w:tcPr>
                <w:tcW w:w="417" w:type="pct"/>
                <w:shd w:val="clear" w:color="auto" w:fill="FFFFFF" w:themeFill="background2"/>
                <w:vAlign w:val="center"/>
              </w:tcPr>
              <w:p w14:paraId="28591096" w14:textId="468738DA"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0.30%</w:t>
                </w:r>
              </w:p>
            </w:tc>
            <w:tc>
              <w:tcPr>
                <w:tcW w:w="417" w:type="pct"/>
                <w:shd w:val="clear" w:color="auto" w:fill="FFFFFF" w:themeFill="background2"/>
                <w:vAlign w:val="center"/>
              </w:tcPr>
              <w:p w14:paraId="7BDE01C9" w14:textId="388DB74E"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0.90%</w:t>
                </w:r>
              </w:p>
            </w:tc>
            <w:tc>
              <w:tcPr>
                <w:tcW w:w="417" w:type="pct"/>
                <w:shd w:val="clear" w:color="auto" w:fill="FFFFFF" w:themeFill="background2"/>
                <w:vAlign w:val="center"/>
              </w:tcPr>
              <w:p w14:paraId="0EF77E2C" w14:textId="26976F82"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1.54%</w:t>
                </w:r>
              </w:p>
            </w:tc>
            <w:tc>
              <w:tcPr>
                <w:tcW w:w="417" w:type="pct"/>
                <w:shd w:val="clear" w:color="auto" w:fill="FFFFFF" w:themeFill="background2"/>
                <w:vAlign w:val="center"/>
              </w:tcPr>
              <w:p w14:paraId="47B02517" w14:textId="27A266C5"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2.14%</w:t>
                </w:r>
              </w:p>
            </w:tc>
            <w:tc>
              <w:tcPr>
                <w:tcW w:w="413" w:type="pct"/>
                <w:shd w:val="clear" w:color="auto" w:fill="FFFFFF" w:themeFill="background2"/>
                <w:vAlign w:val="center"/>
              </w:tcPr>
              <w:p w14:paraId="4B8BCBA8" w14:textId="60EC8624"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2.57%</w:t>
                </w:r>
              </w:p>
            </w:tc>
          </w:tr>
          <w:tr w:rsidR="00C02410" w:rsidRPr="00B80369" w14:paraId="0EF8ABDD"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169DD808" w14:textId="77777777" w:rsidR="00C02410" w:rsidRPr="00B80369" w:rsidRDefault="00C02410"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B2.1</w:t>
                </w:r>
              </w:p>
            </w:tc>
            <w:tc>
              <w:tcPr>
                <w:tcW w:w="491" w:type="pct"/>
                <w:shd w:val="clear" w:color="auto" w:fill="FFFFFF" w:themeFill="background2"/>
                <w:tcMar>
                  <w:top w:w="60" w:type="dxa"/>
                  <w:left w:w="114" w:type="dxa"/>
                  <w:bottom w:w="60" w:type="dxa"/>
                  <w:right w:w="114" w:type="dxa"/>
                </w:tcMar>
                <w:vAlign w:val="center"/>
              </w:tcPr>
              <w:p w14:paraId="407574B6" w14:textId="5CC3D5B5"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6,517</w:t>
                </w:r>
              </w:p>
            </w:tc>
            <w:tc>
              <w:tcPr>
                <w:tcW w:w="417" w:type="pct"/>
                <w:shd w:val="clear" w:color="auto" w:fill="FFFFFF" w:themeFill="background2"/>
                <w:tcMar>
                  <w:top w:w="60" w:type="dxa"/>
                  <w:left w:w="114" w:type="dxa"/>
                  <w:bottom w:w="60" w:type="dxa"/>
                  <w:right w:w="114" w:type="dxa"/>
                </w:tcMar>
                <w:vAlign w:val="center"/>
              </w:tcPr>
              <w:p w14:paraId="750B40BB" w14:textId="407F1E67"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49</w:t>
                </w:r>
              </w:p>
            </w:tc>
            <w:tc>
              <w:tcPr>
                <w:tcW w:w="417" w:type="pct"/>
                <w:shd w:val="clear" w:color="auto" w:fill="FFFFFF" w:themeFill="background2"/>
                <w:vAlign w:val="center"/>
              </w:tcPr>
              <w:p w14:paraId="4BBF453D" w14:textId="065B8653"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142</w:t>
                </w:r>
              </w:p>
            </w:tc>
            <w:tc>
              <w:tcPr>
                <w:tcW w:w="417" w:type="pct"/>
                <w:shd w:val="clear" w:color="auto" w:fill="FFFFFF" w:themeFill="background2"/>
                <w:vAlign w:val="center"/>
              </w:tcPr>
              <w:p w14:paraId="03D00004" w14:textId="38935B8A"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221</w:t>
                </w:r>
              </w:p>
            </w:tc>
            <w:tc>
              <w:tcPr>
                <w:tcW w:w="417" w:type="pct"/>
                <w:shd w:val="clear" w:color="auto" w:fill="FFFFFF" w:themeFill="background2"/>
                <w:vAlign w:val="center"/>
              </w:tcPr>
              <w:p w14:paraId="5D9D5E89" w14:textId="0B2EEFD0"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273</w:t>
                </w:r>
              </w:p>
            </w:tc>
            <w:tc>
              <w:tcPr>
                <w:tcW w:w="417" w:type="pct"/>
                <w:shd w:val="clear" w:color="auto" w:fill="FFFFFF" w:themeFill="background2"/>
                <w:vAlign w:val="center"/>
              </w:tcPr>
              <w:p w14:paraId="794099BD" w14:textId="3C08FF72"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315</w:t>
                </w:r>
              </w:p>
            </w:tc>
            <w:tc>
              <w:tcPr>
                <w:tcW w:w="417" w:type="pct"/>
                <w:shd w:val="clear" w:color="auto" w:fill="FFFFFF" w:themeFill="background2"/>
                <w:vAlign w:val="center"/>
              </w:tcPr>
              <w:p w14:paraId="3E56DE0C" w14:textId="6B767F4E"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0.75%</w:t>
                </w:r>
              </w:p>
            </w:tc>
            <w:tc>
              <w:tcPr>
                <w:tcW w:w="417" w:type="pct"/>
                <w:shd w:val="clear" w:color="auto" w:fill="FFFFFF" w:themeFill="background2"/>
                <w:vAlign w:val="center"/>
              </w:tcPr>
              <w:p w14:paraId="25914BE7" w14:textId="378DC355" w:rsidR="00C02410" w:rsidRPr="00B80369" w:rsidRDefault="00C02410"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2.18%</w:t>
                </w:r>
              </w:p>
            </w:tc>
            <w:tc>
              <w:tcPr>
                <w:tcW w:w="417" w:type="pct"/>
                <w:shd w:val="clear" w:color="auto" w:fill="FFFFFF" w:themeFill="background2"/>
                <w:vAlign w:val="center"/>
              </w:tcPr>
              <w:p w14:paraId="521992B7" w14:textId="02DAAA95" w:rsidR="00C02410" w:rsidRPr="00B80369" w:rsidRDefault="00C02410"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3.39%</w:t>
                </w:r>
              </w:p>
            </w:tc>
            <w:tc>
              <w:tcPr>
                <w:tcW w:w="417" w:type="pct"/>
                <w:shd w:val="clear" w:color="auto" w:fill="FFFFFF" w:themeFill="background2"/>
                <w:vAlign w:val="center"/>
              </w:tcPr>
              <w:p w14:paraId="3A1E605B" w14:textId="2C2A7BB8" w:rsidR="00C02410" w:rsidRPr="00B80369" w:rsidRDefault="00C02410"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4.19%</w:t>
                </w:r>
              </w:p>
            </w:tc>
            <w:tc>
              <w:tcPr>
                <w:tcW w:w="413" w:type="pct"/>
                <w:shd w:val="clear" w:color="auto" w:fill="FFFFFF" w:themeFill="background2"/>
                <w:vAlign w:val="center"/>
              </w:tcPr>
              <w:p w14:paraId="3A634FC9" w14:textId="452DBB18" w:rsidR="00C02410" w:rsidRPr="00B80369" w:rsidRDefault="00C02410"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4.83%</w:t>
                </w:r>
              </w:p>
            </w:tc>
          </w:tr>
          <w:tr w:rsidR="00C02410" w:rsidRPr="00B80369" w14:paraId="67E83BF2"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74E5E897" w14:textId="77777777" w:rsidR="00C02410" w:rsidRPr="00B80369" w:rsidRDefault="00C02410"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B2.2</w:t>
                </w:r>
              </w:p>
            </w:tc>
            <w:tc>
              <w:tcPr>
                <w:tcW w:w="491" w:type="pct"/>
                <w:shd w:val="clear" w:color="auto" w:fill="FFFFFF" w:themeFill="background2"/>
                <w:tcMar>
                  <w:top w:w="60" w:type="dxa"/>
                  <w:left w:w="114" w:type="dxa"/>
                  <w:bottom w:w="60" w:type="dxa"/>
                  <w:right w:w="114" w:type="dxa"/>
                </w:tcMar>
                <w:vAlign w:val="center"/>
              </w:tcPr>
              <w:p w14:paraId="3318E89C" w14:textId="7B90EA83"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3,420</w:t>
                </w:r>
              </w:p>
            </w:tc>
            <w:tc>
              <w:tcPr>
                <w:tcW w:w="417" w:type="pct"/>
                <w:shd w:val="clear" w:color="auto" w:fill="FFFFFF" w:themeFill="background2"/>
                <w:tcMar>
                  <w:top w:w="60" w:type="dxa"/>
                  <w:left w:w="114" w:type="dxa"/>
                  <w:bottom w:w="60" w:type="dxa"/>
                  <w:right w:w="114" w:type="dxa"/>
                </w:tcMar>
                <w:vAlign w:val="center"/>
              </w:tcPr>
              <w:p w14:paraId="5DA076F8" w14:textId="652AB7DA"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48</w:t>
                </w:r>
              </w:p>
            </w:tc>
            <w:tc>
              <w:tcPr>
                <w:tcW w:w="417" w:type="pct"/>
                <w:shd w:val="clear" w:color="auto" w:fill="FFFFFF" w:themeFill="background2"/>
                <w:vAlign w:val="center"/>
              </w:tcPr>
              <w:p w14:paraId="7001012D" w14:textId="428356A6"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116</w:t>
                </w:r>
              </w:p>
            </w:tc>
            <w:tc>
              <w:tcPr>
                <w:tcW w:w="417" w:type="pct"/>
                <w:shd w:val="clear" w:color="auto" w:fill="FFFFFF" w:themeFill="background2"/>
                <w:vAlign w:val="center"/>
              </w:tcPr>
              <w:p w14:paraId="71970991" w14:textId="69F70102"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177</w:t>
                </w:r>
              </w:p>
            </w:tc>
            <w:tc>
              <w:tcPr>
                <w:tcW w:w="417" w:type="pct"/>
                <w:shd w:val="clear" w:color="auto" w:fill="FFFFFF" w:themeFill="background2"/>
                <w:vAlign w:val="center"/>
              </w:tcPr>
              <w:p w14:paraId="4A56E102" w14:textId="353C29AB"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224</w:t>
                </w:r>
              </w:p>
            </w:tc>
            <w:tc>
              <w:tcPr>
                <w:tcW w:w="417" w:type="pct"/>
                <w:shd w:val="clear" w:color="auto" w:fill="FFFFFF" w:themeFill="background2"/>
                <w:vAlign w:val="center"/>
              </w:tcPr>
              <w:p w14:paraId="0202E1C5" w14:textId="7C15CFDD"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267</w:t>
                </w:r>
              </w:p>
            </w:tc>
            <w:tc>
              <w:tcPr>
                <w:tcW w:w="417" w:type="pct"/>
                <w:shd w:val="clear" w:color="auto" w:fill="FFFFFF" w:themeFill="background2"/>
                <w:vAlign w:val="center"/>
              </w:tcPr>
              <w:p w14:paraId="439C0674" w14:textId="4980CE97"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1.40%</w:t>
                </w:r>
              </w:p>
            </w:tc>
            <w:tc>
              <w:tcPr>
                <w:tcW w:w="417" w:type="pct"/>
                <w:shd w:val="clear" w:color="auto" w:fill="FFFFFF" w:themeFill="background2"/>
                <w:vAlign w:val="center"/>
              </w:tcPr>
              <w:p w14:paraId="53B05959" w14:textId="3C3344C4"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3.39%</w:t>
                </w:r>
              </w:p>
            </w:tc>
            <w:tc>
              <w:tcPr>
                <w:tcW w:w="417" w:type="pct"/>
                <w:shd w:val="clear" w:color="auto" w:fill="FFFFFF" w:themeFill="background2"/>
                <w:vAlign w:val="center"/>
              </w:tcPr>
              <w:p w14:paraId="2F608792" w14:textId="17890E16"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5.18%</w:t>
                </w:r>
              </w:p>
            </w:tc>
            <w:tc>
              <w:tcPr>
                <w:tcW w:w="417" w:type="pct"/>
                <w:shd w:val="clear" w:color="auto" w:fill="FFFFFF" w:themeFill="background2"/>
                <w:vAlign w:val="center"/>
              </w:tcPr>
              <w:p w14:paraId="253DB685" w14:textId="6ACEB8DE"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6.55%</w:t>
                </w:r>
              </w:p>
            </w:tc>
            <w:tc>
              <w:tcPr>
                <w:tcW w:w="413" w:type="pct"/>
                <w:shd w:val="clear" w:color="auto" w:fill="FFFFFF" w:themeFill="background2"/>
                <w:vAlign w:val="center"/>
              </w:tcPr>
              <w:p w14:paraId="4B8FD4EC" w14:textId="1A0FB665"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7.81%</w:t>
                </w:r>
              </w:p>
            </w:tc>
          </w:tr>
          <w:tr w:rsidR="00C02410" w:rsidRPr="00B80369" w14:paraId="0CBDF754"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5350A76D" w14:textId="77777777" w:rsidR="00C02410" w:rsidRPr="00B80369" w:rsidRDefault="00C02410"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C1.1</w:t>
                </w:r>
              </w:p>
            </w:tc>
            <w:tc>
              <w:tcPr>
                <w:tcW w:w="491" w:type="pct"/>
                <w:shd w:val="clear" w:color="auto" w:fill="FFFFFF" w:themeFill="background2"/>
                <w:tcMar>
                  <w:top w:w="60" w:type="dxa"/>
                  <w:left w:w="114" w:type="dxa"/>
                  <w:bottom w:w="60" w:type="dxa"/>
                  <w:right w:w="114" w:type="dxa"/>
                </w:tcMar>
                <w:vAlign w:val="center"/>
              </w:tcPr>
              <w:p w14:paraId="5833EBBE" w14:textId="719EF0A9"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1,414</w:t>
                </w:r>
              </w:p>
            </w:tc>
            <w:tc>
              <w:tcPr>
                <w:tcW w:w="417" w:type="pct"/>
                <w:shd w:val="clear" w:color="auto" w:fill="FFFFFF" w:themeFill="background2"/>
                <w:tcMar>
                  <w:top w:w="60" w:type="dxa"/>
                  <w:left w:w="114" w:type="dxa"/>
                  <w:bottom w:w="60" w:type="dxa"/>
                  <w:right w:w="114" w:type="dxa"/>
                </w:tcMar>
                <w:vAlign w:val="center"/>
              </w:tcPr>
              <w:p w14:paraId="5AE7CE7C" w14:textId="40B36BED"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45</w:t>
                </w:r>
              </w:p>
            </w:tc>
            <w:tc>
              <w:tcPr>
                <w:tcW w:w="417" w:type="pct"/>
                <w:shd w:val="clear" w:color="auto" w:fill="FFFFFF" w:themeFill="background2"/>
                <w:vAlign w:val="center"/>
              </w:tcPr>
              <w:p w14:paraId="09E94B8F" w14:textId="3EF63150"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96</w:t>
                </w:r>
              </w:p>
            </w:tc>
            <w:tc>
              <w:tcPr>
                <w:tcW w:w="417" w:type="pct"/>
                <w:shd w:val="clear" w:color="auto" w:fill="FFFFFF" w:themeFill="background2"/>
                <w:vAlign w:val="center"/>
              </w:tcPr>
              <w:p w14:paraId="56045EA0" w14:textId="6144FFAD"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125</w:t>
                </w:r>
              </w:p>
            </w:tc>
            <w:tc>
              <w:tcPr>
                <w:tcW w:w="417" w:type="pct"/>
                <w:shd w:val="clear" w:color="auto" w:fill="FFFFFF" w:themeFill="background2"/>
                <w:vAlign w:val="center"/>
              </w:tcPr>
              <w:p w14:paraId="00AF0A61" w14:textId="4ED31FC6"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154</w:t>
                </w:r>
              </w:p>
            </w:tc>
            <w:tc>
              <w:tcPr>
                <w:tcW w:w="417" w:type="pct"/>
                <w:shd w:val="clear" w:color="auto" w:fill="FFFFFF" w:themeFill="background2"/>
                <w:vAlign w:val="center"/>
              </w:tcPr>
              <w:p w14:paraId="562DCE14" w14:textId="2E8AA203"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171</w:t>
                </w:r>
              </w:p>
            </w:tc>
            <w:tc>
              <w:tcPr>
                <w:tcW w:w="417" w:type="pct"/>
                <w:shd w:val="clear" w:color="auto" w:fill="FFFFFF" w:themeFill="background2"/>
                <w:vAlign w:val="center"/>
              </w:tcPr>
              <w:p w14:paraId="3647C0DD" w14:textId="2916DD46"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3.18%</w:t>
                </w:r>
              </w:p>
            </w:tc>
            <w:tc>
              <w:tcPr>
                <w:tcW w:w="417" w:type="pct"/>
                <w:shd w:val="clear" w:color="auto" w:fill="FFFFFF" w:themeFill="background2"/>
                <w:vAlign w:val="center"/>
              </w:tcPr>
              <w:p w14:paraId="79BEBD4B" w14:textId="6FF1903D"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6.79%</w:t>
                </w:r>
              </w:p>
            </w:tc>
            <w:tc>
              <w:tcPr>
                <w:tcW w:w="417" w:type="pct"/>
                <w:shd w:val="clear" w:color="auto" w:fill="FFFFFF" w:themeFill="background2"/>
                <w:vAlign w:val="center"/>
              </w:tcPr>
              <w:p w14:paraId="2570CC60" w14:textId="62FA1943"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8.84%</w:t>
                </w:r>
              </w:p>
            </w:tc>
            <w:tc>
              <w:tcPr>
                <w:tcW w:w="417" w:type="pct"/>
                <w:shd w:val="clear" w:color="auto" w:fill="FFFFFF" w:themeFill="background2"/>
                <w:vAlign w:val="center"/>
              </w:tcPr>
              <w:p w14:paraId="735D4887" w14:textId="5ADB4233"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10.89%</w:t>
                </w:r>
              </w:p>
            </w:tc>
            <w:tc>
              <w:tcPr>
                <w:tcW w:w="413" w:type="pct"/>
                <w:shd w:val="clear" w:color="auto" w:fill="FFFFFF" w:themeFill="background2"/>
                <w:vAlign w:val="center"/>
              </w:tcPr>
              <w:p w14:paraId="5CB45216" w14:textId="723547E4"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12.09%</w:t>
                </w:r>
              </w:p>
            </w:tc>
          </w:tr>
          <w:tr w:rsidR="00C02410" w:rsidRPr="00B80369" w14:paraId="0A288FF6"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6EC6031E" w14:textId="77777777" w:rsidR="00C02410" w:rsidRPr="00B80369" w:rsidRDefault="00C02410"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C1.2</w:t>
                </w:r>
              </w:p>
            </w:tc>
            <w:tc>
              <w:tcPr>
                <w:tcW w:w="491" w:type="pct"/>
                <w:shd w:val="clear" w:color="auto" w:fill="FFFFFF" w:themeFill="background2"/>
                <w:tcMar>
                  <w:top w:w="60" w:type="dxa"/>
                  <w:left w:w="114" w:type="dxa"/>
                  <w:bottom w:w="60" w:type="dxa"/>
                  <w:right w:w="114" w:type="dxa"/>
                </w:tcMar>
                <w:vAlign w:val="center"/>
              </w:tcPr>
              <w:p w14:paraId="3D72792E" w14:textId="767BFB18"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711</w:t>
                </w:r>
              </w:p>
            </w:tc>
            <w:tc>
              <w:tcPr>
                <w:tcW w:w="417" w:type="pct"/>
                <w:shd w:val="clear" w:color="auto" w:fill="FFFFFF" w:themeFill="background2"/>
                <w:tcMar>
                  <w:top w:w="60" w:type="dxa"/>
                  <w:left w:w="114" w:type="dxa"/>
                  <w:bottom w:w="60" w:type="dxa"/>
                  <w:right w:w="114" w:type="dxa"/>
                </w:tcMar>
                <w:vAlign w:val="center"/>
              </w:tcPr>
              <w:p w14:paraId="6B9FA71C" w14:textId="3B82A50A"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45</w:t>
                </w:r>
              </w:p>
            </w:tc>
            <w:tc>
              <w:tcPr>
                <w:tcW w:w="417" w:type="pct"/>
                <w:shd w:val="clear" w:color="auto" w:fill="FFFFFF" w:themeFill="background2"/>
                <w:vAlign w:val="center"/>
              </w:tcPr>
              <w:p w14:paraId="66DACF5C" w14:textId="5A2367CA"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80</w:t>
                </w:r>
              </w:p>
            </w:tc>
            <w:tc>
              <w:tcPr>
                <w:tcW w:w="417" w:type="pct"/>
                <w:shd w:val="clear" w:color="auto" w:fill="FFFFFF" w:themeFill="background2"/>
                <w:vAlign w:val="center"/>
              </w:tcPr>
              <w:p w14:paraId="7351F5BA" w14:textId="2507BDA9"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98</w:t>
                </w:r>
              </w:p>
            </w:tc>
            <w:tc>
              <w:tcPr>
                <w:tcW w:w="417" w:type="pct"/>
                <w:shd w:val="clear" w:color="auto" w:fill="FFFFFF" w:themeFill="background2"/>
                <w:vAlign w:val="center"/>
              </w:tcPr>
              <w:p w14:paraId="2A4CE3B2" w14:textId="6E27BA03"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116</w:t>
                </w:r>
              </w:p>
            </w:tc>
            <w:tc>
              <w:tcPr>
                <w:tcW w:w="417" w:type="pct"/>
                <w:shd w:val="clear" w:color="auto" w:fill="FFFFFF" w:themeFill="background2"/>
                <w:vAlign w:val="center"/>
              </w:tcPr>
              <w:p w14:paraId="62C7F8B5" w14:textId="0228E71C"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126</w:t>
                </w:r>
              </w:p>
            </w:tc>
            <w:tc>
              <w:tcPr>
                <w:tcW w:w="417" w:type="pct"/>
                <w:shd w:val="clear" w:color="auto" w:fill="FFFFFF" w:themeFill="background2"/>
                <w:vAlign w:val="center"/>
              </w:tcPr>
              <w:p w14:paraId="2C9D17D0" w14:textId="2D4600A1"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6.33%</w:t>
                </w:r>
              </w:p>
            </w:tc>
            <w:tc>
              <w:tcPr>
                <w:tcW w:w="417" w:type="pct"/>
                <w:shd w:val="clear" w:color="auto" w:fill="FFFFFF" w:themeFill="background2"/>
                <w:vAlign w:val="center"/>
              </w:tcPr>
              <w:p w14:paraId="21A75B29" w14:textId="2EDF3716"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11.25%</w:t>
                </w:r>
              </w:p>
            </w:tc>
            <w:tc>
              <w:tcPr>
                <w:tcW w:w="417" w:type="pct"/>
                <w:shd w:val="clear" w:color="auto" w:fill="FFFFFF" w:themeFill="background2"/>
                <w:vAlign w:val="center"/>
              </w:tcPr>
              <w:p w14:paraId="2C60EA25" w14:textId="740703D8"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13.78%</w:t>
                </w:r>
              </w:p>
            </w:tc>
            <w:tc>
              <w:tcPr>
                <w:tcW w:w="417" w:type="pct"/>
                <w:shd w:val="clear" w:color="auto" w:fill="FFFFFF" w:themeFill="background2"/>
                <w:vAlign w:val="center"/>
              </w:tcPr>
              <w:p w14:paraId="1D035467" w14:textId="3B8A4B02"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16.32%</w:t>
                </w:r>
              </w:p>
            </w:tc>
            <w:tc>
              <w:tcPr>
                <w:tcW w:w="413" w:type="pct"/>
                <w:shd w:val="clear" w:color="auto" w:fill="FFFFFF" w:themeFill="background2"/>
                <w:vAlign w:val="center"/>
              </w:tcPr>
              <w:p w14:paraId="23C9A76C" w14:textId="2CC9C828"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17.72%</w:t>
                </w:r>
              </w:p>
            </w:tc>
          </w:tr>
          <w:tr w:rsidR="00C02410" w:rsidRPr="00B80369" w14:paraId="4C2CD9F3"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51278CE9" w14:textId="77777777" w:rsidR="00C02410" w:rsidRPr="00B80369" w:rsidRDefault="00C02410"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C2.1</w:t>
                </w:r>
              </w:p>
            </w:tc>
            <w:tc>
              <w:tcPr>
                <w:tcW w:w="491" w:type="pct"/>
                <w:shd w:val="clear" w:color="auto" w:fill="FFFFFF" w:themeFill="background2"/>
                <w:tcMar>
                  <w:top w:w="60" w:type="dxa"/>
                  <w:left w:w="114" w:type="dxa"/>
                  <w:bottom w:w="60" w:type="dxa"/>
                  <w:right w:w="114" w:type="dxa"/>
                </w:tcMar>
                <w:vAlign w:val="center"/>
              </w:tcPr>
              <w:p w14:paraId="7555977D" w14:textId="157BCC52"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341</w:t>
                </w:r>
              </w:p>
            </w:tc>
            <w:tc>
              <w:tcPr>
                <w:tcW w:w="417" w:type="pct"/>
                <w:shd w:val="clear" w:color="auto" w:fill="FFFFFF" w:themeFill="background2"/>
                <w:tcMar>
                  <w:top w:w="60" w:type="dxa"/>
                  <w:left w:w="114" w:type="dxa"/>
                  <w:bottom w:w="60" w:type="dxa"/>
                  <w:right w:w="114" w:type="dxa"/>
                </w:tcMar>
                <w:vAlign w:val="center"/>
              </w:tcPr>
              <w:p w14:paraId="6FA1963C" w14:textId="20A1F637"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135</w:t>
                </w:r>
              </w:p>
            </w:tc>
            <w:tc>
              <w:tcPr>
                <w:tcW w:w="417" w:type="pct"/>
                <w:shd w:val="clear" w:color="auto" w:fill="FFFFFF" w:themeFill="background2"/>
                <w:vAlign w:val="center"/>
              </w:tcPr>
              <w:p w14:paraId="250D7781" w14:textId="4967ABC1"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147</w:t>
                </w:r>
              </w:p>
            </w:tc>
            <w:tc>
              <w:tcPr>
                <w:tcW w:w="417" w:type="pct"/>
                <w:shd w:val="clear" w:color="auto" w:fill="FFFFFF" w:themeFill="background2"/>
                <w:vAlign w:val="center"/>
              </w:tcPr>
              <w:p w14:paraId="10AE6582" w14:textId="6C23AE94"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164</w:t>
                </w:r>
              </w:p>
            </w:tc>
            <w:tc>
              <w:tcPr>
                <w:tcW w:w="417" w:type="pct"/>
                <w:shd w:val="clear" w:color="auto" w:fill="FFFFFF" w:themeFill="background2"/>
                <w:vAlign w:val="center"/>
              </w:tcPr>
              <w:p w14:paraId="0D78F74F" w14:textId="3DC299A4"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172</w:t>
                </w:r>
              </w:p>
            </w:tc>
            <w:tc>
              <w:tcPr>
                <w:tcW w:w="417" w:type="pct"/>
                <w:shd w:val="clear" w:color="auto" w:fill="FFFFFF" w:themeFill="background2"/>
                <w:vAlign w:val="center"/>
              </w:tcPr>
              <w:p w14:paraId="74B44552" w14:textId="522A5C81"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178</w:t>
                </w:r>
              </w:p>
            </w:tc>
            <w:tc>
              <w:tcPr>
                <w:tcW w:w="417" w:type="pct"/>
                <w:shd w:val="clear" w:color="auto" w:fill="FFFFFF" w:themeFill="background2"/>
                <w:vAlign w:val="center"/>
              </w:tcPr>
              <w:p w14:paraId="42D460C3" w14:textId="2AE8F0E8"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39.59%</w:t>
                </w:r>
              </w:p>
            </w:tc>
            <w:tc>
              <w:tcPr>
                <w:tcW w:w="417" w:type="pct"/>
                <w:shd w:val="clear" w:color="auto" w:fill="FFFFFF" w:themeFill="background2"/>
                <w:vAlign w:val="center"/>
              </w:tcPr>
              <w:p w14:paraId="6890E9FC" w14:textId="4645542D"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43.11%</w:t>
                </w:r>
              </w:p>
            </w:tc>
            <w:tc>
              <w:tcPr>
                <w:tcW w:w="417" w:type="pct"/>
                <w:shd w:val="clear" w:color="auto" w:fill="FFFFFF" w:themeFill="background2"/>
                <w:vAlign w:val="center"/>
              </w:tcPr>
              <w:p w14:paraId="1A6D5DE3" w14:textId="613AEED9"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48.09%</w:t>
                </w:r>
              </w:p>
            </w:tc>
            <w:tc>
              <w:tcPr>
                <w:tcW w:w="417" w:type="pct"/>
                <w:shd w:val="clear" w:color="auto" w:fill="FFFFFF" w:themeFill="background2"/>
                <w:vAlign w:val="center"/>
              </w:tcPr>
              <w:p w14:paraId="70B7922C" w14:textId="2602E8F2"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50.44%</w:t>
                </w:r>
              </w:p>
            </w:tc>
            <w:tc>
              <w:tcPr>
                <w:tcW w:w="413" w:type="pct"/>
                <w:shd w:val="clear" w:color="auto" w:fill="FFFFFF" w:themeFill="background2"/>
                <w:vAlign w:val="center"/>
              </w:tcPr>
              <w:p w14:paraId="4D6F917A" w14:textId="58B4D341"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52.20%</w:t>
                </w:r>
              </w:p>
            </w:tc>
          </w:tr>
          <w:tr w:rsidR="00C02410" w:rsidRPr="00B80369" w14:paraId="6CF0CE33" w14:textId="77777777" w:rsidTr="00AC7D4E">
            <w:trPr>
              <w:trHeight w:val="227"/>
            </w:trPr>
            <w:tc>
              <w:tcPr>
                <w:tcW w:w="343" w:type="pct"/>
                <w:shd w:val="clear" w:color="auto" w:fill="FFFFFF" w:themeFill="background2"/>
                <w:tcMar>
                  <w:top w:w="60" w:type="dxa"/>
                  <w:left w:w="114" w:type="dxa"/>
                  <w:bottom w:w="60" w:type="dxa"/>
                  <w:right w:w="114" w:type="dxa"/>
                </w:tcMar>
                <w:vAlign w:val="center"/>
              </w:tcPr>
              <w:p w14:paraId="6FB216F1" w14:textId="77777777" w:rsidR="00C02410" w:rsidRPr="00B80369" w:rsidRDefault="00C02410" w:rsidP="00B80369">
                <w:pPr>
                  <w:spacing w:before="0" w:line="240" w:lineRule="auto"/>
                  <w:jc w:val="center"/>
                  <w:rPr>
                    <w:rFonts w:cs="Segoe UI"/>
                    <w:b/>
                    <w:bCs/>
                    <w:sz w:val="14"/>
                    <w:szCs w:val="14"/>
                    <w:lang w:eastAsia="it-IT"/>
                  </w:rPr>
                </w:pPr>
                <w:r w:rsidRPr="00B80369">
                  <w:rPr>
                    <w:rFonts w:cs="Segoe UI"/>
                    <w:b/>
                    <w:bCs/>
                    <w:sz w:val="14"/>
                    <w:szCs w:val="14"/>
                    <w:lang w:eastAsia="it-IT"/>
                  </w:rPr>
                  <w:t>TOTAL</w:t>
                </w:r>
              </w:p>
            </w:tc>
            <w:tc>
              <w:tcPr>
                <w:tcW w:w="491" w:type="pct"/>
                <w:shd w:val="clear" w:color="auto" w:fill="FFFFFF" w:themeFill="background2"/>
                <w:tcMar>
                  <w:top w:w="60" w:type="dxa"/>
                  <w:left w:w="114" w:type="dxa"/>
                  <w:bottom w:w="60" w:type="dxa"/>
                  <w:right w:w="114" w:type="dxa"/>
                </w:tcMar>
                <w:vAlign w:val="center"/>
              </w:tcPr>
              <w:p w14:paraId="1E270953" w14:textId="611BA730"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24,669</w:t>
                </w:r>
              </w:p>
            </w:tc>
            <w:tc>
              <w:tcPr>
                <w:tcW w:w="417" w:type="pct"/>
                <w:shd w:val="clear" w:color="auto" w:fill="FFFFFF" w:themeFill="background2"/>
                <w:tcMar>
                  <w:top w:w="60" w:type="dxa"/>
                  <w:left w:w="114" w:type="dxa"/>
                  <w:bottom w:w="60" w:type="dxa"/>
                  <w:right w:w="114" w:type="dxa"/>
                </w:tcMar>
                <w:vAlign w:val="center"/>
              </w:tcPr>
              <w:p w14:paraId="5A9D6CAC" w14:textId="2FFF3111"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341</w:t>
                </w:r>
              </w:p>
            </w:tc>
            <w:tc>
              <w:tcPr>
                <w:tcW w:w="417" w:type="pct"/>
                <w:shd w:val="clear" w:color="auto" w:fill="FFFFFF" w:themeFill="background2"/>
                <w:vAlign w:val="center"/>
              </w:tcPr>
              <w:p w14:paraId="645EF32D" w14:textId="5AF598EC"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650</w:t>
                </w:r>
              </w:p>
            </w:tc>
            <w:tc>
              <w:tcPr>
                <w:tcW w:w="417" w:type="pct"/>
                <w:shd w:val="clear" w:color="auto" w:fill="FFFFFF" w:themeFill="background2"/>
                <w:vAlign w:val="center"/>
              </w:tcPr>
              <w:p w14:paraId="29A3E662" w14:textId="491F1D97"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908</w:t>
                </w:r>
              </w:p>
            </w:tc>
            <w:tc>
              <w:tcPr>
                <w:tcW w:w="417" w:type="pct"/>
                <w:shd w:val="clear" w:color="auto" w:fill="FFFFFF" w:themeFill="background2"/>
                <w:vAlign w:val="center"/>
              </w:tcPr>
              <w:p w14:paraId="0FC9F9B3" w14:textId="3FBE582E"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b/>
                    <w:bCs/>
                    <w:sz w:val="14"/>
                    <w:szCs w:val="14"/>
                    <w:lang w:val="en-GB" w:eastAsia="it-IT"/>
                  </w:rPr>
                  <w:t>1,112</w:t>
                </w:r>
              </w:p>
            </w:tc>
            <w:tc>
              <w:tcPr>
                <w:tcW w:w="417" w:type="pct"/>
                <w:shd w:val="clear" w:color="auto" w:fill="FFFFFF" w:themeFill="background2"/>
                <w:vAlign w:val="center"/>
              </w:tcPr>
              <w:p w14:paraId="527CEF10" w14:textId="1CF2799E" w:rsidR="00C02410" w:rsidRPr="00B80369" w:rsidRDefault="00C02410"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1,262</w:t>
                </w:r>
              </w:p>
            </w:tc>
            <w:tc>
              <w:tcPr>
                <w:tcW w:w="417" w:type="pct"/>
                <w:shd w:val="clear" w:color="auto" w:fill="FFFFFF" w:themeFill="background2"/>
                <w:vAlign w:val="center"/>
              </w:tcPr>
              <w:p w14:paraId="1DEC2B01" w14:textId="661B58DA"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1.38%</w:t>
                </w:r>
              </w:p>
            </w:tc>
            <w:tc>
              <w:tcPr>
                <w:tcW w:w="417" w:type="pct"/>
                <w:shd w:val="clear" w:color="auto" w:fill="FFFFFF" w:themeFill="background2"/>
                <w:vAlign w:val="center"/>
              </w:tcPr>
              <w:p w14:paraId="083A9850" w14:textId="40668CB3"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2.63%</w:t>
                </w:r>
              </w:p>
            </w:tc>
            <w:tc>
              <w:tcPr>
                <w:tcW w:w="417" w:type="pct"/>
                <w:shd w:val="clear" w:color="auto" w:fill="FFFFFF" w:themeFill="background2"/>
                <w:vAlign w:val="center"/>
              </w:tcPr>
              <w:p w14:paraId="4AF1EB76" w14:textId="15D74022"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3.68%</w:t>
                </w:r>
              </w:p>
            </w:tc>
            <w:tc>
              <w:tcPr>
                <w:tcW w:w="417" w:type="pct"/>
                <w:shd w:val="clear" w:color="auto" w:fill="FFFFFF" w:themeFill="background2"/>
                <w:vAlign w:val="center"/>
              </w:tcPr>
              <w:p w14:paraId="3DE2E2C3" w14:textId="67DAF518"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4.51%</w:t>
                </w:r>
              </w:p>
            </w:tc>
            <w:tc>
              <w:tcPr>
                <w:tcW w:w="413" w:type="pct"/>
                <w:shd w:val="clear" w:color="auto" w:fill="FFFFFF" w:themeFill="background2"/>
                <w:vAlign w:val="center"/>
              </w:tcPr>
              <w:p w14:paraId="442224F6" w14:textId="631FC994" w:rsidR="00C02410" w:rsidRPr="00B80369" w:rsidRDefault="00C02410"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5.12%</w:t>
                </w:r>
              </w:p>
            </w:tc>
          </w:tr>
        </w:tbl>
        <w:p w14:paraId="52916677" w14:textId="77777777" w:rsidR="00C02410" w:rsidRPr="00C02410" w:rsidRDefault="00C02410" w:rsidP="00C02410">
          <w:pPr>
            <w:rPr>
              <w:lang w:val="en-GB"/>
            </w:rPr>
          </w:pPr>
        </w:p>
        <w:p w14:paraId="3F42C1AE" w14:textId="54CD72E4" w:rsidR="004101BF" w:rsidRDefault="004101BF" w:rsidP="004101BF">
          <w:pPr>
            <w:pStyle w:val="Didascalia"/>
            <w:rPr>
              <w:rFonts w:ascii="Segoe UI" w:hAnsi="Segoe UI" w:cs="Segoe UI"/>
              <w:i/>
              <w:sz w:val="14"/>
              <w:lang w:val="en-GB"/>
            </w:rPr>
          </w:pPr>
          <w:bookmarkStart w:id="141" w:name="_Toc130806341"/>
          <w:bookmarkStart w:id="142" w:name="_Toc166675681"/>
          <w:bookmarkStart w:id="143" w:name="_Toc167131808"/>
          <w:r w:rsidRPr="0032337D">
            <w:rPr>
              <w:rFonts w:ascii="Segoe UI" w:hAnsi="Segoe UI" w:cs="Segoe UI"/>
              <w:i/>
              <w:sz w:val="14"/>
              <w:lang w:val="en-GB"/>
            </w:rPr>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40</w:t>
          </w:r>
          <w:r>
            <w:rPr>
              <w:rFonts w:ascii="Segoe UI" w:hAnsi="Segoe UI" w:cs="Segoe UI"/>
              <w:i/>
              <w:sz w:val="14"/>
              <w:lang w:val="en-GB"/>
            </w:rPr>
            <w:fldChar w:fldCharType="end"/>
          </w:r>
          <w:r w:rsidRPr="0032337D">
            <w:rPr>
              <w:rFonts w:ascii="Segoe UI" w:hAnsi="Segoe UI" w:cs="Segoe UI"/>
              <w:i/>
              <w:sz w:val="14"/>
              <w:lang w:val="en-GB"/>
            </w:rPr>
            <w:t>: Static pool as of 31</w:t>
          </w:r>
          <w:r w:rsidRPr="0032337D">
            <w:rPr>
              <w:rFonts w:ascii="Segoe UI" w:hAnsi="Segoe UI" w:cs="Segoe UI"/>
              <w:i/>
              <w:sz w:val="14"/>
              <w:vertAlign w:val="superscript"/>
              <w:lang w:val="en-GB"/>
            </w:rPr>
            <w:t>st</w:t>
          </w:r>
          <w:r w:rsidRPr="0032337D">
            <w:rPr>
              <w:rFonts w:ascii="Segoe UI" w:hAnsi="Segoe UI" w:cs="Segoe UI"/>
              <w:i/>
              <w:sz w:val="14"/>
              <w:lang w:val="en-GB"/>
            </w:rPr>
            <w:t xml:space="preserve"> December 2018</w:t>
          </w:r>
          <w:bookmarkEnd w:id="141"/>
          <w:bookmarkEnd w:id="142"/>
          <w:bookmarkEnd w:id="143"/>
        </w:p>
        <w:tbl>
          <w:tblPr>
            <w:tblW w:w="5000" w:type="pct"/>
            <w:tblBorders>
              <w:top w:val="single" w:sz="4" w:space="0" w:color="AFAFB4" w:themeColor="accent4"/>
              <w:bottom w:val="single" w:sz="4" w:space="0" w:color="AFAFB4" w:themeColor="accent4"/>
              <w:insideH w:val="single" w:sz="4" w:space="0" w:color="AFAFB4" w:themeColor="accent4"/>
            </w:tblBorders>
            <w:shd w:val="clear" w:color="auto" w:fill="FFFFFF" w:themeFill="background2"/>
            <w:tblCellMar>
              <w:left w:w="0" w:type="dxa"/>
              <w:right w:w="0" w:type="dxa"/>
            </w:tblCellMar>
            <w:tblLook w:val="0620" w:firstRow="1" w:lastRow="0" w:firstColumn="0" w:lastColumn="0" w:noHBand="1" w:noVBand="1"/>
            <w:tblDescription w:val="{&quot;Ott&quot;:{&quot;FirstRow&quot;:{&quot;BackgroundColor&quot;:{&quot;Key&quot;:&quot;Light2&quot;},&quot;Font&quot;:{&quot;Name&quot;:&quot;Source Sans Pro&quot;,&quot;Size&quot;:14.0,&quot;Bold&quot;:false,&quot;Italic&quot;:false,&quot;Color&quot;:{&quot;Key&quot;:&quot;Dark2&quot;}},&quot;ExcelCellFormatting&quot;:&quot;General&quot;,&quot;Alignment&quot;:{&quot;Horizontal&quot;:&quot;Left&quot;,&quot;Vertical&quot;:&quot;Bottom&quot;},&quot;Borders&quot;:{&quot;Vertical&quot;:{&quot;Visible&quot;:false},&quot;Left&quot;:{&quot;Visible&quot;:false},&quot;Top&quot;:{&quot;Visible&quot;:false},&quot;Right&quot;:{&quot;Visible&quot;:false},&quot;Bottom&quot;:{&quot;Color&quot;:{&quot;Key&quot;:&quot;Accent4&quot;},&quot;BorderWeight&quot;:&quot;Pt1_5&quot;,&quot;Type&quot;:&quot;Solid&quot;,&quot;Visible&quot;:true}}},&quot;FitRowHeightPp&quot;:true,&quot;ZeroMarginsWord&quot;:true,&quot;BackgroundColor&quot;:{&quot;Key&quot;:&quot;Light2&quot;},&quot;Font&quot;:{&quot;Name&quot;:&quot;Source Sans Pro&quot;,&quot;Size&quot;:11.0,&quot;Bold&quot;:false,&quot;Italic&quot;:false,&quot;Color&quot;:{&quot;Key&quot;:&quot;Dark2&quot;}},&quot;LineSpacing&quot;:{&quot;Rule&quot;:&quot;Single&quot;},&quot;Alignment&quot;:{&quot;Horizontal&quot;:&quot;Left&quot;,&quot;Vertical&quot;:&quot;Top&quot;},&quot;Margin&quot;:{&quot;Left&quot;:5.7,&quot;Top&quot;:3.0,&quot;Right&quot;:5.7,&quot;Bottom&quot;:3.0},&quot;Borders&quot;:{&quot;Vertical&quot;:{&quot;Visible&quot;:false},&quot;Horizontal&quot;:{&quot;Color&quot;:{&quot;Key&quot;:&quot;Accent4&quot;},&quot;BorderWeight&quot;:&quot;Pt0_5&quot;,&quot;Type&quot;:&quot;Solid&quot;,&quot;Visible&quot;:true}},&quot;ParagraphSpacing&quot;:{&quot;SpaceBefore&quot;:2.0,&quot;SpaceAfter&quot;:2.0},&quot;ExcelWrapText&quot;:true},&quot;Ccs&quot;:{&quot;DarkBlue&quot;:&quot;0, 20, 55&quot;,&quot;Turquoise&quot;:&quot;0, 164, 230&quot;,&quot;Red&quot;:&quot;214, 70, 65&quot;,&quot;LightGrey&quot;:&quot;174, 174, 180&quot;,&quot;BlueGrey&quot;:&quot;77, 91, 115&quot;,&quot;IceBlue&quot;:&quot;178, 184, 195&quot;,&quot;Grey&quot;:&quot;145, 147, 153&quot;,&quot;Background&quot;:&quot;0, 0, 0, 0&quot;,&quot;White&quot;:&quot;White&quot;,&quot;Accent1&quot;:&quot;1, 1, 1, 1&quot;,&quot;Accent2&quot;:&quot;1, 1, 1, 2&quot;,&quot;Accent3&quot;:&quot;1, 1, 1, 3&quot;,&quot;Accent4&quot;:&quot;1, 1, 1, 4&quot;,&quot;Accent5&quot;:&quot;1, 1, 1, 5&quot;,&quot;Accent6&quot;:&quot;1, 1, 1, 6&quot;,&quot;Dark1&quot;:&quot;1, 1, 1, 7&quot;,&quot;Dark2&quot;:&quot;1, 1, 1, 9&quot;,&quot;Light1&quot;:&quot;1, 1, 1, 8&quot;,&quot;Light2&quot;:&quot;1, 1, 1, 10&quot;},&quot;Cop&quot;:{&quot;FirstRow&quot;:true,&quot;LastRow&quot;:false,&quot;FirstColumn&quot;:false,&quot;LastColumn&quot;:false,&quot;BandedRows&quot;:false,&quot;BandedColumns&quot;:false},&quot;Aaf&quot;:false}"/>
          </w:tblPr>
          <w:tblGrid>
            <w:gridCol w:w="710"/>
            <w:gridCol w:w="1016"/>
            <w:gridCol w:w="863"/>
            <w:gridCol w:w="863"/>
            <w:gridCol w:w="863"/>
            <w:gridCol w:w="863"/>
            <w:gridCol w:w="863"/>
            <w:gridCol w:w="863"/>
            <w:gridCol w:w="863"/>
            <w:gridCol w:w="863"/>
            <w:gridCol w:w="863"/>
            <w:gridCol w:w="855"/>
          </w:tblGrid>
          <w:tr w:rsidR="00707524" w:rsidRPr="00B80369" w14:paraId="515DD090" w14:textId="77777777" w:rsidTr="00AC7D4E">
            <w:trPr>
              <w:trHeight w:val="227"/>
              <w:tblHeader/>
            </w:trPr>
            <w:tc>
              <w:tcPr>
                <w:tcW w:w="343" w:type="pct"/>
                <w:vMerge w:val="restar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2F74C76F" w14:textId="77777777"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Rating</w:t>
                </w:r>
              </w:p>
            </w:tc>
            <w:tc>
              <w:tcPr>
                <w:tcW w:w="491"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2E13AFF0" w14:textId="77777777"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Static pool</w:t>
                </w:r>
              </w:p>
            </w:tc>
            <w:tc>
              <w:tcPr>
                <w:tcW w:w="2085" w:type="pct"/>
                <w:gridSpan w:val="5"/>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44515005" w14:textId="714752B0"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Observed defaults by years since rating issuance</w:t>
                </w:r>
              </w:p>
            </w:tc>
            <w:tc>
              <w:tcPr>
                <w:tcW w:w="2081" w:type="pct"/>
                <w:gridSpan w:val="5"/>
                <w:tcBorders>
                  <w:top w:val="single" w:sz="12" w:space="0" w:color="AFAFB4" w:themeColor="accent4"/>
                </w:tcBorders>
                <w:shd w:val="clear" w:color="auto" w:fill="FFFFFF" w:themeFill="background2"/>
                <w:vAlign w:val="center"/>
              </w:tcPr>
              <w:p w14:paraId="7E77B4BE" w14:textId="77777777"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Percentage of cumulative default rates</w:t>
                </w:r>
              </w:p>
            </w:tc>
          </w:tr>
          <w:tr w:rsidR="003E6DBC" w:rsidRPr="00B80369" w14:paraId="1B55FD38" w14:textId="77777777" w:rsidTr="00AC7D4E">
            <w:trPr>
              <w:trHeight w:val="227"/>
              <w:tblHeader/>
            </w:trPr>
            <w:tc>
              <w:tcPr>
                <w:tcW w:w="343" w:type="pct"/>
                <w:vMerge/>
                <w:shd w:val="clear" w:color="auto" w:fill="FFFFFF" w:themeFill="background2"/>
                <w:tcMar>
                  <w:top w:w="60" w:type="dxa"/>
                  <w:left w:w="114" w:type="dxa"/>
                  <w:bottom w:w="60" w:type="dxa"/>
                  <w:right w:w="114" w:type="dxa"/>
                </w:tcMar>
                <w:vAlign w:val="center"/>
              </w:tcPr>
              <w:p w14:paraId="171701C0" w14:textId="77777777" w:rsidR="003E6DBC" w:rsidRPr="00B80369" w:rsidRDefault="003E6DBC" w:rsidP="00B80369">
                <w:pPr>
                  <w:spacing w:before="0" w:line="240" w:lineRule="auto"/>
                  <w:jc w:val="center"/>
                  <w:rPr>
                    <w:b/>
                    <w:color w:val="33A1AB" w:themeColor="accent2"/>
                    <w:sz w:val="14"/>
                    <w:szCs w:val="14"/>
                  </w:rPr>
                </w:pPr>
              </w:p>
            </w:tc>
            <w:tc>
              <w:tcPr>
                <w:tcW w:w="491"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68AAE9A1" w14:textId="50468828" w:rsidR="003E6DBC" w:rsidRPr="00B80369" w:rsidRDefault="003E6DBC" w:rsidP="00B80369">
                <w:pPr>
                  <w:spacing w:before="0" w:line="240" w:lineRule="auto"/>
                  <w:jc w:val="center"/>
                  <w:rPr>
                    <w:b/>
                    <w:color w:val="33A1AB" w:themeColor="accent2"/>
                    <w:sz w:val="14"/>
                    <w:szCs w:val="14"/>
                  </w:rPr>
                </w:pPr>
                <w:r w:rsidRPr="00B80369">
                  <w:rPr>
                    <w:b/>
                    <w:color w:val="33A1AB" w:themeColor="accent2"/>
                    <w:sz w:val="14"/>
                    <w:szCs w:val="14"/>
                  </w:rPr>
                  <w:t>31 Dec 201</w:t>
                </w:r>
                <w:r w:rsidR="007D3C14" w:rsidRPr="00B80369">
                  <w:rPr>
                    <w:b/>
                    <w:color w:val="33A1AB" w:themeColor="accent2"/>
                    <w:sz w:val="14"/>
                    <w:szCs w:val="14"/>
                  </w:rPr>
                  <w:t>8</w:t>
                </w:r>
              </w:p>
            </w:tc>
            <w:tc>
              <w:tcPr>
                <w:tcW w:w="417"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7FD1BF3E" w14:textId="77777777" w:rsidR="003E6DBC" w:rsidRPr="00B80369" w:rsidRDefault="003E6DBC" w:rsidP="00B80369">
                <w:pPr>
                  <w:spacing w:before="0" w:line="240" w:lineRule="auto"/>
                  <w:jc w:val="center"/>
                  <w:rPr>
                    <w:b/>
                    <w:color w:val="33A1AB" w:themeColor="accent2"/>
                    <w:sz w:val="14"/>
                    <w:szCs w:val="14"/>
                  </w:rPr>
                </w:pPr>
                <w:r w:rsidRPr="00B80369">
                  <w:rPr>
                    <w:b/>
                    <w:color w:val="33A1AB" w:themeColor="accent2"/>
                    <w:sz w:val="14"/>
                    <w:szCs w:val="14"/>
                  </w:rPr>
                  <w:t>1-Y DR</w:t>
                </w:r>
              </w:p>
            </w:tc>
            <w:tc>
              <w:tcPr>
                <w:tcW w:w="417" w:type="pct"/>
                <w:tcBorders>
                  <w:top w:val="single" w:sz="12" w:space="0" w:color="AFAFB4" w:themeColor="accent4"/>
                </w:tcBorders>
                <w:shd w:val="clear" w:color="auto" w:fill="FFFFFF" w:themeFill="background2"/>
                <w:vAlign w:val="center"/>
              </w:tcPr>
              <w:p w14:paraId="2CA2B419" w14:textId="77777777" w:rsidR="003E6DBC" w:rsidRPr="00B80369" w:rsidRDefault="003E6DBC" w:rsidP="00B80369">
                <w:pPr>
                  <w:spacing w:before="0" w:line="240" w:lineRule="auto"/>
                  <w:jc w:val="center"/>
                  <w:rPr>
                    <w:b/>
                    <w:color w:val="33A1AB" w:themeColor="accent2"/>
                    <w:sz w:val="14"/>
                    <w:szCs w:val="14"/>
                  </w:rPr>
                </w:pPr>
                <w:r w:rsidRPr="00B80369">
                  <w:rPr>
                    <w:b/>
                    <w:color w:val="33A1AB" w:themeColor="accent2"/>
                    <w:sz w:val="14"/>
                    <w:szCs w:val="14"/>
                  </w:rPr>
                  <w:t>2-Y DR</w:t>
                </w:r>
              </w:p>
            </w:tc>
            <w:tc>
              <w:tcPr>
                <w:tcW w:w="417" w:type="pct"/>
                <w:tcBorders>
                  <w:top w:val="single" w:sz="12" w:space="0" w:color="AFAFB4" w:themeColor="accent4"/>
                </w:tcBorders>
                <w:shd w:val="clear" w:color="auto" w:fill="FFFFFF" w:themeFill="background2"/>
                <w:vAlign w:val="center"/>
              </w:tcPr>
              <w:p w14:paraId="78E3DF3F" w14:textId="77777777" w:rsidR="003E6DBC" w:rsidRPr="00B80369" w:rsidRDefault="003E6DBC" w:rsidP="00B80369">
                <w:pPr>
                  <w:spacing w:before="0" w:line="240" w:lineRule="auto"/>
                  <w:jc w:val="center"/>
                  <w:rPr>
                    <w:b/>
                    <w:color w:val="33A1AB" w:themeColor="accent2"/>
                    <w:sz w:val="14"/>
                    <w:szCs w:val="14"/>
                  </w:rPr>
                </w:pPr>
                <w:r w:rsidRPr="00B80369">
                  <w:rPr>
                    <w:b/>
                    <w:color w:val="33A1AB" w:themeColor="accent2"/>
                    <w:sz w:val="14"/>
                    <w:szCs w:val="14"/>
                  </w:rPr>
                  <w:t>3-Y DR</w:t>
                </w:r>
              </w:p>
            </w:tc>
            <w:tc>
              <w:tcPr>
                <w:tcW w:w="417" w:type="pct"/>
                <w:tcBorders>
                  <w:top w:val="single" w:sz="12" w:space="0" w:color="AFAFB4" w:themeColor="accent4"/>
                </w:tcBorders>
                <w:shd w:val="clear" w:color="auto" w:fill="FFFFFF" w:themeFill="background2"/>
                <w:vAlign w:val="center"/>
              </w:tcPr>
              <w:p w14:paraId="58F86E9E" w14:textId="77777777" w:rsidR="003E6DBC" w:rsidRPr="00B80369" w:rsidRDefault="003E6DBC" w:rsidP="00B80369">
                <w:pPr>
                  <w:spacing w:before="0" w:line="240" w:lineRule="auto"/>
                  <w:jc w:val="center"/>
                  <w:rPr>
                    <w:b/>
                    <w:color w:val="33A1AB" w:themeColor="accent2"/>
                    <w:sz w:val="14"/>
                    <w:szCs w:val="14"/>
                  </w:rPr>
                </w:pPr>
                <w:r w:rsidRPr="00B80369">
                  <w:rPr>
                    <w:b/>
                    <w:color w:val="33A1AB" w:themeColor="accent2"/>
                    <w:sz w:val="14"/>
                    <w:szCs w:val="14"/>
                  </w:rPr>
                  <w:t>4-Y DR</w:t>
                </w:r>
              </w:p>
            </w:tc>
            <w:tc>
              <w:tcPr>
                <w:tcW w:w="417" w:type="pct"/>
                <w:tcBorders>
                  <w:top w:val="single" w:sz="12" w:space="0" w:color="AFAFB4" w:themeColor="accent4"/>
                </w:tcBorders>
                <w:shd w:val="clear" w:color="auto" w:fill="FFFFFF" w:themeFill="background2"/>
                <w:vAlign w:val="center"/>
              </w:tcPr>
              <w:p w14:paraId="4DB8919E" w14:textId="77777777" w:rsidR="003E6DBC" w:rsidRPr="00B80369" w:rsidRDefault="003E6DBC" w:rsidP="00B80369">
                <w:pPr>
                  <w:spacing w:before="0" w:line="240" w:lineRule="auto"/>
                  <w:jc w:val="center"/>
                  <w:rPr>
                    <w:b/>
                    <w:color w:val="33A1AB" w:themeColor="accent2"/>
                    <w:sz w:val="14"/>
                    <w:szCs w:val="14"/>
                  </w:rPr>
                </w:pPr>
                <w:r w:rsidRPr="00B80369">
                  <w:rPr>
                    <w:b/>
                    <w:color w:val="33A1AB" w:themeColor="accent2"/>
                    <w:sz w:val="14"/>
                    <w:szCs w:val="14"/>
                  </w:rPr>
                  <w:t>5-Y DR</w:t>
                </w:r>
              </w:p>
            </w:tc>
            <w:tc>
              <w:tcPr>
                <w:tcW w:w="417" w:type="pct"/>
                <w:tcBorders>
                  <w:top w:val="single" w:sz="12" w:space="0" w:color="AFAFB4" w:themeColor="accent4"/>
                </w:tcBorders>
                <w:shd w:val="clear" w:color="auto" w:fill="FFFFFF" w:themeFill="background2"/>
                <w:vAlign w:val="center"/>
              </w:tcPr>
              <w:p w14:paraId="3CB73BA8" w14:textId="77777777" w:rsidR="003E6DBC" w:rsidRPr="00B80369" w:rsidRDefault="003E6DBC" w:rsidP="00B80369">
                <w:pPr>
                  <w:spacing w:before="0" w:line="240" w:lineRule="auto"/>
                  <w:jc w:val="center"/>
                  <w:rPr>
                    <w:b/>
                    <w:color w:val="33A1AB" w:themeColor="accent2"/>
                    <w:sz w:val="14"/>
                    <w:szCs w:val="14"/>
                  </w:rPr>
                </w:pPr>
                <w:r w:rsidRPr="00B80369">
                  <w:rPr>
                    <w:b/>
                    <w:color w:val="33A1AB" w:themeColor="accent2"/>
                    <w:sz w:val="14"/>
                    <w:szCs w:val="14"/>
                  </w:rPr>
                  <w:t>1-Y DR</w:t>
                </w:r>
              </w:p>
            </w:tc>
            <w:tc>
              <w:tcPr>
                <w:tcW w:w="417" w:type="pct"/>
                <w:tcBorders>
                  <w:top w:val="single" w:sz="12" w:space="0" w:color="AFAFB4" w:themeColor="accent4"/>
                </w:tcBorders>
                <w:shd w:val="clear" w:color="auto" w:fill="FFFFFF" w:themeFill="background2"/>
                <w:vAlign w:val="center"/>
              </w:tcPr>
              <w:p w14:paraId="5C786D07" w14:textId="77777777" w:rsidR="003E6DBC" w:rsidRPr="00B80369" w:rsidRDefault="003E6DBC" w:rsidP="00B80369">
                <w:pPr>
                  <w:spacing w:before="0" w:line="240" w:lineRule="auto"/>
                  <w:jc w:val="center"/>
                  <w:rPr>
                    <w:b/>
                    <w:color w:val="33A1AB" w:themeColor="accent2"/>
                    <w:sz w:val="14"/>
                    <w:szCs w:val="14"/>
                  </w:rPr>
                </w:pPr>
                <w:r w:rsidRPr="00B80369">
                  <w:rPr>
                    <w:b/>
                    <w:color w:val="33A1AB" w:themeColor="accent2"/>
                    <w:sz w:val="14"/>
                    <w:szCs w:val="14"/>
                  </w:rPr>
                  <w:t>2-Y DR</w:t>
                </w:r>
              </w:p>
            </w:tc>
            <w:tc>
              <w:tcPr>
                <w:tcW w:w="417" w:type="pct"/>
                <w:tcBorders>
                  <w:top w:val="single" w:sz="12" w:space="0" w:color="AFAFB4" w:themeColor="accent4"/>
                </w:tcBorders>
                <w:shd w:val="clear" w:color="auto" w:fill="FFFFFF" w:themeFill="background2"/>
                <w:vAlign w:val="center"/>
              </w:tcPr>
              <w:p w14:paraId="12FB8CF2" w14:textId="77777777" w:rsidR="003E6DBC" w:rsidRPr="00B80369" w:rsidRDefault="003E6DBC" w:rsidP="00B80369">
                <w:pPr>
                  <w:spacing w:before="0" w:line="240" w:lineRule="auto"/>
                  <w:jc w:val="center"/>
                  <w:rPr>
                    <w:b/>
                    <w:color w:val="33A1AB" w:themeColor="accent2"/>
                    <w:sz w:val="14"/>
                    <w:szCs w:val="14"/>
                  </w:rPr>
                </w:pPr>
                <w:r w:rsidRPr="00B80369">
                  <w:rPr>
                    <w:b/>
                    <w:color w:val="33A1AB" w:themeColor="accent2"/>
                    <w:sz w:val="14"/>
                    <w:szCs w:val="14"/>
                  </w:rPr>
                  <w:t>3-Y DR</w:t>
                </w:r>
              </w:p>
            </w:tc>
            <w:tc>
              <w:tcPr>
                <w:tcW w:w="417" w:type="pct"/>
                <w:tcBorders>
                  <w:top w:val="single" w:sz="12" w:space="0" w:color="AFAFB4" w:themeColor="accent4"/>
                </w:tcBorders>
                <w:shd w:val="clear" w:color="auto" w:fill="FFFFFF" w:themeFill="background2"/>
                <w:vAlign w:val="center"/>
              </w:tcPr>
              <w:p w14:paraId="575AECDD" w14:textId="77777777" w:rsidR="003E6DBC" w:rsidRPr="00B80369" w:rsidRDefault="003E6DBC" w:rsidP="00B80369">
                <w:pPr>
                  <w:spacing w:before="0" w:line="240" w:lineRule="auto"/>
                  <w:jc w:val="center"/>
                  <w:rPr>
                    <w:b/>
                    <w:color w:val="33A1AB" w:themeColor="accent2"/>
                    <w:sz w:val="14"/>
                    <w:szCs w:val="14"/>
                  </w:rPr>
                </w:pPr>
                <w:r w:rsidRPr="00B80369">
                  <w:rPr>
                    <w:b/>
                    <w:color w:val="33A1AB" w:themeColor="accent2"/>
                    <w:sz w:val="14"/>
                    <w:szCs w:val="14"/>
                  </w:rPr>
                  <w:t>4-Y DR</w:t>
                </w:r>
              </w:p>
            </w:tc>
            <w:tc>
              <w:tcPr>
                <w:tcW w:w="413" w:type="pct"/>
                <w:tcBorders>
                  <w:top w:val="single" w:sz="12" w:space="0" w:color="AFAFB4" w:themeColor="accent4"/>
                </w:tcBorders>
                <w:shd w:val="clear" w:color="auto" w:fill="FFFFFF" w:themeFill="background2"/>
                <w:vAlign w:val="center"/>
              </w:tcPr>
              <w:p w14:paraId="563DC907" w14:textId="77777777" w:rsidR="003E6DBC" w:rsidRPr="00B80369" w:rsidRDefault="003E6DBC" w:rsidP="00B80369">
                <w:pPr>
                  <w:spacing w:before="0" w:line="240" w:lineRule="auto"/>
                  <w:jc w:val="center"/>
                  <w:rPr>
                    <w:b/>
                    <w:color w:val="33A1AB" w:themeColor="accent2"/>
                    <w:sz w:val="14"/>
                    <w:szCs w:val="14"/>
                  </w:rPr>
                </w:pPr>
                <w:r w:rsidRPr="00B80369">
                  <w:rPr>
                    <w:b/>
                    <w:color w:val="33A1AB" w:themeColor="accent2"/>
                    <w:sz w:val="14"/>
                    <w:szCs w:val="14"/>
                  </w:rPr>
                  <w:t>5-Y DR</w:t>
                </w:r>
              </w:p>
            </w:tc>
          </w:tr>
          <w:tr w:rsidR="00AF1817" w:rsidRPr="00B80369" w14:paraId="41F6790A"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4CE0017E" w14:textId="77777777" w:rsidR="00AF1817" w:rsidRPr="00B80369" w:rsidRDefault="00AF1817"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A1.1</w:t>
                </w:r>
              </w:p>
            </w:tc>
            <w:tc>
              <w:tcPr>
                <w:tcW w:w="491" w:type="pct"/>
                <w:shd w:val="clear" w:color="auto" w:fill="FFFFFF" w:themeFill="background2"/>
                <w:tcMar>
                  <w:top w:w="60" w:type="dxa"/>
                  <w:left w:w="114" w:type="dxa"/>
                  <w:bottom w:w="60" w:type="dxa"/>
                  <w:right w:w="114" w:type="dxa"/>
                </w:tcMar>
                <w:vAlign w:val="center"/>
              </w:tcPr>
              <w:p w14:paraId="48A628CC" w14:textId="22F22D56"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8</w:t>
                </w:r>
              </w:p>
            </w:tc>
            <w:tc>
              <w:tcPr>
                <w:tcW w:w="417" w:type="pct"/>
                <w:shd w:val="clear" w:color="auto" w:fill="FFFFFF" w:themeFill="background2"/>
                <w:tcMar>
                  <w:top w:w="60" w:type="dxa"/>
                  <w:left w:w="114" w:type="dxa"/>
                  <w:bottom w:w="60" w:type="dxa"/>
                  <w:right w:w="114" w:type="dxa"/>
                </w:tcMar>
                <w:vAlign w:val="center"/>
              </w:tcPr>
              <w:p w14:paraId="2977F4C6" w14:textId="1015E080"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79F62186" w14:textId="17F66E4A"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72710A76" w14:textId="4E1C87B2"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75AB4993" w14:textId="72B8DBCF"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47327E38" w14:textId="108C20A8"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772100E2" w14:textId="7A97154E"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482BD670" w14:textId="13BE886E"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54CE55BC" w14:textId="70196E2C"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0ABBFF57" w14:textId="32B69E3A"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3" w:type="pct"/>
                <w:shd w:val="clear" w:color="auto" w:fill="FFFFFF" w:themeFill="background2"/>
                <w:vAlign w:val="center"/>
              </w:tcPr>
              <w:p w14:paraId="693F719D" w14:textId="56E93714"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0.00%</w:t>
                </w:r>
              </w:p>
            </w:tc>
          </w:tr>
          <w:tr w:rsidR="00AF1817" w:rsidRPr="00B80369" w14:paraId="73E1DD69"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278E48C7" w14:textId="77777777" w:rsidR="00AF1817" w:rsidRPr="00B80369" w:rsidRDefault="00AF1817"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A1.2</w:t>
                </w:r>
              </w:p>
            </w:tc>
            <w:tc>
              <w:tcPr>
                <w:tcW w:w="491" w:type="pct"/>
                <w:shd w:val="clear" w:color="auto" w:fill="FFFFFF" w:themeFill="background2"/>
                <w:tcMar>
                  <w:top w:w="60" w:type="dxa"/>
                  <w:left w:w="114" w:type="dxa"/>
                  <w:bottom w:w="60" w:type="dxa"/>
                  <w:right w:w="114" w:type="dxa"/>
                </w:tcMar>
                <w:vAlign w:val="center"/>
              </w:tcPr>
              <w:p w14:paraId="188AD376" w14:textId="0A19D54C"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26</w:t>
                </w:r>
              </w:p>
            </w:tc>
            <w:tc>
              <w:tcPr>
                <w:tcW w:w="417" w:type="pct"/>
                <w:shd w:val="clear" w:color="auto" w:fill="FFFFFF" w:themeFill="background2"/>
                <w:tcMar>
                  <w:top w:w="60" w:type="dxa"/>
                  <w:left w:w="114" w:type="dxa"/>
                  <w:bottom w:w="60" w:type="dxa"/>
                  <w:right w:w="114" w:type="dxa"/>
                </w:tcMar>
                <w:vAlign w:val="center"/>
              </w:tcPr>
              <w:p w14:paraId="20DF0F31" w14:textId="72BDCA69"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28567C8E" w14:textId="218A05AC"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18F51E71" w14:textId="27EAE61B"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0E9D9A23" w14:textId="4BA0E5B9"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4F2EF653" w14:textId="6BB04B67"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57AC9E2D" w14:textId="761A3FCB"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143CFDE4" w14:textId="086A8CDB"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02E4C9A1" w14:textId="749E9058"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1E17E900" w14:textId="675DAB8A"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3" w:type="pct"/>
                <w:shd w:val="clear" w:color="auto" w:fill="FFFFFF" w:themeFill="background2"/>
                <w:vAlign w:val="center"/>
              </w:tcPr>
              <w:p w14:paraId="165271BB" w14:textId="41073BB8"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0.00%</w:t>
                </w:r>
              </w:p>
            </w:tc>
          </w:tr>
          <w:tr w:rsidR="00AF1817" w:rsidRPr="00B80369" w14:paraId="685A5721"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3AF7F41D" w14:textId="77777777" w:rsidR="00AF1817" w:rsidRPr="00B80369" w:rsidRDefault="00AF1817"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A1.3</w:t>
                </w:r>
              </w:p>
            </w:tc>
            <w:tc>
              <w:tcPr>
                <w:tcW w:w="491" w:type="pct"/>
                <w:shd w:val="clear" w:color="auto" w:fill="FFFFFF" w:themeFill="background2"/>
                <w:tcMar>
                  <w:top w:w="60" w:type="dxa"/>
                  <w:left w:w="114" w:type="dxa"/>
                  <w:bottom w:w="60" w:type="dxa"/>
                  <w:right w:w="114" w:type="dxa"/>
                </w:tcMar>
                <w:vAlign w:val="center"/>
              </w:tcPr>
              <w:p w14:paraId="555CD6D3" w14:textId="71D918D9"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75</w:t>
                </w:r>
              </w:p>
            </w:tc>
            <w:tc>
              <w:tcPr>
                <w:tcW w:w="417" w:type="pct"/>
                <w:shd w:val="clear" w:color="auto" w:fill="FFFFFF" w:themeFill="background2"/>
                <w:tcMar>
                  <w:top w:w="60" w:type="dxa"/>
                  <w:left w:w="114" w:type="dxa"/>
                  <w:bottom w:w="60" w:type="dxa"/>
                  <w:right w:w="114" w:type="dxa"/>
                </w:tcMar>
                <w:vAlign w:val="center"/>
              </w:tcPr>
              <w:p w14:paraId="65AA31C5" w14:textId="4E47D69A"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4D443998" w14:textId="779F9A9C"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4D624CB1" w14:textId="01A7AF95"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4F24FF49" w14:textId="51DD33D6"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59627D51" w14:textId="51F4529A"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326E788C" w14:textId="46E6A17E"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531370D2" w14:textId="396D3B92"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2BDBF996" w14:textId="5ECBADA2"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3102CC68" w14:textId="5C01B636"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3" w:type="pct"/>
                <w:shd w:val="clear" w:color="auto" w:fill="FFFFFF" w:themeFill="background2"/>
                <w:vAlign w:val="center"/>
              </w:tcPr>
              <w:p w14:paraId="53686E3F" w14:textId="60ECF355"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0.00%</w:t>
                </w:r>
              </w:p>
            </w:tc>
          </w:tr>
          <w:tr w:rsidR="00AF1817" w:rsidRPr="00B80369" w14:paraId="6F07F40E"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6CCD6A92" w14:textId="77777777" w:rsidR="00AF1817" w:rsidRPr="00B80369" w:rsidRDefault="00AF1817"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A2.1</w:t>
                </w:r>
              </w:p>
            </w:tc>
            <w:tc>
              <w:tcPr>
                <w:tcW w:w="491" w:type="pct"/>
                <w:shd w:val="clear" w:color="auto" w:fill="FFFFFF" w:themeFill="background2"/>
                <w:tcMar>
                  <w:top w:w="60" w:type="dxa"/>
                  <w:left w:w="114" w:type="dxa"/>
                  <w:bottom w:w="60" w:type="dxa"/>
                  <w:right w:w="114" w:type="dxa"/>
                </w:tcMar>
                <w:vAlign w:val="center"/>
              </w:tcPr>
              <w:p w14:paraId="1F7E5E39" w14:textId="51CD1967"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185</w:t>
                </w:r>
              </w:p>
            </w:tc>
            <w:tc>
              <w:tcPr>
                <w:tcW w:w="417" w:type="pct"/>
                <w:shd w:val="clear" w:color="auto" w:fill="FFFFFF" w:themeFill="background2"/>
                <w:tcMar>
                  <w:top w:w="60" w:type="dxa"/>
                  <w:left w:w="114" w:type="dxa"/>
                  <w:bottom w:w="60" w:type="dxa"/>
                  <w:right w:w="114" w:type="dxa"/>
                </w:tcMar>
                <w:vAlign w:val="center"/>
              </w:tcPr>
              <w:p w14:paraId="4DF17BDC" w14:textId="72692A64"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442987E1" w14:textId="65E0EBD9"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084E9E3B" w14:textId="18484EAA"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w:t>
                </w:r>
              </w:p>
            </w:tc>
            <w:tc>
              <w:tcPr>
                <w:tcW w:w="417" w:type="pct"/>
                <w:shd w:val="clear" w:color="auto" w:fill="FFFFFF" w:themeFill="background2"/>
                <w:vAlign w:val="center"/>
              </w:tcPr>
              <w:p w14:paraId="4B18E898" w14:textId="4A982875"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w:t>
                </w:r>
              </w:p>
            </w:tc>
            <w:tc>
              <w:tcPr>
                <w:tcW w:w="417" w:type="pct"/>
                <w:shd w:val="clear" w:color="auto" w:fill="FFFFFF" w:themeFill="background2"/>
                <w:vAlign w:val="center"/>
              </w:tcPr>
              <w:p w14:paraId="159FDAAD" w14:textId="335FD038"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w:t>
                </w:r>
              </w:p>
            </w:tc>
            <w:tc>
              <w:tcPr>
                <w:tcW w:w="417" w:type="pct"/>
                <w:shd w:val="clear" w:color="auto" w:fill="FFFFFF" w:themeFill="background2"/>
                <w:vAlign w:val="center"/>
              </w:tcPr>
              <w:p w14:paraId="3094CEF4" w14:textId="32AB56B7"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57D431A5" w14:textId="639915AB"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028159F7" w14:textId="11AE9737"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0.54%</w:t>
                </w:r>
              </w:p>
            </w:tc>
            <w:tc>
              <w:tcPr>
                <w:tcW w:w="417" w:type="pct"/>
                <w:shd w:val="clear" w:color="auto" w:fill="FFFFFF" w:themeFill="background2"/>
                <w:vAlign w:val="center"/>
              </w:tcPr>
              <w:p w14:paraId="37651619" w14:textId="7D0CD8D1"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0.54%</w:t>
                </w:r>
              </w:p>
            </w:tc>
            <w:tc>
              <w:tcPr>
                <w:tcW w:w="413" w:type="pct"/>
                <w:shd w:val="clear" w:color="auto" w:fill="FFFFFF" w:themeFill="background2"/>
                <w:vAlign w:val="center"/>
              </w:tcPr>
              <w:p w14:paraId="3C0D8DDC" w14:textId="419FD51F" w:rsidR="00AF1817" w:rsidRPr="00B80369" w:rsidRDefault="007D3C14"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0.54%</w:t>
                </w:r>
                <w:r w:rsidR="00AF1817" w:rsidRPr="00B80369">
                  <w:rPr>
                    <w:rFonts w:eastAsia="Times New Roman" w:cs="Segoe UI"/>
                    <w:b/>
                    <w:bCs/>
                    <w:sz w:val="14"/>
                    <w:szCs w:val="14"/>
                    <w:lang w:val="en-GB" w:eastAsia="it-IT"/>
                  </w:rPr>
                  <w:t>-</w:t>
                </w:r>
              </w:p>
            </w:tc>
          </w:tr>
          <w:tr w:rsidR="00AF1817" w:rsidRPr="00B80369" w14:paraId="01174D16"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1F2AB3B3" w14:textId="77777777" w:rsidR="00AF1817" w:rsidRPr="00B80369" w:rsidRDefault="00AF1817"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A2.2</w:t>
                </w:r>
              </w:p>
            </w:tc>
            <w:tc>
              <w:tcPr>
                <w:tcW w:w="491" w:type="pct"/>
                <w:shd w:val="clear" w:color="auto" w:fill="FFFFFF" w:themeFill="background2"/>
                <w:tcMar>
                  <w:top w:w="60" w:type="dxa"/>
                  <w:left w:w="114" w:type="dxa"/>
                  <w:bottom w:w="60" w:type="dxa"/>
                  <w:right w:w="114" w:type="dxa"/>
                </w:tcMar>
                <w:vAlign w:val="center"/>
              </w:tcPr>
              <w:p w14:paraId="443CA22F" w14:textId="1BD883FD"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640</w:t>
                </w:r>
              </w:p>
            </w:tc>
            <w:tc>
              <w:tcPr>
                <w:tcW w:w="417" w:type="pct"/>
                <w:shd w:val="clear" w:color="auto" w:fill="FFFFFF" w:themeFill="background2"/>
                <w:tcMar>
                  <w:top w:w="60" w:type="dxa"/>
                  <w:left w:w="114" w:type="dxa"/>
                  <w:bottom w:w="60" w:type="dxa"/>
                  <w:right w:w="114" w:type="dxa"/>
                </w:tcMar>
                <w:vAlign w:val="center"/>
              </w:tcPr>
              <w:p w14:paraId="6526BBD7" w14:textId="76931CD1"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1A010DFC" w14:textId="281A0303"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w:t>
                </w:r>
              </w:p>
            </w:tc>
            <w:tc>
              <w:tcPr>
                <w:tcW w:w="417" w:type="pct"/>
                <w:shd w:val="clear" w:color="auto" w:fill="FFFFFF" w:themeFill="background2"/>
                <w:vAlign w:val="center"/>
              </w:tcPr>
              <w:p w14:paraId="35823F16" w14:textId="538C2EAE"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w:t>
                </w:r>
              </w:p>
            </w:tc>
            <w:tc>
              <w:tcPr>
                <w:tcW w:w="417" w:type="pct"/>
                <w:shd w:val="clear" w:color="auto" w:fill="FFFFFF" w:themeFill="background2"/>
                <w:vAlign w:val="center"/>
              </w:tcPr>
              <w:p w14:paraId="60BAEDDB" w14:textId="27A66410"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w:t>
                </w:r>
              </w:p>
            </w:tc>
            <w:tc>
              <w:tcPr>
                <w:tcW w:w="417" w:type="pct"/>
                <w:shd w:val="clear" w:color="auto" w:fill="FFFFFF" w:themeFill="background2"/>
                <w:vAlign w:val="center"/>
              </w:tcPr>
              <w:p w14:paraId="7E43D39B" w14:textId="5A56E36E"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w:t>
                </w:r>
              </w:p>
            </w:tc>
            <w:tc>
              <w:tcPr>
                <w:tcW w:w="417" w:type="pct"/>
                <w:shd w:val="clear" w:color="auto" w:fill="FFFFFF" w:themeFill="background2"/>
                <w:vAlign w:val="center"/>
              </w:tcPr>
              <w:p w14:paraId="0B19D47A" w14:textId="039DF150"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78F906D6" w14:textId="5DA74E9F"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0.16%</w:t>
                </w:r>
              </w:p>
            </w:tc>
            <w:tc>
              <w:tcPr>
                <w:tcW w:w="417" w:type="pct"/>
                <w:shd w:val="clear" w:color="auto" w:fill="FFFFFF" w:themeFill="background2"/>
                <w:vAlign w:val="center"/>
              </w:tcPr>
              <w:p w14:paraId="04883AA1" w14:textId="2CD1262C"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0.16%</w:t>
                </w:r>
              </w:p>
            </w:tc>
            <w:tc>
              <w:tcPr>
                <w:tcW w:w="417" w:type="pct"/>
                <w:shd w:val="clear" w:color="auto" w:fill="FFFFFF" w:themeFill="background2"/>
                <w:vAlign w:val="center"/>
              </w:tcPr>
              <w:p w14:paraId="793DE1C4" w14:textId="45EE62D8"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0.16%</w:t>
                </w:r>
              </w:p>
            </w:tc>
            <w:tc>
              <w:tcPr>
                <w:tcW w:w="413" w:type="pct"/>
                <w:shd w:val="clear" w:color="auto" w:fill="FFFFFF" w:themeFill="background2"/>
                <w:vAlign w:val="center"/>
              </w:tcPr>
              <w:p w14:paraId="560B0DA5" w14:textId="2F0E8EEE" w:rsidR="00AF1817" w:rsidRPr="00B80369" w:rsidRDefault="007D3C14"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0.16%</w:t>
                </w:r>
              </w:p>
            </w:tc>
          </w:tr>
          <w:tr w:rsidR="00AF1817" w:rsidRPr="00B80369" w14:paraId="71057F7C"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75F4E5CF" w14:textId="77777777" w:rsidR="00AF1817" w:rsidRPr="00B80369" w:rsidRDefault="00AF1817"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A3.1</w:t>
                </w:r>
              </w:p>
            </w:tc>
            <w:tc>
              <w:tcPr>
                <w:tcW w:w="491" w:type="pct"/>
                <w:shd w:val="clear" w:color="auto" w:fill="FFFFFF" w:themeFill="background2"/>
                <w:tcMar>
                  <w:top w:w="60" w:type="dxa"/>
                  <w:left w:w="114" w:type="dxa"/>
                  <w:bottom w:w="60" w:type="dxa"/>
                  <w:right w:w="114" w:type="dxa"/>
                </w:tcMar>
                <w:vAlign w:val="center"/>
              </w:tcPr>
              <w:p w14:paraId="4F212578" w14:textId="4A5342FA"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2,328</w:t>
                </w:r>
              </w:p>
            </w:tc>
            <w:tc>
              <w:tcPr>
                <w:tcW w:w="417" w:type="pct"/>
                <w:shd w:val="clear" w:color="auto" w:fill="FFFFFF" w:themeFill="background2"/>
                <w:tcMar>
                  <w:top w:w="60" w:type="dxa"/>
                  <w:left w:w="114" w:type="dxa"/>
                  <w:bottom w:w="60" w:type="dxa"/>
                  <w:right w:w="114" w:type="dxa"/>
                </w:tcMar>
                <w:vAlign w:val="center"/>
              </w:tcPr>
              <w:p w14:paraId="45A747EE" w14:textId="0634FDC2"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w:t>
                </w:r>
              </w:p>
            </w:tc>
            <w:tc>
              <w:tcPr>
                <w:tcW w:w="417" w:type="pct"/>
                <w:shd w:val="clear" w:color="auto" w:fill="FFFFFF" w:themeFill="background2"/>
                <w:vAlign w:val="center"/>
              </w:tcPr>
              <w:p w14:paraId="3D7F5F69" w14:textId="6F7B073D"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w:t>
                </w:r>
              </w:p>
            </w:tc>
            <w:tc>
              <w:tcPr>
                <w:tcW w:w="417" w:type="pct"/>
                <w:shd w:val="clear" w:color="auto" w:fill="FFFFFF" w:themeFill="background2"/>
                <w:vAlign w:val="center"/>
              </w:tcPr>
              <w:p w14:paraId="5A7C12D7" w14:textId="4F27A135"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w:t>
                </w:r>
              </w:p>
            </w:tc>
            <w:tc>
              <w:tcPr>
                <w:tcW w:w="417" w:type="pct"/>
                <w:shd w:val="clear" w:color="auto" w:fill="FFFFFF" w:themeFill="background2"/>
                <w:vAlign w:val="center"/>
              </w:tcPr>
              <w:p w14:paraId="64EB97D2" w14:textId="0CFD0671"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9</w:t>
                </w:r>
              </w:p>
            </w:tc>
            <w:tc>
              <w:tcPr>
                <w:tcW w:w="417" w:type="pct"/>
                <w:shd w:val="clear" w:color="auto" w:fill="FFFFFF" w:themeFill="background2"/>
                <w:vAlign w:val="center"/>
              </w:tcPr>
              <w:p w14:paraId="3D2C4BB3" w14:textId="3F60703B"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13</w:t>
                </w:r>
              </w:p>
            </w:tc>
            <w:tc>
              <w:tcPr>
                <w:tcW w:w="417" w:type="pct"/>
                <w:shd w:val="clear" w:color="auto" w:fill="FFFFFF" w:themeFill="background2"/>
                <w:vAlign w:val="center"/>
              </w:tcPr>
              <w:p w14:paraId="6760E7E5" w14:textId="13D5D0BA"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0.09%</w:t>
                </w:r>
              </w:p>
            </w:tc>
            <w:tc>
              <w:tcPr>
                <w:tcW w:w="417" w:type="pct"/>
                <w:shd w:val="clear" w:color="auto" w:fill="FFFFFF" w:themeFill="background2"/>
                <w:vAlign w:val="center"/>
              </w:tcPr>
              <w:p w14:paraId="0BAD1C2E" w14:textId="1F97CC4C"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0.21%</w:t>
                </w:r>
              </w:p>
            </w:tc>
            <w:tc>
              <w:tcPr>
                <w:tcW w:w="417" w:type="pct"/>
                <w:shd w:val="clear" w:color="auto" w:fill="FFFFFF" w:themeFill="background2"/>
                <w:vAlign w:val="center"/>
              </w:tcPr>
              <w:p w14:paraId="0B1EB7FA" w14:textId="1AE2FAB5"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0.30%</w:t>
                </w:r>
              </w:p>
            </w:tc>
            <w:tc>
              <w:tcPr>
                <w:tcW w:w="417" w:type="pct"/>
                <w:shd w:val="clear" w:color="auto" w:fill="FFFFFF" w:themeFill="background2"/>
                <w:vAlign w:val="center"/>
              </w:tcPr>
              <w:p w14:paraId="3484AC31" w14:textId="1AC68AA5"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0.39%</w:t>
                </w:r>
              </w:p>
            </w:tc>
            <w:tc>
              <w:tcPr>
                <w:tcW w:w="413" w:type="pct"/>
                <w:shd w:val="clear" w:color="auto" w:fill="FFFFFF" w:themeFill="background2"/>
                <w:vAlign w:val="center"/>
              </w:tcPr>
              <w:p w14:paraId="60CE9A62" w14:textId="538C3428" w:rsidR="00AF1817" w:rsidRPr="00B80369" w:rsidRDefault="00AF26F9"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0.56%</w:t>
                </w:r>
              </w:p>
            </w:tc>
          </w:tr>
          <w:tr w:rsidR="00AF1817" w:rsidRPr="00B80369" w14:paraId="5291700D"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7AF8A8BC" w14:textId="77777777" w:rsidR="00AF1817" w:rsidRPr="00B80369" w:rsidRDefault="00AF1817"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B1.1</w:t>
                </w:r>
              </w:p>
            </w:tc>
            <w:tc>
              <w:tcPr>
                <w:tcW w:w="491" w:type="pct"/>
                <w:shd w:val="clear" w:color="auto" w:fill="FFFFFF" w:themeFill="background2"/>
                <w:tcMar>
                  <w:top w:w="60" w:type="dxa"/>
                  <w:left w:w="114" w:type="dxa"/>
                  <w:bottom w:w="60" w:type="dxa"/>
                  <w:right w:w="114" w:type="dxa"/>
                </w:tcMar>
                <w:vAlign w:val="center"/>
              </w:tcPr>
              <w:p w14:paraId="306E3BB2" w14:textId="05582B4B"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4,517</w:t>
                </w:r>
              </w:p>
            </w:tc>
            <w:tc>
              <w:tcPr>
                <w:tcW w:w="417" w:type="pct"/>
                <w:shd w:val="clear" w:color="auto" w:fill="FFFFFF" w:themeFill="background2"/>
                <w:tcMar>
                  <w:top w:w="60" w:type="dxa"/>
                  <w:left w:w="114" w:type="dxa"/>
                  <w:bottom w:w="60" w:type="dxa"/>
                  <w:right w:w="114" w:type="dxa"/>
                </w:tcMar>
                <w:vAlign w:val="center"/>
              </w:tcPr>
              <w:p w14:paraId="0FF4D7D6" w14:textId="600BD706"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w:t>
                </w:r>
              </w:p>
            </w:tc>
            <w:tc>
              <w:tcPr>
                <w:tcW w:w="417" w:type="pct"/>
                <w:shd w:val="clear" w:color="auto" w:fill="FFFFFF" w:themeFill="background2"/>
                <w:vAlign w:val="center"/>
              </w:tcPr>
              <w:p w14:paraId="3F08DAC0" w14:textId="0B452CF7"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21</w:t>
                </w:r>
              </w:p>
            </w:tc>
            <w:tc>
              <w:tcPr>
                <w:tcW w:w="417" w:type="pct"/>
                <w:shd w:val="clear" w:color="auto" w:fill="FFFFFF" w:themeFill="background2"/>
                <w:vAlign w:val="center"/>
              </w:tcPr>
              <w:p w14:paraId="51BCBF75" w14:textId="1AC3B951"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30</w:t>
                </w:r>
              </w:p>
            </w:tc>
            <w:tc>
              <w:tcPr>
                <w:tcW w:w="417" w:type="pct"/>
                <w:shd w:val="clear" w:color="auto" w:fill="FFFFFF" w:themeFill="background2"/>
                <w:vAlign w:val="center"/>
              </w:tcPr>
              <w:p w14:paraId="5109BED3" w14:textId="31ACBB61"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38</w:t>
                </w:r>
              </w:p>
            </w:tc>
            <w:tc>
              <w:tcPr>
                <w:tcW w:w="417" w:type="pct"/>
                <w:shd w:val="clear" w:color="auto" w:fill="FFFFFF" w:themeFill="background2"/>
                <w:vAlign w:val="center"/>
              </w:tcPr>
              <w:p w14:paraId="7DEA7DE3" w14:textId="31C2F3CA"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50</w:t>
                </w:r>
              </w:p>
            </w:tc>
            <w:tc>
              <w:tcPr>
                <w:tcW w:w="417" w:type="pct"/>
                <w:shd w:val="clear" w:color="auto" w:fill="FFFFFF" w:themeFill="background2"/>
                <w:vAlign w:val="center"/>
              </w:tcPr>
              <w:p w14:paraId="27EC7A7B" w14:textId="27CB1CD0"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0.15%</w:t>
                </w:r>
              </w:p>
            </w:tc>
            <w:tc>
              <w:tcPr>
                <w:tcW w:w="417" w:type="pct"/>
                <w:shd w:val="clear" w:color="auto" w:fill="FFFFFF" w:themeFill="background2"/>
                <w:vAlign w:val="center"/>
              </w:tcPr>
              <w:p w14:paraId="362394D4" w14:textId="1639EDE8"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0.46%</w:t>
                </w:r>
              </w:p>
            </w:tc>
            <w:tc>
              <w:tcPr>
                <w:tcW w:w="417" w:type="pct"/>
                <w:shd w:val="clear" w:color="auto" w:fill="FFFFFF" w:themeFill="background2"/>
                <w:vAlign w:val="center"/>
              </w:tcPr>
              <w:p w14:paraId="0E11622F" w14:textId="13E798BC"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0.66%</w:t>
                </w:r>
              </w:p>
            </w:tc>
            <w:tc>
              <w:tcPr>
                <w:tcW w:w="417" w:type="pct"/>
                <w:shd w:val="clear" w:color="auto" w:fill="FFFFFF" w:themeFill="background2"/>
                <w:vAlign w:val="center"/>
              </w:tcPr>
              <w:p w14:paraId="4BF05E65" w14:textId="0F680A61"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0.84%</w:t>
                </w:r>
              </w:p>
            </w:tc>
            <w:tc>
              <w:tcPr>
                <w:tcW w:w="413" w:type="pct"/>
                <w:shd w:val="clear" w:color="auto" w:fill="FFFFFF" w:themeFill="background2"/>
                <w:vAlign w:val="center"/>
              </w:tcPr>
              <w:p w14:paraId="5F6220CE" w14:textId="23DF9672" w:rsidR="00AF1817" w:rsidRPr="00B80369" w:rsidRDefault="00AF26F9"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1.11%</w:t>
                </w:r>
              </w:p>
            </w:tc>
          </w:tr>
          <w:tr w:rsidR="00AF1817" w:rsidRPr="00B80369" w14:paraId="0B4E79D9"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30848E2C" w14:textId="77777777" w:rsidR="00AF1817" w:rsidRPr="00B80369" w:rsidRDefault="00AF1817"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B1.2</w:t>
                </w:r>
              </w:p>
            </w:tc>
            <w:tc>
              <w:tcPr>
                <w:tcW w:w="491" w:type="pct"/>
                <w:shd w:val="clear" w:color="auto" w:fill="FFFFFF" w:themeFill="background2"/>
                <w:tcMar>
                  <w:top w:w="60" w:type="dxa"/>
                  <w:left w:w="114" w:type="dxa"/>
                  <w:bottom w:w="60" w:type="dxa"/>
                  <w:right w:w="114" w:type="dxa"/>
                </w:tcMar>
                <w:vAlign w:val="center"/>
              </w:tcPr>
              <w:p w14:paraId="684EF397" w14:textId="162B1F05"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5,812</w:t>
                </w:r>
              </w:p>
            </w:tc>
            <w:tc>
              <w:tcPr>
                <w:tcW w:w="417" w:type="pct"/>
                <w:shd w:val="clear" w:color="auto" w:fill="FFFFFF" w:themeFill="background2"/>
                <w:tcMar>
                  <w:top w:w="60" w:type="dxa"/>
                  <w:left w:w="114" w:type="dxa"/>
                  <w:bottom w:w="60" w:type="dxa"/>
                  <w:right w:w="114" w:type="dxa"/>
                </w:tcMar>
                <w:vAlign w:val="center"/>
              </w:tcPr>
              <w:p w14:paraId="37E3DE3E" w14:textId="4FFB8830"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19</w:t>
                </w:r>
              </w:p>
            </w:tc>
            <w:tc>
              <w:tcPr>
                <w:tcW w:w="417" w:type="pct"/>
                <w:shd w:val="clear" w:color="auto" w:fill="FFFFFF" w:themeFill="background2"/>
                <w:vAlign w:val="center"/>
              </w:tcPr>
              <w:p w14:paraId="3BD1CA10" w14:textId="65AA5CA6"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48</w:t>
                </w:r>
              </w:p>
            </w:tc>
            <w:tc>
              <w:tcPr>
                <w:tcW w:w="417" w:type="pct"/>
                <w:shd w:val="clear" w:color="auto" w:fill="FFFFFF" w:themeFill="background2"/>
                <w:vAlign w:val="center"/>
              </w:tcPr>
              <w:p w14:paraId="7A41A3F9" w14:textId="514D05DE"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80</w:t>
                </w:r>
              </w:p>
            </w:tc>
            <w:tc>
              <w:tcPr>
                <w:tcW w:w="417" w:type="pct"/>
                <w:shd w:val="clear" w:color="auto" w:fill="FFFFFF" w:themeFill="background2"/>
                <w:vAlign w:val="center"/>
              </w:tcPr>
              <w:p w14:paraId="433C7155" w14:textId="40C91CB8"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103</w:t>
                </w:r>
              </w:p>
            </w:tc>
            <w:tc>
              <w:tcPr>
                <w:tcW w:w="417" w:type="pct"/>
                <w:shd w:val="clear" w:color="auto" w:fill="FFFFFF" w:themeFill="background2"/>
                <w:vAlign w:val="center"/>
              </w:tcPr>
              <w:p w14:paraId="00D496AF" w14:textId="2BA677D5"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146</w:t>
                </w:r>
              </w:p>
            </w:tc>
            <w:tc>
              <w:tcPr>
                <w:tcW w:w="417" w:type="pct"/>
                <w:shd w:val="clear" w:color="auto" w:fill="FFFFFF" w:themeFill="background2"/>
                <w:vAlign w:val="center"/>
              </w:tcPr>
              <w:p w14:paraId="76A57204" w14:textId="53660309"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0.33%</w:t>
                </w:r>
              </w:p>
            </w:tc>
            <w:tc>
              <w:tcPr>
                <w:tcW w:w="417" w:type="pct"/>
                <w:shd w:val="clear" w:color="auto" w:fill="FFFFFF" w:themeFill="background2"/>
                <w:vAlign w:val="center"/>
              </w:tcPr>
              <w:p w14:paraId="4413F75E" w14:textId="14799612"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0.83%</w:t>
                </w:r>
              </w:p>
            </w:tc>
            <w:tc>
              <w:tcPr>
                <w:tcW w:w="417" w:type="pct"/>
                <w:shd w:val="clear" w:color="auto" w:fill="FFFFFF" w:themeFill="background2"/>
                <w:vAlign w:val="center"/>
              </w:tcPr>
              <w:p w14:paraId="4D05B687" w14:textId="7951C6E2"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1.38%</w:t>
                </w:r>
              </w:p>
            </w:tc>
            <w:tc>
              <w:tcPr>
                <w:tcW w:w="417" w:type="pct"/>
                <w:shd w:val="clear" w:color="auto" w:fill="FFFFFF" w:themeFill="background2"/>
                <w:vAlign w:val="center"/>
              </w:tcPr>
              <w:p w14:paraId="6F3829AA" w14:textId="47340396"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1.77%</w:t>
                </w:r>
              </w:p>
            </w:tc>
            <w:tc>
              <w:tcPr>
                <w:tcW w:w="413" w:type="pct"/>
                <w:shd w:val="clear" w:color="auto" w:fill="FFFFFF" w:themeFill="background2"/>
                <w:vAlign w:val="center"/>
              </w:tcPr>
              <w:p w14:paraId="58A349AE" w14:textId="197C567F" w:rsidR="00AF1817" w:rsidRPr="00B80369" w:rsidRDefault="00AF26F9"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2.51</w:t>
                </w:r>
                <w:r w:rsidR="001C72BF" w:rsidRPr="00B80369">
                  <w:rPr>
                    <w:rFonts w:eastAsia="Times New Roman" w:cs="Segoe UI"/>
                    <w:b/>
                    <w:bCs/>
                    <w:sz w:val="14"/>
                    <w:szCs w:val="14"/>
                    <w:lang w:val="en-GB" w:eastAsia="it-IT"/>
                  </w:rPr>
                  <w:t>%</w:t>
                </w:r>
              </w:p>
            </w:tc>
          </w:tr>
          <w:tr w:rsidR="00AF1817" w:rsidRPr="00B80369" w14:paraId="20E7276D"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5CA520F1" w14:textId="77777777" w:rsidR="00AF1817" w:rsidRPr="00B80369" w:rsidRDefault="00AF1817"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B2.1</w:t>
                </w:r>
              </w:p>
            </w:tc>
            <w:tc>
              <w:tcPr>
                <w:tcW w:w="491" w:type="pct"/>
                <w:shd w:val="clear" w:color="auto" w:fill="FFFFFF" w:themeFill="background2"/>
                <w:tcMar>
                  <w:top w:w="60" w:type="dxa"/>
                  <w:left w:w="114" w:type="dxa"/>
                  <w:bottom w:w="60" w:type="dxa"/>
                  <w:right w:w="114" w:type="dxa"/>
                </w:tcMar>
                <w:vAlign w:val="center"/>
              </w:tcPr>
              <w:p w14:paraId="45EDB6B6" w14:textId="04AA6DB8"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6,225</w:t>
                </w:r>
              </w:p>
            </w:tc>
            <w:tc>
              <w:tcPr>
                <w:tcW w:w="417" w:type="pct"/>
                <w:shd w:val="clear" w:color="auto" w:fill="FFFFFF" w:themeFill="background2"/>
                <w:tcMar>
                  <w:top w:w="60" w:type="dxa"/>
                  <w:left w:w="114" w:type="dxa"/>
                  <w:bottom w:w="60" w:type="dxa"/>
                  <w:right w:w="114" w:type="dxa"/>
                </w:tcMar>
                <w:vAlign w:val="center"/>
              </w:tcPr>
              <w:p w14:paraId="4B8732F1" w14:textId="4532DE42"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66</w:t>
                </w:r>
              </w:p>
            </w:tc>
            <w:tc>
              <w:tcPr>
                <w:tcW w:w="417" w:type="pct"/>
                <w:shd w:val="clear" w:color="auto" w:fill="FFFFFF" w:themeFill="background2"/>
                <w:vAlign w:val="center"/>
              </w:tcPr>
              <w:p w14:paraId="1CBA24B0" w14:textId="58B4AAB0"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136</w:t>
                </w:r>
              </w:p>
            </w:tc>
            <w:tc>
              <w:tcPr>
                <w:tcW w:w="417" w:type="pct"/>
                <w:shd w:val="clear" w:color="auto" w:fill="FFFFFF" w:themeFill="background2"/>
                <w:vAlign w:val="center"/>
              </w:tcPr>
              <w:p w14:paraId="2C1E4550" w14:textId="2CB0FFA0"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191</w:t>
                </w:r>
              </w:p>
            </w:tc>
            <w:tc>
              <w:tcPr>
                <w:tcW w:w="417" w:type="pct"/>
                <w:shd w:val="clear" w:color="auto" w:fill="FFFFFF" w:themeFill="background2"/>
                <w:vAlign w:val="center"/>
              </w:tcPr>
              <w:p w14:paraId="2055CB95" w14:textId="6F56FEFC"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238</w:t>
                </w:r>
              </w:p>
            </w:tc>
            <w:tc>
              <w:tcPr>
                <w:tcW w:w="417" w:type="pct"/>
                <w:shd w:val="clear" w:color="auto" w:fill="FFFFFF" w:themeFill="background2"/>
                <w:vAlign w:val="center"/>
              </w:tcPr>
              <w:p w14:paraId="166FCB7A" w14:textId="0F512DA1"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319</w:t>
                </w:r>
              </w:p>
            </w:tc>
            <w:tc>
              <w:tcPr>
                <w:tcW w:w="417" w:type="pct"/>
                <w:shd w:val="clear" w:color="auto" w:fill="FFFFFF" w:themeFill="background2"/>
                <w:vAlign w:val="center"/>
              </w:tcPr>
              <w:p w14:paraId="59DDD193" w14:textId="2BDD4813"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1.06%</w:t>
                </w:r>
              </w:p>
            </w:tc>
            <w:tc>
              <w:tcPr>
                <w:tcW w:w="417" w:type="pct"/>
                <w:shd w:val="clear" w:color="auto" w:fill="FFFFFF" w:themeFill="background2"/>
                <w:vAlign w:val="center"/>
              </w:tcPr>
              <w:p w14:paraId="2DBDCE78" w14:textId="4900D5C9" w:rsidR="00AF1817" w:rsidRPr="00B80369" w:rsidRDefault="00AF1817"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2.18%</w:t>
                </w:r>
              </w:p>
            </w:tc>
            <w:tc>
              <w:tcPr>
                <w:tcW w:w="417" w:type="pct"/>
                <w:shd w:val="clear" w:color="auto" w:fill="FFFFFF" w:themeFill="background2"/>
                <w:vAlign w:val="center"/>
              </w:tcPr>
              <w:p w14:paraId="65A691CE" w14:textId="338529FA" w:rsidR="00AF1817" w:rsidRPr="00B80369" w:rsidRDefault="00AF1817"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3.07%</w:t>
                </w:r>
              </w:p>
            </w:tc>
            <w:tc>
              <w:tcPr>
                <w:tcW w:w="417" w:type="pct"/>
                <w:shd w:val="clear" w:color="auto" w:fill="FFFFFF" w:themeFill="background2"/>
                <w:vAlign w:val="center"/>
              </w:tcPr>
              <w:p w14:paraId="42347F3A" w14:textId="4AE94B0E" w:rsidR="00AF1817" w:rsidRPr="00B80369" w:rsidRDefault="00AF1817"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3.82%</w:t>
                </w:r>
              </w:p>
            </w:tc>
            <w:tc>
              <w:tcPr>
                <w:tcW w:w="413" w:type="pct"/>
                <w:shd w:val="clear" w:color="auto" w:fill="FFFFFF" w:themeFill="background2"/>
                <w:vAlign w:val="center"/>
              </w:tcPr>
              <w:p w14:paraId="7301A36B" w14:textId="6CC9A45F" w:rsidR="00AF1817" w:rsidRPr="00B80369" w:rsidRDefault="001C72BF" w:rsidP="00B80369">
                <w:pPr>
                  <w:spacing w:before="0" w:line="240" w:lineRule="auto"/>
                  <w:jc w:val="center"/>
                  <w:rPr>
                    <w:b/>
                    <w:color w:val="33A1AB" w:themeColor="accent2"/>
                    <w:sz w:val="14"/>
                    <w:szCs w:val="14"/>
                  </w:rPr>
                </w:pPr>
                <w:r w:rsidRPr="00B80369">
                  <w:rPr>
                    <w:rFonts w:eastAsia="Times New Roman" w:cs="Segoe UI"/>
                    <w:b/>
                    <w:bCs/>
                    <w:sz w:val="14"/>
                    <w:szCs w:val="14"/>
                    <w:lang w:val="en-GB" w:eastAsia="it-IT"/>
                  </w:rPr>
                  <w:t>5.12%</w:t>
                </w:r>
              </w:p>
            </w:tc>
          </w:tr>
          <w:tr w:rsidR="00AF1817" w:rsidRPr="00B80369" w14:paraId="34798583"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5EE03545" w14:textId="77777777" w:rsidR="00AF1817" w:rsidRPr="00B80369" w:rsidRDefault="00AF1817"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B2.2</w:t>
                </w:r>
              </w:p>
            </w:tc>
            <w:tc>
              <w:tcPr>
                <w:tcW w:w="491" w:type="pct"/>
                <w:shd w:val="clear" w:color="auto" w:fill="FFFFFF" w:themeFill="background2"/>
                <w:tcMar>
                  <w:top w:w="60" w:type="dxa"/>
                  <w:left w:w="114" w:type="dxa"/>
                  <w:bottom w:w="60" w:type="dxa"/>
                  <w:right w:w="114" w:type="dxa"/>
                </w:tcMar>
                <w:vAlign w:val="center"/>
              </w:tcPr>
              <w:p w14:paraId="5A688C81" w14:textId="5E22BEF6"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2,854</w:t>
                </w:r>
              </w:p>
            </w:tc>
            <w:tc>
              <w:tcPr>
                <w:tcW w:w="417" w:type="pct"/>
                <w:shd w:val="clear" w:color="auto" w:fill="FFFFFF" w:themeFill="background2"/>
                <w:tcMar>
                  <w:top w:w="60" w:type="dxa"/>
                  <w:left w:w="114" w:type="dxa"/>
                  <w:bottom w:w="60" w:type="dxa"/>
                  <w:right w:w="114" w:type="dxa"/>
                </w:tcMar>
                <w:vAlign w:val="center"/>
              </w:tcPr>
              <w:p w14:paraId="77E3150A" w14:textId="2EE12BAB"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54</w:t>
                </w:r>
              </w:p>
            </w:tc>
            <w:tc>
              <w:tcPr>
                <w:tcW w:w="417" w:type="pct"/>
                <w:shd w:val="clear" w:color="auto" w:fill="FFFFFF" w:themeFill="background2"/>
                <w:vAlign w:val="center"/>
              </w:tcPr>
              <w:p w14:paraId="5DAB1B37" w14:textId="4D5DF60A"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110</w:t>
                </w:r>
              </w:p>
            </w:tc>
            <w:tc>
              <w:tcPr>
                <w:tcW w:w="417" w:type="pct"/>
                <w:shd w:val="clear" w:color="auto" w:fill="FFFFFF" w:themeFill="background2"/>
                <w:vAlign w:val="center"/>
              </w:tcPr>
              <w:p w14:paraId="083FED1E" w14:textId="3A8490E2"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143</w:t>
                </w:r>
              </w:p>
            </w:tc>
            <w:tc>
              <w:tcPr>
                <w:tcW w:w="417" w:type="pct"/>
                <w:shd w:val="clear" w:color="auto" w:fill="FFFFFF" w:themeFill="background2"/>
                <w:vAlign w:val="center"/>
              </w:tcPr>
              <w:p w14:paraId="17784D1A" w14:textId="2C56679A"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177</w:t>
                </w:r>
              </w:p>
            </w:tc>
            <w:tc>
              <w:tcPr>
                <w:tcW w:w="417" w:type="pct"/>
                <w:shd w:val="clear" w:color="auto" w:fill="FFFFFF" w:themeFill="background2"/>
                <w:vAlign w:val="center"/>
              </w:tcPr>
              <w:p w14:paraId="7D329092" w14:textId="77E24580"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219</w:t>
                </w:r>
              </w:p>
            </w:tc>
            <w:tc>
              <w:tcPr>
                <w:tcW w:w="417" w:type="pct"/>
                <w:shd w:val="clear" w:color="auto" w:fill="FFFFFF" w:themeFill="background2"/>
                <w:vAlign w:val="center"/>
              </w:tcPr>
              <w:p w14:paraId="17E11EBD" w14:textId="02F6EDA6"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1.89%</w:t>
                </w:r>
              </w:p>
            </w:tc>
            <w:tc>
              <w:tcPr>
                <w:tcW w:w="417" w:type="pct"/>
                <w:shd w:val="clear" w:color="auto" w:fill="FFFFFF" w:themeFill="background2"/>
                <w:vAlign w:val="center"/>
              </w:tcPr>
              <w:p w14:paraId="3264E924" w14:textId="00B8781C"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3.85%</w:t>
                </w:r>
              </w:p>
            </w:tc>
            <w:tc>
              <w:tcPr>
                <w:tcW w:w="417" w:type="pct"/>
                <w:shd w:val="clear" w:color="auto" w:fill="FFFFFF" w:themeFill="background2"/>
                <w:vAlign w:val="center"/>
              </w:tcPr>
              <w:p w14:paraId="6450D18F" w14:textId="3A64CA1C"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5.01%</w:t>
                </w:r>
              </w:p>
            </w:tc>
            <w:tc>
              <w:tcPr>
                <w:tcW w:w="417" w:type="pct"/>
                <w:shd w:val="clear" w:color="auto" w:fill="FFFFFF" w:themeFill="background2"/>
                <w:vAlign w:val="center"/>
              </w:tcPr>
              <w:p w14:paraId="0B843FBB" w14:textId="6F768454"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6.20%</w:t>
                </w:r>
              </w:p>
            </w:tc>
            <w:tc>
              <w:tcPr>
                <w:tcW w:w="413" w:type="pct"/>
                <w:shd w:val="clear" w:color="auto" w:fill="FFFFFF" w:themeFill="background2"/>
                <w:vAlign w:val="center"/>
              </w:tcPr>
              <w:p w14:paraId="6B8DA82C" w14:textId="69842E97" w:rsidR="00AF1817" w:rsidRPr="00B80369" w:rsidRDefault="001C72BF"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7.67</w:t>
                </w:r>
                <w:r w:rsidR="009E50F2" w:rsidRPr="00B80369">
                  <w:rPr>
                    <w:rFonts w:eastAsia="Times New Roman" w:cs="Segoe UI"/>
                    <w:b/>
                    <w:bCs/>
                    <w:sz w:val="14"/>
                    <w:szCs w:val="14"/>
                    <w:lang w:val="en-GB" w:eastAsia="it-IT"/>
                  </w:rPr>
                  <w:t>%</w:t>
                </w:r>
              </w:p>
            </w:tc>
          </w:tr>
          <w:tr w:rsidR="00AF1817" w:rsidRPr="00B80369" w14:paraId="78E22C3C"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3503D13A" w14:textId="77777777" w:rsidR="00AF1817" w:rsidRPr="00B80369" w:rsidRDefault="00AF1817"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C1.1</w:t>
                </w:r>
              </w:p>
            </w:tc>
            <w:tc>
              <w:tcPr>
                <w:tcW w:w="491" w:type="pct"/>
                <w:shd w:val="clear" w:color="auto" w:fill="FFFFFF" w:themeFill="background2"/>
                <w:tcMar>
                  <w:top w:w="60" w:type="dxa"/>
                  <w:left w:w="114" w:type="dxa"/>
                  <w:bottom w:w="60" w:type="dxa"/>
                  <w:right w:w="114" w:type="dxa"/>
                </w:tcMar>
                <w:vAlign w:val="center"/>
              </w:tcPr>
              <w:p w14:paraId="6E7E615A" w14:textId="68AF1498"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1,226</w:t>
                </w:r>
              </w:p>
            </w:tc>
            <w:tc>
              <w:tcPr>
                <w:tcW w:w="417" w:type="pct"/>
                <w:shd w:val="clear" w:color="auto" w:fill="FFFFFF" w:themeFill="background2"/>
                <w:tcMar>
                  <w:top w:w="60" w:type="dxa"/>
                  <w:left w:w="114" w:type="dxa"/>
                  <w:bottom w:w="60" w:type="dxa"/>
                  <w:right w:w="114" w:type="dxa"/>
                </w:tcMar>
                <w:vAlign w:val="center"/>
              </w:tcPr>
              <w:p w14:paraId="0169BE3F" w14:textId="2376FBB7"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40</w:t>
                </w:r>
              </w:p>
            </w:tc>
            <w:tc>
              <w:tcPr>
                <w:tcW w:w="417" w:type="pct"/>
                <w:shd w:val="clear" w:color="auto" w:fill="FFFFFF" w:themeFill="background2"/>
                <w:vAlign w:val="center"/>
              </w:tcPr>
              <w:p w14:paraId="50B436CD" w14:textId="6294791D"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63</w:t>
                </w:r>
              </w:p>
            </w:tc>
            <w:tc>
              <w:tcPr>
                <w:tcW w:w="417" w:type="pct"/>
                <w:shd w:val="clear" w:color="auto" w:fill="FFFFFF" w:themeFill="background2"/>
                <w:vAlign w:val="center"/>
              </w:tcPr>
              <w:p w14:paraId="2CA72DFE" w14:textId="4ACDA71B"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88</w:t>
                </w:r>
              </w:p>
            </w:tc>
            <w:tc>
              <w:tcPr>
                <w:tcW w:w="417" w:type="pct"/>
                <w:shd w:val="clear" w:color="auto" w:fill="FFFFFF" w:themeFill="background2"/>
                <w:vAlign w:val="center"/>
              </w:tcPr>
              <w:p w14:paraId="249C2E36" w14:textId="193E16AC"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113</w:t>
                </w:r>
              </w:p>
            </w:tc>
            <w:tc>
              <w:tcPr>
                <w:tcW w:w="417" w:type="pct"/>
                <w:shd w:val="clear" w:color="auto" w:fill="FFFFFF" w:themeFill="background2"/>
                <w:vAlign w:val="center"/>
              </w:tcPr>
              <w:p w14:paraId="16A5854B" w14:textId="65E0E727"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133</w:t>
                </w:r>
              </w:p>
            </w:tc>
            <w:tc>
              <w:tcPr>
                <w:tcW w:w="417" w:type="pct"/>
                <w:shd w:val="clear" w:color="auto" w:fill="FFFFFF" w:themeFill="background2"/>
                <w:vAlign w:val="center"/>
              </w:tcPr>
              <w:p w14:paraId="66F74025" w14:textId="7A55F5A7"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3.26%</w:t>
                </w:r>
              </w:p>
            </w:tc>
            <w:tc>
              <w:tcPr>
                <w:tcW w:w="417" w:type="pct"/>
                <w:shd w:val="clear" w:color="auto" w:fill="FFFFFF" w:themeFill="background2"/>
                <w:vAlign w:val="center"/>
              </w:tcPr>
              <w:p w14:paraId="3664CA98" w14:textId="67A33166"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5.14%</w:t>
                </w:r>
              </w:p>
            </w:tc>
            <w:tc>
              <w:tcPr>
                <w:tcW w:w="417" w:type="pct"/>
                <w:shd w:val="clear" w:color="auto" w:fill="FFFFFF" w:themeFill="background2"/>
                <w:vAlign w:val="center"/>
              </w:tcPr>
              <w:p w14:paraId="53BD0C6C" w14:textId="0F20238F"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7.18%</w:t>
                </w:r>
              </w:p>
            </w:tc>
            <w:tc>
              <w:tcPr>
                <w:tcW w:w="417" w:type="pct"/>
                <w:shd w:val="clear" w:color="auto" w:fill="FFFFFF" w:themeFill="background2"/>
                <w:vAlign w:val="center"/>
              </w:tcPr>
              <w:p w14:paraId="169277F5" w14:textId="3FA691D2"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9.22%</w:t>
                </w:r>
              </w:p>
            </w:tc>
            <w:tc>
              <w:tcPr>
                <w:tcW w:w="413" w:type="pct"/>
                <w:shd w:val="clear" w:color="auto" w:fill="FFFFFF" w:themeFill="background2"/>
                <w:vAlign w:val="center"/>
              </w:tcPr>
              <w:p w14:paraId="0C10BAFD" w14:textId="6838E091" w:rsidR="00AF1817" w:rsidRPr="00B80369" w:rsidRDefault="001C72BF"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10.85%</w:t>
                </w:r>
              </w:p>
            </w:tc>
          </w:tr>
          <w:tr w:rsidR="00AF1817" w:rsidRPr="00B80369" w14:paraId="523F8819"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17C80012" w14:textId="77777777" w:rsidR="00AF1817" w:rsidRPr="00B80369" w:rsidRDefault="00AF1817"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C1.2</w:t>
                </w:r>
              </w:p>
            </w:tc>
            <w:tc>
              <w:tcPr>
                <w:tcW w:w="491" w:type="pct"/>
                <w:shd w:val="clear" w:color="auto" w:fill="FFFFFF" w:themeFill="background2"/>
                <w:tcMar>
                  <w:top w:w="60" w:type="dxa"/>
                  <w:left w:w="114" w:type="dxa"/>
                  <w:bottom w:w="60" w:type="dxa"/>
                  <w:right w:w="114" w:type="dxa"/>
                </w:tcMar>
                <w:vAlign w:val="center"/>
              </w:tcPr>
              <w:p w14:paraId="6EB77932" w14:textId="20B58C30"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562</w:t>
                </w:r>
              </w:p>
            </w:tc>
            <w:tc>
              <w:tcPr>
                <w:tcW w:w="417" w:type="pct"/>
                <w:shd w:val="clear" w:color="auto" w:fill="FFFFFF" w:themeFill="background2"/>
                <w:tcMar>
                  <w:top w:w="60" w:type="dxa"/>
                  <w:left w:w="114" w:type="dxa"/>
                  <w:bottom w:w="60" w:type="dxa"/>
                  <w:right w:w="114" w:type="dxa"/>
                </w:tcMar>
                <w:vAlign w:val="center"/>
              </w:tcPr>
              <w:p w14:paraId="0FB15805" w14:textId="11A9D15A"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54</w:t>
                </w:r>
              </w:p>
            </w:tc>
            <w:tc>
              <w:tcPr>
                <w:tcW w:w="417" w:type="pct"/>
                <w:shd w:val="clear" w:color="auto" w:fill="FFFFFF" w:themeFill="background2"/>
                <w:vAlign w:val="center"/>
              </w:tcPr>
              <w:p w14:paraId="218A7E2D" w14:textId="06C2CB58"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76</w:t>
                </w:r>
              </w:p>
            </w:tc>
            <w:tc>
              <w:tcPr>
                <w:tcW w:w="417" w:type="pct"/>
                <w:shd w:val="clear" w:color="auto" w:fill="FFFFFF" w:themeFill="background2"/>
                <w:vAlign w:val="center"/>
              </w:tcPr>
              <w:p w14:paraId="59174D54" w14:textId="60F06B19"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93</w:t>
                </w:r>
              </w:p>
            </w:tc>
            <w:tc>
              <w:tcPr>
                <w:tcW w:w="417" w:type="pct"/>
                <w:shd w:val="clear" w:color="auto" w:fill="FFFFFF" w:themeFill="background2"/>
                <w:vAlign w:val="center"/>
              </w:tcPr>
              <w:p w14:paraId="6DFE6635" w14:textId="5BB7BA4C"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102</w:t>
                </w:r>
              </w:p>
            </w:tc>
            <w:tc>
              <w:tcPr>
                <w:tcW w:w="417" w:type="pct"/>
                <w:shd w:val="clear" w:color="auto" w:fill="FFFFFF" w:themeFill="background2"/>
                <w:vAlign w:val="center"/>
              </w:tcPr>
              <w:p w14:paraId="53A3DF29" w14:textId="1A836EF5"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111</w:t>
                </w:r>
              </w:p>
            </w:tc>
            <w:tc>
              <w:tcPr>
                <w:tcW w:w="417" w:type="pct"/>
                <w:shd w:val="clear" w:color="auto" w:fill="FFFFFF" w:themeFill="background2"/>
                <w:vAlign w:val="center"/>
              </w:tcPr>
              <w:p w14:paraId="50B514EA" w14:textId="50E38045"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9.61%</w:t>
                </w:r>
              </w:p>
            </w:tc>
            <w:tc>
              <w:tcPr>
                <w:tcW w:w="417" w:type="pct"/>
                <w:shd w:val="clear" w:color="auto" w:fill="FFFFFF" w:themeFill="background2"/>
                <w:vAlign w:val="center"/>
              </w:tcPr>
              <w:p w14:paraId="4DF039DC" w14:textId="5A2F3939"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13.52%</w:t>
                </w:r>
              </w:p>
            </w:tc>
            <w:tc>
              <w:tcPr>
                <w:tcW w:w="417" w:type="pct"/>
                <w:shd w:val="clear" w:color="auto" w:fill="FFFFFF" w:themeFill="background2"/>
                <w:vAlign w:val="center"/>
              </w:tcPr>
              <w:p w14:paraId="13E8997F" w14:textId="51DF41EB"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16.55%</w:t>
                </w:r>
              </w:p>
            </w:tc>
            <w:tc>
              <w:tcPr>
                <w:tcW w:w="417" w:type="pct"/>
                <w:shd w:val="clear" w:color="auto" w:fill="FFFFFF" w:themeFill="background2"/>
                <w:vAlign w:val="center"/>
              </w:tcPr>
              <w:p w14:paraId="5D55582E" w14:textId="3A212ABA"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18.15%</w:t>
                </w:r>
              </w:p>
            </w:tc>
            <w:tc>
              <w:tcPr>
                <w:tcW w:w="413" w:type="pct"/>
                <w:shd w:val="clear" w:color="auto" w:fill="FFFFFF" w:themeFill="background2"/>
                <w:vAlign w:val="center"/>
              </w:tcPr>
              <w:p w14:paraId="2E24BBA6" w14:textId="3801C8E3" w:rsidR="00AF1817" w:rsidRPr="00B80369" w:rsidRDefault="001C72BF"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19.75%</w:t>
                </w:r>
              </w:p>
            </w:tc>
          </w:tr>
          <w:tr w:rsidR="00AF1817" w:rsidRPr="00B80369" w14:paraId="4669EC31"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6A551B25" w14:textId="77777777" w:rsidR="00AF1817" w:rsidRPr="00B80369" w:rsidRDefault="00AF1817"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C2.1</w:t>
                </w:r>
              </w:p>
            </w:tc>
            <w:tc>
              <w:tcPr>
                <w:tcW w:w="491" w:type="pct"/>
                <w:shd w:val="clear" w:color="auto" w:fill="FFFFFF" w:themeFill="background2"/>
                <w:tcMar>
                  <w:top w:w="60" w:type="dxa"/>
                  <w:left w:w="114" w:type="dxa"/>
                  <w:bottom w:w="60" w:type="dxa"/>
                  <w:right w:w="114" w:type="dxa"/>
                </w:tcMar>
                <w:vAlign w:val="center"/>
              </w:tcPr>
              <w:p w14:paraId="5DFF4224" w14:textId="61A0C366"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257</w:t>
                </w:r>
              </w:p>
            </w:tc>
            <w:tc>
              <w:tcPr>
                <w:tcW w:w="417" w:type="pct"/>
                <w:shd w:val="clear" w:color="auto" w:fill="FFFFFF" w:themeFill="background2"/>
                <w:tcMar>
                  <w:top w:w="60" w:type="dxa"/>
                  <w:left w:w="114" w:type="dxa"/>
                  <w:bottom w:w="60" w:type="dxa"/>
                  <w:right w:w="114" w:type="dxa"/>
                </w:tcMar>
                <w:vAlign w:val="center"/>
              </w:tcPr>
              <w:p w14:paraId="249947E8" w14:textId="75DD1546"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93</w:t>
                </w:r>
              </w:p>
            </w:tc>
            <w:tc>
              <w:tcPr>
                <w:tcW w:w="417" w:type="pct"/>
                <w:shd w:val="clear" w:color="auto" w:fill="FFFFFF" w:themeFill="background2"/>
                <w:vAlign w:val="center"/>
              </w:tcPr>
              <w:p w14:paraId="2768472E" w14:textId="5C6C08F1"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116</w:t>
                </w:r>
              </w:p>
            </w:tc>
            <w:tc>
              <w:tcPr>
                <w:tcW w:w="417" w:type="pct"/>
                <w:shd w:val="clear" w:color="auto" w:fill="FFFFFF" w:themeFill="background2"/>
                <w:vAlign w:val="center"/>
              </w:tcPr>
              <w:p w14:paraId="667F7684" w14:textId="0FADBE70"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128</w:t>
                </w:r>
              </w:p>
            </w:tc>
            <w:tc>
              <w:tcPr>
                <w:tcW w:w="417" w:type="pct"/>
                <w:shd w:val="clear" w:color="auto" w:fill="FFFFFF" w:themeFill="background2"/>
                <w:vAlign w:val="center"/>
              </w:tcPr>
              <w:p w14:paraId="42F298BE" w14:textId="2BCD37D6"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130</w:t>
                </w:r>
              </w:p>
            </w:tc>
            <w:tc>
              <w:tcPr>
                <w:tcW w:w="417" w:type="pct"/>
                <w:shd w:val="clear" w:color="auto" w:fill="FFFFFF" w:themeFill="background2"/>
                <w:vAlign w:val="center"/>
              </w:tcPr>
              <w:p w14:paraId="6FDA955A" w14:textId="4127209E"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136</w:t>
                </w:r>
              </w:p>
            </w:tc>
            <w:tc>
              <w:tcPr>
                <w:tcW w:w="417" w:type="pct"/>
                <w:shd w:val="clear" w:color="auto" w:fill="FFFFFF" w:themeFill="background2"/>
                <w:vAlign w:val="center"/>
              </w:tcPr>
              <w:p w14:paraId="2FA07FDA" w14:textId="1AF1596A"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36.19%</w:t>
                </w:r>
              </w:p>
            </w:tc>
            <w:tc>
              <w:tcPr>
                <w:tcW w:w="417" w:type="pct"/>
                <w:shd w:val="clear" w:color="auto" w:fill="FFFFFF" w:themeFill="background2"/>
                <w:vAlign w:val="center"/>
              </w:tcPr>
              <w:p w14:paraId="3B55A63D" w14:textId="741F6697"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45.14%</w:t>
                </w:r>
              </w:p>
            </w:tc>
            <w:tc>
              <w:tcPr>
                <w:tcW w:w="417" w:type="pct"/>
                <w:shd w:val="clear" w:color="auto" w:fill="FFFFFF" w:themeFill="background2"/>
                <w:vAlign w:val="center"/>
              </w:tcPr>
              <w:p w14:paraId="5FD7360B" w14:textId="338B7ED7"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49.81%</w:t>
                </w:r>
              </w:p>
            </w:tc>
            <w:tc>
              <w:tcPr>
                <w:tcW w:w="417" w:type="pct"/>
                <w:shd w:val="clear" w:color="auto" w:fill="FFFFFF" w:themeFill="background2"/>
                <w:vAlign w:val="center"/>
              </w:tcPr>
              <w:p w14:paraId="5E413390" w14:textId="1D9D1EE3"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50.58%</w:t>
                </w:r>
              </w:p>
            </w:tc>
            <w:tc>
              <w:tcPr>
                <w:tcW w:w="413" w:type="pct"/>
                <w:shd w:val="clear" w:color="auto" w:fill="FFFFFF" w:themeFill="background2"/>
                <w:vAlign w:val="center"/>
              </w:tcPr>
              <w:p w14:paraId="066406EA" w14:textId="3DA156CD" w:rsidR="00AF1817" w:rsidRPr="00B80369" w:rsidRDefault="001C72BF"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52.92%</w:t>
                </w:r>
              </w:p>
            </w:tc>
          </w:tr>
          <w:tr w:rsidR="00AF1817" w:rsidRPr="00B80369" w14:paraId="06811395" w14:textId="77777777" w:rsidTr="00AC7D4E">
            <w:trPr>
              <w:trHeight w:val="227"/>
            </w:trPr>
            <w:tc>
              <w:tcPr>
                <w:tcW w:w="343" w:type="pct"/>
                <w:shd w:val="clear" w:color="auto" w:fill="FFFFFF" w:themeFill="background2"/>
                <w:tcMar>
                  <w:top w:w="60" w:type="dxa"/>
                  <w:left w:w="114" w:type="dxa"/>
                  <w:bottom w:w="60" w:type="dxa"/>
                  <w:right w:w="114" w:type="dxa"/>
                </w:tcMar>
                <w:vAlign w:val="center"/>
              </w:tcPr>
              <w:p w14:paraId="6896DB94" w14:textId="77777777" w:rsidR="00AF1817" w:rsidRPr="00B80369" w:rsidRDefault="00AF1817" w:rsidP="00B80369">
                <w:pPr>
                  <w:spacing w:before="0" w:line="240" w:lineRule="auto"/>
                  <w:jc w:val="center"/>
                  <w:rPr>
                    <w:rFonts w:cs="Segoe UI"/>
                    <w:b/>
                    <w:bCs/>
                    <w:sz w:val="14"/>
                    <w:szCs w:val="14"/>
                    <w:lang w:eastAsia="it-IT"/>
                  </w:rPr>
                </w:pPr>
                <w:r w:rsidRPr="00B80369">
                  <w:rPr>
                    <w:rFonts w:cs="Segoe UI"/>
                    <w:b/>
                    <w:bCs/>
                    <w:sz w:val="14"/>
                    <w:szCs w:val="14"/>
                    <w:lang w:eastAsia="it-IT"/>
                  </w:rPr>
                  <w:t>TOTAL</w:t>
                </w:r>
              </w:p>
            </w:tc>
            <w:tc>
              <w:tcPr>
                <w:tcW w:w="491" w:type="pct"/>
                <w:shd w:val="clear" w:color="auto" w:fill="FFFFFF" w:themeFill="background2"/>
                <w:tcMar>
                  <w:top w:w="60" w:type="dxa"/>
                  <w:left w:w="114" w:type="dxa"/>
                  <w:bottom w:w="60" w:type="dxa"/>
                  <w:right w:w="114" w:type="dxa"/>
                </w:tcMar>
                <w:vAlign w:val="center"/>
              </w:tcPr>
              <w:p w14:paraId="7E72BD6A" w14:textId="59BD0789"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24,715</w:t>
                </w:r>
              </w:p>
            </w:tc>
            <w:tc>
              <w:tcPr>
                <w:tcW w:w="417" w:type="pct"/>
                <w:shd w:val="clear" w:color="auto" w:fill="FFFFFF" w:themeFill="background2"/>
                <w:tcMar>
                  <w:top w:w="60" w:type="dxa"/>
                  <w:left w:w="114" w:type="dxa"/>
                  <w:bottom w:w="60" w:type="dxa"/>
                  <w:right w:w="114" w:type="dxa"/>
                </w:tcMar>
                <w:vAlign w:val="center"/>
              </w:tcPr>
              <w:p w14:paraId="12D986FE" w14:textId="2B4ABFCA"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335</w:t>
                </w:r>
              </w:p>
            </w:tc>
            <w:tc>
              <w:tcPr>
                <w:tcW w:w="417" w:type="pct"/>
                <w:shd w:val="clear" w:color="auto" w:fill="FFFFFF" w:themeFill="background2"/>
                <w:vAlign w:val="center"/>
              </w:tcPr>
              <w:p w14:paraId="3E1C7EF0" w14:textId="0A1E83A6"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576</w:t>
                </w:r>
              </w:p>
            </w:tc>
            <w:tc>
              <w:tcPr>
                <w:tcW w:w="417" w:type="pct"/>
                <w:shd w:val="clear" w:color="auto" w:fill="FFFFFF" w:themeFill="background2"/>
                <w:vAlign w:val="center"/>
              </w:tcPr>
              <w:p w14:paraId="663E8DA9" w14:textId="3EEDA7BF"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b/>
                    <w:bCs/>
                    <w:sz w:val="14"/>
                    <w:szCs w:val="14"/>
                    <w:lang w:val="en-GB" w:eastAsia="it-IT"/>
                  </w:rPr>
                  <w:t>762</w:t>
                </w:r>
              </w:p>
            </w:tc>
            <w:tc>
              <w:tcPr>
                <w:tcW w:w="417" w:type="pct"/>
                <w:shd w:val="clear" w:color="auto" w:fill="FFFFFF" w:themeFill="background2"/>
                <w:vAlign w:val="center"/>
              </w:tcPr>
              <w:p w14:paraId="08CD6962" w14:textId="15A0E686" w:rsidR="00AF1817" w:rsidRPr="00B80369" w:rsidRDefault="00AF1817"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912</w:t>
                </w:r>
              </w:p>
            </w:tc>
            <w:tc>
              <w:tcPr>
                <w:tcW w:w="417" w:type="pct"/>
                <w:shd w:val="clear" w:color="auto" w:fill="FFFFFF" w:themeFill="background2"/>
                <w:vAlign w:val="center"/>
              </w:tcPr>
              <w:p w14:paraId="4B509809" w14:textId="22AF28AB" w:rsidR="00AF1817" w:rsidRPr="00B80369" w:rsidRDefault="00766FFD"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1,129</w:t>
                </w:r>
              </w:p>
            </w:tc>
            <w:tc>
              <w:tcPr>
                <w:tcW w:w="417" w:type="pct"/>
                <w:shd w:val="clear" w:color="auto" w:fill="FFFFFF" w:themeFill="background2"/>
                <w:vAlign w:val="center"/>
              </w:tcPr>
              <w:p w14:paraId="6DE57D63" w14:textId="165D341E"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1.36%</w:t>
                </w:r>
              </w:p>
            </w:tc>
            <w:tc>
              <w:tcPr>
                <w:tcW w:w="417" w:type="pct"/>
                <w:shd w:val="clear" w:color="auto" w:fill="FFFFFF" w:themeFill="background2"/>
                <w:vAlign w:val="center"/>
              </w:tcPr>
              <w:p w14:paraId="1808434A" w14:textId="29A5A38C"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2.33%</w:t>
                </w:r>
              </w:p>
            </w:tc>
            <w:tc>
              <w:tcPr>
                <w:tcW w:w="417" w:type="pct"/>
                <w:shd w:val="clear" w:color="auto" w:fill="FFFFFF" w:themeFill="background2"/>
                <w:vAlign w:val="center"/>
              </w:tcPr>
              <w:p w14:paraId="100A3F55" w14:textId="12960300"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3.08%</w:t>
                </w:r>
              </w:p>
            </w:tc>
            <w:tc>
              <w:tcPr>
                <w:tcW w:w="417" w:type="pct"/>
                <w:shd w:val="clear" w:color="auto" w:fill="FFFFFF" w:themeFill="background2"/>
                <w:vAlign w:val="center"/>
              </w:tcPr>
              <w:p w14:paraId="742C645C" w14:textId="66367D06" w:rsidR="00AF1817" w:rsidRPr="00B80369" w:rsidRDefault="00AF1817"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3.69%</w:t>
                </w:r>
              </w:p>
            </w:tc>
            <w:tc>
              <w:tcPr>
                <w:tcW w:w="413" w:type="pct"/>
                <w:shd w:val="clear" w:color="auto" w:fill="FFFFFF" w:themeFill="background2"/>
                <w:vAlign w:val="center"/>
              </w:tcPr>
              <w:p w14:paraId="66131E5F" w14:textId="326DFCAC" w:rsidR="00AF1817" w:rsidRPr="00B80369" w:rsidRDefault="007B47A5"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4</w:t>
                </w:r>
                <w:r w:rsidR="00255D22" w:rsidRPr="00B80369">
                  <w:rPr>
                    <w:rFonts w:eastAsia="Times New Roman" w:cs="Segoe UI"/>
                    <w:b/>
                    <w:bCs/>
                    <w:sz w:val="14"/>
                    <w:szCs w:val="14"/>
                    <w:lang w:val="en-GB" w:eastAsia="it-IT"/>
                  </w:rPr>
                  <w:t>.</w:t>
                </w:r>
                <w:r w:rsidRPr="00B80369">
                  <w:rPr>
                    <w:rFonts w:eastAsia="Times New Roman" w:cs="Segoe UI"/>
                    <w:b/>
                    <w:bCs/>
                    <w:sz w:val="14"/>
                    <w:szCs w:val="14"/>
                    <w:lang w:val="en-GB" w:eastAsia="it-IT"/>
                  </w:rPr>
                  <w:t>57%</w:t>
                </w:r>
              </w:p>
            </w:tc>
          </w:tr>
        </w:tbl>
        <w:p w14:paraId="12384619" w14:textId="53F8884B" w:rsidR="004101BF" w:rsidRDefault="004101BF" w:rsidP="004101BF">
          <w:pPr>
            <w:pStyle w:val="Didascalia"/>
            <w:rPr>
              <w:rFonts w:ascii="Segoe UI" w:hAnsi="Segoe UI" w:cs="Segoe UI"/>
              <w:i/>
              <w:sz w:val="14"/>
              <w:lang w:val="en-GB"/>
            </w:rPr>
          </w:pPr>
          <w:bookmarkStart w:id="144" w:name="_Toc130806342"/>
          <w:bookmarkStart w:id="145" w:name="_Toc166675682"/>
          <w:bookmarkStart w:id="146" w:name="_Toc167131809"/>
          <w:r w:rsidRPr="0032337D">
            <w:rPr>
              <w:rFonts w:ascii="Segoe UI" w:hAnsi="Segoe UI" w:cs="Segoe UI"/>
              <w:i/>
              <w:sz w:val="14"/>
              <w:lang w:val="en-GB"/>
            </w:rPr>
            <w:lastRenderedPageBreak/>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41</w:t>
          </w:r>
          <w:r>
            <w:rPr>
              <w:rFonts w:ascii="Segoe UI" w:hAnsi="Segoe UI" w:cs="Segoe UI"/>
              <w:i/>
              <w:sz w:val="14"/>
              <w:lang w:val="en-GB"/>
            </w:rPr>
            <w:fldChar w:fldCharType="end"/>
          </w:r>
          <w:r w:rsidRPr="0032337D">
            <w:rPr>
              <w:rFonts w:ascii="Segoe UI" w:hAnsi="Segoe UI" w:cs="Segoe UI"/>
              <w:i/>
              <w:sz w:val="14"/>
              <w:lang w:val="en-GB"/>
            </w:rPr>
            <w:t>: Static pool as of 31</w:t>
          </w:r>
          <w:r w:rsidRPr="0032337D">
            <w:rPr>
              <w:rFonts w:ascii="Segoe UI" w:hAnsi="Segoe UI" w:cs="Segoe UI"/>
              <w:i/>
              <w:sz w:val="14"/>
              <w:vertAlign w:val="superscript"/>
              <w:lang w:val="en-GB"/>
            </w:rPr>
            <w:t>st</w:t>
          </w:r>
          <w:r w:rsidRPr="0032337D">
            <w:rPr>
              <w:rFonts w:ascii="Segoe UI" w:hAnsi="Segoe UI" w:cs="Segoe UI"/>
              <w:i/>
              <w:sz w:val="14"/>
              <w:lang w:val="en-GB"/>
            </w:rPr>
            <w:t xml:space="preserve"> December 2019</w:t>
          </w:r>
          <w:bookmarkEnd w:id="144"/>
          <w:bookmarkEnd w:id="145"/>
          <w:bookmarkEnd w:id="146"/>
        </w:p>
        <w:tbl>
          <w:tblPr>
            <w:tblW w:w="5000" w:type="pct"/>
            <w:tblBorders>
              <w:top w:val="single" w:sz="4" w:space="0" w:color="AFAFB4" w:themeColor="accent4"/>
              <w:bottom w:val="single" w:sz="4" w:space="0" w:color="AFAFB4" w:themeColor="accent4"/>
              <w:insideH w:val="single" w:sz="4" w:space="0" w:color="AFAFB4" w:themeColor="accent4"/>
            </w:tblBorders>
            <w:shd w:val="clear" w:color="auto" w:fill="FFFFFF" w:themeFill="background2"/>
            <w:tblCellMar>
              <w:left w:w="0" w:type="dxa"/>
              <w:right w:w="0" w:type="dxa"/>
            </w:tblCellMar>
            <w:tblLook w:val="0620" w:firstRow="1" w:lastRow="0" w:firstColumn="0" w:lastColumn="0" w:noHBand="1" w:noVBand="1"/>
            <w:tblDescription w:val="{&quot;Ott&quot;:{&quot;FirstRow&quot;:{&quot;BackgroundColor&quot;:{&quot;Key&quot;:&quot;Light2&quot;},&quot;Font&quot;:{&quot;Name&quot;:&quot;Source Sans Pro&quot;,&quot;Size&quot;:14.0,&quot;Bold&quot;:false,&quot;Italic&quot;:false,&quot;Color&quot;:{&quot;Key&quot;:&quot;Dark2&quot;}},&quot;ExcelCellFormatting&quot;:&quot;General&quot;,&quot;Alignment&quot;:{&quot;Horizontal&quot;:&quot;Left&quot;,&quot;Vertical&quot;:&quot;Bottom&quot;},&quot;Borders&quot;:{&quot;Vertical&quot;:{&quot;Visible&quot;:false},&quot;Left&quot;:{&quot;Visible&quot;:false},&quot;Top&quot;:{&quot;Visible&quot;:false},&quot;Right&quot;:{&quot;Visible&quot;:false},&quot;Bottom&quot;:{&quot;Color&quot;:{&quot;Key&quot;:&quot;Accent4&quot;},&quot;BorderWeight&quot;:&quot;Pt1_5&quot;,&quot;Type&quot;:&quot;Solid&quot;,&quot;Visible&quot;:true}}},&quot;FitRowHeightPp&quot;:true,&quot;ZeroMarginsWord&quot;:true,&quot;BackgroundColor&quot;:{&quot;Key&quot;:&quot;Light2&quot;},&quot;Font&quot;:{&quot;Name&quot;:&quot;Source Sans Pro&quot;,&quot;Size&quot;:11.0,&quot;Bold&quot;:false,&quot;Italic&quot;:false,&quot;Color&quot;:{&quot;Key&quot;:&quot;Dark2&quot;}},&quot;LineSpacing&quot;:{&quot;Rule&quot;:&quot;Single&quot;},&quot;Alignment&quot;:{&quot;Horizontal&quot;:&quot;Left&quot;,&quot;Vertical&quot;:&quot;Top&quot;},&quot;Margin&quot;:{&quot;Left&quot;:5.7,&quot;Top&quot;:3.0,&quot;Right&quot;:5.7,&quot;Bottom&quot;:3.0},&quot;Borders&quot;:{&quot;Vertical&quot;:{&quot;Visible&quot;:false},&quot;Horizontal&quot;:{&quot;Color&quot;:{&quot;Key&quot;:&quot;Accent4&quot;},&quot;BorderWeight&quot;:&quot;Pt0_5&quot;,&quot;Type&quot;:&quot;Solid&quot;,&quot;Visible&quot;:true}},&quot;ParagraphSpacing&quot;:{&quot;SpaceBefore&quot;:2.0,&quot;SpaceAfter&quot;:2.0},&quot;ExcelWrapText&quot;:true},&quot;Ccs&quot;:{&quot;DarkBlue&quot;:&quot;0, 20, 55&quot;,&quot;Turquoise&quot;:&quot;0, 164, 230&quot;,&quot;Red&quot;:&quot;214, 70, 65&quot;,&quot;LightGrey&quot;:&quot;174, 174, 180&quot;,&quot;BlueGrey&quot;:&quot;77, 91, 115&quot;,&quot;IceBlue&quot;:&quot;178, 184, 195&quot;,&quot;Grey&quot;:&quot;145, 147, 153&quot;,&quot;Background&quot;:&quot;0, 0, 0, 0&quot;,&quot;White&quot;:&quot;White&quot;,&quot;Accent1&quot;:&quot;1, 1, 1, 1&quot;,&quot;Accent2&quot;:&quot;1, 1, 1, 2&quot;,&quot;Accent3&quot;:&quot;1, 1, 1, 3&quot;,&quot;Accent4&quot;:&quot;1, 1, 1, 4&quot;,&quot;Accent5&quot;:&quot;1, 1, 1, 5&quot;,&quot;Accent6&quot;:&quot;1, 1, 1, 6&quot;,&quot;Dark1&quot;:&quot;1, 1, 1, 7&quot;,&quot;Dark2&quot;:&quot;1, 1, 1, 9&quot;,&quot;Light1&quot;:&quot;1, 1, 1, 8&quot;,&quot;Light2&quot;:&quot;1, 1, 1, 10&quot;},&quot;Cop&quot;:{&quot;FirstRow&quot;:true,&quot;LastRow&quot;:false,&quot;FirstColumn&quot;:false,&quot;LastColumn&quot;:false,&quot;BandedRows&quot;:false,&quot;BandedColumns&quot;:false},&quot;Aaf&quot;:false}"/>
          </w:tblPr>
          <w:tblGrid>
            <w:gridCol w:w="710"/>
            <w:gridCol w:w="1016"/>
            <w:gridCol w:w="863"/>
            <w:gridCol w:w="863"/>
            <w:gridCol w:w="863"/>
            <w:gridCol w:w="863"/>
            <w:gridCol w:w="863"/>
            <w:gridCol w:w="863"/>
            <w:gridCol w:w="863"/>
            <w:gridCol w:w="863"/>
            <w:gridCol w:w="863"/>
            <w:gridCol w:w="855"/>
          </w:tblGrid>
          <w:tr w:rsidR="00707524" w:rsidRPr="00B80369" w14:paraId="10505D52" w14:textId="77777777" w:rsidTr="00AC7D4E">
            <w:trPr>
              <w:trHeight w:val="227"/>
              <w:tblHeader/>
            </w:trPr>
            <w:tc>
              <w:tcPr>
                <w:tcW w:w="343" w:type="pct"/>
                <w:vMerge w:val="restar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5D0A31F5" w14:textId="77777777"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Rating</w:t>
                </w:r>
              </w:p>
            </w:tc>
            <w:tc>
              <w:tcPr>
                <w:tcW w:w="491"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6B2B5C91" w14:textId="77777777"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Static pool</w:t>
                </w:r>
              </w:p>
            </w:tc>
            <w:tc>
              <w:tcPr>
                <w:tcW w:w="2085" w:type="pct"/>
                <w:gridSpan w:val="5"/>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798B1B56" w14:textId="7FF9FD28"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Observed defaults by years since rating issuance</w:t>
                </w:r>
              </w:p>
            </w:tc>
            <w:tc>
              <w:tcPr>
                <w:tcW w:w="2081" w:type="pct"/>
                <w:gridSpan w:val="5"/>
                <w:tcBorders>
                  <w:top w:val="single" w:sz="12" w:space="0" w:color="AFAFB4" w:themeColor="accent4"/>
                </w:tcBorders>
                <w:shd w:val="clear" w:color="auto" w:fill="FFFFFF" w:themeFill="background2"/>
                <w:vAlign w:val="center"/>
              </w:tcPr>
              <w:p w14:paraId="68A4AB66" w14:textId="77777777"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Percentage of cumulative default rates</w:t>
                </w:r>
              </w:p>
            </w:tc>
          </w:tr>
          <w:tr w:rsidR="006527A2" w:rsidRPr="00B80369" w14:paraId="52699AE6" w14:textId="77777777" w:rsidTr="00AC7D4E">
            <w:trPr>
              <w:trHeight w:val="227"/>
              <w:tblHeader/>
            </w:trPr>
            <w:tc>
              <w:tcPr>
                <w:tcW w:w="343" w:type="pct"/>
                <w:vMerge/>
                <w:shd w:val="clear" w:color="auto" w:fill="FFFFFF" w:themeFill="background2"/>
                <w:tcMar>
                  <w:top w:w="60" w:type="dxa"/>
                  <w:left w:w="114" w:type="dxa"/>
                  <w:bottom w:w="60" w:type="dxa"/>
                  <w:right w:w="114" w:type="dxa"/>
                </w:tcMar>
                <w:vAlign w:val="center"/>
              </w:tcPr>
              <w:p w14:paraId="7618D087" w14:textId="77777777" w:rsidR="006527A2" w:rsidRPr="00B80369" w:rsidRDefault="006527A2" w:rsidP="00B80369">
                <w:pPr>
                  <w:spacing w:before="0" w:line="240" w:lineRule="auto"/>
                  <w:jc w:val="center"/>
                  <w:rPr>
                    <w:b/>
                    <w:color w:val="33A1AB" w:themeColor="accent2"/>
                    <w:sz w:val="14"/>
                    <w:szCs w:val="14"/>
                  </w:rPr>
                </w:pPr>
              </w:p>
            </w:tc>
            <w:tc>
              <w:tcPr>
                <w:tcW w:w="491"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3104BEA9" w14:textId="05B8ECF1" w:rsidR="006527A2" w:rsidRPr="00B80369" w:rsidRDefault="006527A2" w:rsidP="00B80369">
                <w:pPr>
                  <w:spacing w:before="0" w:line="240" w:lineRule="auto"/>
                  <w:jc w:val="center"/>
                  <w:rPr>
                    <w:b/>
                    <w:color w:val="33A1AB" w:themeColor="accent2"/>
                    <w:sz w:val="14"/>
                    <w:szCs w:val="14"/>
                  </w:rPr>
                </w:pPr>
                <w:r w:rsidRPr="00B80369">
                  <w:rPr>
                    <w:b/>
                    <w:color w:val="33A1AB" w:themeColor="accent2"/>
                    <w:sz w:val="14"/>
                    <w:szCs w:val="14"/>
                  </w:rPr>
                  <w:t>31 Dec 201</w:t>
                </w:r>
                <w:r w:rsidR="00CA4BC9" w:rsidRPr="00B80369">
                  <w:rPr>
                    <w:b/>
                    <w:color w:val="33A1AB" w:themeColor="accent2"/>
                    <w:sz w:val="14"/>
                    <w:szCs w:val="14"/>
                  </w:rPr>
                  <w:t>9</w:t>
                </w:r>
              </w:p>
            </w:tc>
            <w:tc>
              <w:tcPr>
                <w:tcW w:w="417"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1E13175D" w14:textId="77777777" w:rsidR="006527A2" w:rsidRPr="00B80369" w:rsidRDefault="006527A2" w:rsidP="00B80369">
                <w:pPr>
                  <w:spacing w:before="0" w:line="240" w:lineRule="auto"/>
                  <w:jc w:val="center"/>
                  <w:rPr>
                    <w:b/>
                    <w:color w:val="33A1AB" w:themeColor="accent2"/>
                    <w:sz w:val="14"/>
                    <w:szCs w:val="14"/>
                  </w:rPr>
                </w:pPr>
                <w:r w:rsidRPr="00B80369">
                  <w:rPr>
                    <w:b/>
                    <w:color w:val="33A1AB" w:themeColor="accent2"/>
                    <w:sz w:val="14"/>
                    <w:szCs w:val="14"/>
                  </w:rPr>
                  <w:t>1-Y DR</w:t>
                </w:r>
              </w:p>
            </w:tc>
            <w:tc>
              <w:tcPr>
                <w:tcW w:w="417" w:type="pct"/>
                <w:tcBorders>
                  <w:top w:val="single" w:sz="12" w:space="0" w:color="AFAFB4" w:themeColor="accent4"/>
                </w:tcBorders>
                <w:shd w:val="clear" w:color="auto" w:fill="FFFFFF" w:themeFill="background2"/>
                <w:vAlign w:val="center"/>
              </w:tcPr>
              <w:p w14:paraId="5D740694" w14:textId="77777777" w:rsidR="006527A2" w:rsidRPr="00B80369" w:rsidRDefault="006527A2" w:rsidP="00B80369">
                <w:pPr>
                  <w:spacing w:before="0" w:line="240" w:lineRule="auto"/>
                  <w:jc w:val="center"/>
                  <w:rPr>
                    <w:b/>
                    <w:color w:val="33A1AB" w:themeColor="accent2"/>
                    <w:sz w:val="14"/>
                    <w:szCs w:val="14"/>
                  </w:rPr>
                </w:pPr>
                <w:r w:rsidRPr="00B80369">
                  <w:rPr>
                    <w:b/>
                    <w:color w:val="33A1AB" w:themeColor="accent2"/>
                    <w:sz w:val="14"/>
                    <w:szCs w:val="14"/>
                  </w:rPr>
                  <w:t>2-Y DR</w:t>
                </w:r>
              </w:p>
            </w:tc>
            <w:tc>
              <w:tcPr>
                <w:tcW w:w="417" w:type="pct"/>
                <w:tcBorders>
                  <w:top w:val="single" w:sz="12" w:space="0" w:color="AFAFB4" w:themeColor="accent4"/>
                </w:tcBorders>
                <w:shd w:val="clear" w:color="auto" w:fill="FFFFFF" w:themeFill="background2"/>
                <w:vAlign w:val="center"/>
              </w:tcPr>
              <w:p w14:paraId="472D33A8" w14:textId="77777777" w:rsidR="006527A2" w:rsidRPr="00B80369" w:rsidRDefault="006527A2" w:rsidP="00B80369">
                <w:pPr>
                  <w:spacing w:before="0" w:line="240" w:lineRule="auto"/>
                  <w:jc w:val="center"/>
                  <w:rPr>
                    <w:b/>
                    <w:color w:val="33A1AB" w:themeColor="accent2"/>
                    <w:sz w:val="14"/>
                    <w:szCs w:val="14"/>
                  </w:rPr>
                </w:pPr>
                <w:r w:rsidRPr="00B80369">
                  <w:rPr>
                    <w:b/>
                    <w:color w:val="33A1AB" w:themeColor="accent2"/>
                    <w:sz w:val="14"/>
                    <w:szCs w:val="14"/>
                  </w:rPr>
                  <w:t>3-Y DR</w:t>
                </w:r>
              </w:p>
            </w:tc>
            <w:tc>
              <w:tcPr>
                <w:tcW w:w="417" w:type="pct"/>
                <w:tcBorders>
                  <w:top w:val="single" w:sz="12" w:space="0" w:color="AFAFB4" w:themeColor="accent4"/>
                </w:tcBorders>
                <w:shd w:val="clear" w:color="auto" w:fill="FFFFFF" w:themeFill="background2"/>
                <w:vAlign w:val="center"/>
              </w:tcPr>
              <w:p w14:paraId="2C239058" w14:textId="77777777" w:rsidR="006527A2" w:rsidRPr="00B80369" w:rsidRDefault="006527A2" w:rsidP="00B80369">
                <w:pPr>
                  <w:spacing w:before="0" w:line="240" w:lineRule="auto"/>
                  <w:jc w:val="center"/>
                  <w:rPr>
                    <w:b/>
                    <w:color w:val="33A1AB" w:themeColor="accent2"/>
                    <w:sz w:val="14"/>
                    <w:szCs w:val="14"/>
                  </w:rPr>
                </w:pPr>
                <w:r w:rsidRPr="00B80369">
                  <w:rPr>
                    <w:b/>
                    <w:color w:val="33A1AB" w:themeColor="accent2"/>
                    <w:sz w:val="14"/>
                    <w:szCs w:val="14"/>
                  </w:rPr>
                  <w:t>4-Y DR</w:t>
                </w:r>
              </w:p>
            </w:tc>
            <w:tc>
              <w:tcPr>
                <w:tcW w:w="417" w:type="pct"/>
                <w:tcBorders>
                  <w:top w:val="single" w:sz="12" w:space="0" w:color="AFAFB4" w:themeColor="accent4"/>
                </w:tcBorders>
                <w:shd w:val="clear" w:color="auto" w:fill="FFFFFF" w:themeFill="background2"/>
                <w:vAlign w:val="center"/>
              </w:tcPr>
              <w:p w14:paraId="6B65516A" w14:textId="77777777" w:rsidR="006527A2" w:rsidRPr="00B80369" w:rsidRDefault="006527A2" w:rsidP="00B80369">
                <w:pPr>
                  <w:spacing w:before="0" w:line="240" w:lineRule="auto"/>
                  <w:jc w:val="center"/>
                  <w:rPr>
                    <w:b/>
                    <w:color w:val="33A1AB" w:themeColor="accent2"/>
                    <w:sz w:val="14"/>
                    <w:szCs w:val="14"/>
                  </w:rPr>
                </w:pPr>
                <w:r w:rsidRPr="00B80369">
                  <w:rPr>
                    <w:b/>
                    <w:color w:val="33A1AB" w:themeColor="accent2"/>
                    <w:sz w:val="14"/>
                    <w:szCs w:val="14"/>
                  </w:rPr>
                  <w:t>5-Y DR</w:t>
                </w:r>
              </w:p>
            </w:tc>
            <w:tc>
              <w:tcPr>
                <w:tcW w:w="417" w:type="pct"/>
                <w:tcBorders>
                  <w:top w:val="single" w:sz="12" w:space="0" w:color="AFAFB4" w:themeColor="accent4"/>
                </w:tcBorders>
                <w:shd w:val="clear" w:color="auto" w:fill="FFFFFF" w:themeFill="background2"/>
                <w:vAlign w:val="center"/>
              </w:tcPr>
              <w:p w14:paraId="28F13A5B" w14:textId="77777777" w:rsidR="006527A2" w:rsidRPr="00B80369" w:rsidRDefault="006527A2" w:rsidP="00B80369">
                <w:pPr>
                  <w:spacing w:before="0" w:line="240" w:lineRule="auto"/>
                  <w:jc w:val="center"/>
                  <w:rPr>
                    <w:b/>
                    <w:color w:val="33A1AB" w:themeColor="accent2"/>
                    <w:sz w:val="14"/>
                    <w:szCs w:val="14"/>
                  </w:rPr>
                </w:pPr>
                <w:r w:rsidRPr="00B80369">
                  <w:rPr>
                    <w:b/>
                    <w:color w:val="33A1AB" w:themeColor="accent2"/>
                    <w:sz w:val="14"/>
                    <w:szCs w:val="14"/>
                  </w:rPr>
                  <w:t>1-Y DR</w:t>
                </w:r>
              </w:p>
            </w:tc>
            <w:tc>
              <w:tcPr>
                <w:tcW w:w="417" w:type="pct"/>
                <w:tcBorders>
                  <w:top w:val="single" w:sz="12" w:space="0" w:color="AFAFB4" w:themeColor="accent4"/>
                </w:tcBorders>
                <w:shd w:val="clear" w:color="auto" w:fill="FFFFFF" w:themeFill="background2"/>
                <w:vAlign w:val="center"/>
              </w:tcPr>
              <w:p w14:paraId="49588FCC" w14:textId="77777777" w:rsidR="006527A2" w:rsidRPr="00B80369" w:rsidRDefault="006527A2" w:rsidP="00B80369">
                <w:pPr>
                  <w:spacing w:before="0" w:line="240" w:lineRule="auto"/>
                  <w:jc w:val="center"/>
                  <w:rPr>
                    <w:b/>
                    <w:color w:val="33A1AB" w:themeColor="accent2"/>
                    <w:sz w:val="14"/>
                    <w:szCs w:val="14"/>
                  </w:rPr>
                </w:pPr>
                <w:r w:rsidRPr="00B80369">
                  <w:rPr>
                    <w:b/>
                    <w:color w:val="33A1AB" w:themeColor="accent2"/>
                    <w:sz w:val="14"/>
                    <w:szCs w:val="14"/>
                  </w:rPr>
                  <w:t>2-Y DR</w:t>
                </w:r>
              </w:p>
            </w:tc>
            <w:tc>
              <w:tcPr>
                <w:tcW w:w="417" w:type="pct"/>
                <w:tcBorders>
                  <w:top w:val="single" w:sz="12" w:space="0" w:color="AFAFB4" w:themeColor="accent4"/>
                </w:tcBorders>
                <w:shd w:val="clear" w:color="auto" w:fill="FFFFFF" w:themeFill="background2"/>
                <w:vAlign w:val="center"/>
              </w:tcPr>
              <w:p w14:paraId="65915DAC" w14:textId="77777777" w:rsidR="006527A2" w:rsidRPr="00B80369" w:rsidRDefault="006527A2" w:rsidP="00B80369">
                <w:pPr>
                  <w:spacing w:before="0" w:line="240" w:lineRule="auto"/>
                  <w:jc w:val="center"/>
                  <w:rPr>
                    <w:b/>
                    <w:color w:val="33A1AB" w:themeColor="accent2"/>
                    <w:sz w:val="14"/>
                    <w:szCs w:val="14"/>
                  </w:rPr>
                </w:pPr>
                <w:r w:rsidRPr="00B80369">
                  <w:rPr>
                    <w:b/>
                    <w:color w:val="33A1AB" w:themeColor="accent2"/>
                    <w:sz w:val="14"/>
                    <w:szCs w:val="14"/>
                  </w:rPr>
                  <w:t>3-Y DR</w:t>
                </w:r>
              </w:p>
            </w:tc>
            <w:tc>
              <w:tcPr>
                <w:tcW w:w="417" w:type="pct"/>
                <w:tcBorders>
                  <w:top w:val="single" w:sz="12" w:space="0" w:color="AFAFB4" w:themeColor="accent4"/>
                </w:tcBorders>
                <w:shd w:val="clear" w:color="auto" w:fill="FFFFFF" w:themeFill="background2"/>
                <w:vAlign w:val="center"/>
              </w:tcPr>
              <w:p w14:paraId="14C38427" w14:textId="77777777" w:rsidR="006527A2" w:rsidRPr="00B80369" w:rsidRDefault="006527A2" w:rsidP="00B80369">
                <w:pPr>
                  <w:spacing w:before="0" w:line="240" w:lineRule="auto"/>
                  <w:jc w:val="center"/>
                  <w:rPr>
                    <w:b/>
                    <w:color w:val="33A1AB" w:themeColor="accent2"/>
                    <w:sz w:val="14"/>
                    <w:szCs w:val="14"/>
                  </w:rPr>
                </w:pPr>
                <w:r w:rsidRPr="00B80369">
                  <w:rPr>
                    <w:b/>
                    <w:color w:val="33A1AB" w:themeColor="accent2"/>
                    <w:sz w:val="14"/>
                    <w:szCs w:val="14"/>
                  </w:rPr>
                  <w:t>4-Y DR</w:t>
                </w:r>
              </w:p>
            </w:tc>
            <w:tc>
              <w:tcPr>
                <w:tcW w:w="413" w:type="pct"/>
                <w:tcBorders>
                  <w:top w:val="single" w:sz="12" w:space="0" w:color="AFAFB4" w:themeColor="accent4"/>
                </w:tcBorders>
                <w:shd w:val="clear" w:color="auto" w:fill="FFFFFF" w:themeFill="background2"/>
                <w:vAlign w:val="center"/>
              </w:tcPr>
              <w:p w14:paraId="2BB17887" w14:textId="77777777" w:rsidR="006527A2" w:rsidRPr="00B80369" w:rsidRDefault="006527A2" w:rsidP="00B80369">
                <w:pPr>
                  <w:spacing w:before="0" w:line="240" w:lineRule="auto"/>
                  <w:jc w:val="center"/>
                  <w:rPr>
                    <w:b/>
                    <w:color w:val="33A1AB" w:themeColor="accent2"/>
                    <w:sz w:val="14"/>
                    <w:szCs w:val="14"/>
                  </w:rPr>
                </w:pPr>
                <w:r w:rsidRPr="00B80369">
                  <w:rPr>
                    <w:b/>
                    <w:color w:val="33A1AB" w:themeColor="accent2"/>
                    <w:sz w:val="14"/>
                    <w:szCs w:val="14"/>
                  </w:rPr>
                  <w:t>5-Y DR</w:t>
                </w:r>
              </w:p>
            </w:tc>
          </w:tr>
          <w:tr w:rsidR="00CA4BC9" w:rsidRPr="00B80369" w14:paraId="2126A006"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38684AD0" w14:textId="77777777" w:rsidR="00CA4BC9" w:rsidRPr="00B80369" w:rsidRDefault="00CA4BC9"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A1.1</w:t>
                </w:r>
              </w:p>
            </w:tc>
            <w:tc>
              <w:tcPr>
                <w:tcW w:w="491" w:type="pct"/>
                <w:shd w:val="clear" w:color="auto" w:fill="FFFFFF" w:themeFill="background2"/>
                <w:tcMar>
                  <w:top w:w="60" w:type="dxa"/>
                  <w:left w:w="114" w:type="dxa"/>
                  <w:bottom w:w="60" w:type="dxa"/>
                  <w:right w:w="114" w:type="dxa"/>
                </w:tcMar>
                <w:vAlign w:val="center"/>
              </w:tcPr>
              <w:p w14:paraId="140ADE90" w14:textId="1EB8B254"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w:t>
                </w:r>
              </w:p>
            </w:tc>
            <w:tc>
              <w:tcPr>
                <w:tcW w:w="417" w:type="pct"/>
                <w:shd w:val="clear" w:color="auto" w:fill="FFFFFF" w:themeFill="background2"/>
                <w:tcMar>
                  <w:top w:w="60" w:type="dxa"/>
                  <w:left w:w="114" w:type="dxa"/>
                  <w:bottom w:w="60" w:type="dxa"/>
                  <w:right w:w="114" w:type="dxa"/>
                </w:tcMar>
                <w:vAlign w:val="center"/>
              </w:tcPr>
              <w:p w14:paraId="0008FB5B" w14:textId="7F946730"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739F78A5" w14:textId="050934A3"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47E440B0" w14:textId="063B4964"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1A927309" w14:textId="40E19667"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7F53E49A" w14:textId="34F19DDB"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5075DAF6" w14:textId="031D9F9B"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545DE250" w14:textId="3C72B30F"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30BFF3D3" w14:textId="5D96B307"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4EF9BA8C" w14:textId="005CCC28"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BF76B6" w:rsidRPr="00B80369">
                  <w:rPr>
                    <w:rFonts w:eastAsia="Times New Roman" w:cs="Segoe UI"/>
                    <w:sz w:val="14"/>
                    <w:szCs w:val="14"/>
                    <w:lang w:val="en-GB" w:eastAsia="it-IT"/>
                  </w:rPr>
                  <w:t>.</w:t>
                </w:r>
                <w:r w:rsidRPr="00B80369">
                  <w:rPr>
                    <w:rFonts w:eastAsia="Times New Roman" w:cs="Segoe UI"/>
                    <w:sz w:val="14"/>
                    <w:szCs w:val="14"/>
                    <w:lang w:val="en-GB" w:eastAsia="it-IT"/>
                  </w:rPr>
                  <w:t>00%</w:t>
                </w:r>
              </w:p>
            </w:tc>
            <w:tc>
              <w:tcPr>
                <w:tcW w:w="413" w:type="pct"/>
                <w:shd w:val="clear" w:color="auto" w:fill="FFFFFF" w:themeFill="background2"/>
                <w:vAlign w:val="center"/>
              </w:tcPr>
              <w:p w14:paraId="5D765EFB" w14:textId="3441B825"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CA4BC9" w:rsidRPr="00B80369" w14:paraId="680E321A"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61D5BBAD" w14:textId="77777777" w:rsidR="00CA4BC9" w:rsidRPr="00B80369" w:rsidRDefault="00CA4BC9"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A1.2</w:t>
                </w:r>
              </w:p>
            </w:tc>
            <w:tc>
              <w:tcPr>
                <w:tcW w:w="491" w:type="pct"/>
                <w:shd w:val="clear" w:color="auto" w:fill="FFFFFF" w:themeFill="background2"/>
                <w:tcMar>
                  <w:top w:w="60" w:type="dxa"/>
                  <w:left w:w="114" w:type="dxa"/>
                  <w:bottom w:w="60" w:type="dxa"/>
                  <w:right w:w="114" w:type="dxa"/>
                </w:tcMar>
                <w:vAlign w:val="center"/>
              </w:tcPr>
              <w:p w14:paraId="5F8DD036" w14:textId="2FB9DF1D"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13</w:t>
                </w:r>
              </w:p>
            </w:tc>
            <w:tc>
              <w:tcPr>
                <w:tcW w:w="417" w:type="pct"/>
                <w:shd w:val="clear" w:color="auto" w:fill="FFFFFF" w:themeFill="background2"/>
                <w:tcMar>
                  <w:top w:w="60" w:type="dxa"/>
                  <w:left w:w="114" w:type="dxa"/>
                  <w:bottom w:w="60" w:type="dxa"/>
                  <w:right w:w="114" w:type="dxa"/>
                </w:tcMar>
                <w:vAlign w:val="center"/>
              </w:tcPr>
              <w:p w14:paraId="5E7984D4" w14:textId="102E8300"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76E9915A" w14:textId="1A75B164"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797A2FD0" w14:textId="4A51B09C"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5F894428" w14:textId="2953BF77"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3008ADA4" w14:textId="16BCA16A"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57FA30C3" w14:textId="4DBC4C9F"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342D8DEB" w14:textId="2A7FE5F7"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52AA4B7C" w14:textId="037C42E9"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6A1EA917" w14:textId="34AA2D1B"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BF76B6" w:rsidRPr="00B80369">
                  <w:rPr>
                    <w:rFonts w:eastAsia="Times New Roman" w:cs="Segoe UI"/>
                    <w:sz w:val="14"/>
                    <w:szCs w:val="14"/>
                    <w:lang w:val="en-GB" w:eastAsia="it-IT"/>
                  </w:rPr>
                  <w:t>.</w:t>
                </w:r>
                <w:r w:rsidRPr="00B80369">
                  <w:rPr>
                    <w:rFonts w:eastAsia="Times New Roman" w:cs="Segoe UI"/>
                    <w:sz w:val="14"/>
                    <w:szCs w:val="14"/>
                    <w:lang w:val="en-GB" w:eastAsia="it-IT"/>
                  </w:rPr>
                  <w:t>00%</w:t>
                </w:r>
              </w:p>
            </w:tc>
            <w:tc>
              <w:tcPr>
                <w:tcW w:w="413" w:type="pct"/>
                <w:shd w:val="clear" w:color="auto" w:fill="FFFFFF" w:themeFill="background2"/>
                <w:vAlign w:val="center"/>
              </w:tcPr>
              <w:p w14:paraId="3549B76A" w14:textId="58423842"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CA4BC9" w:rsidRPr="00B80369" w14:paraId="0E727919"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03A4EC10" w14:textId="77777777" w:rsidR="00CA4BC9" w:rsidRPr="00B80369" w:rsidRDefault="00CA4BC9"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A1.3</w:t>
                </w:r>
              </w:p>
            </w:tc>
            <w:tc>
              <w:tcPr>
                <w:tcW w:w="491" w:type="pct"/>
                <w:shd w:val="clear" w:color="auto" w:fill="FFFFFF" w:themeFill="background2"/>
                <w:tcMar>
                  <w:top w:w="60" w:type="dxa"/>
                  <w:left w:w="114" w:type="dxa"/>
                  <w:bottom w:w="60" w:type="dxa"/>
                  <w:right w:w="114" w:type="dxa"/>
                </w:tcMar>
                <w:vAlign w:val="center"/>
              </w:tcPr>
              <w:p w14:paraId="6900C267" w14:textId="5193EE47"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95</w:t>
                </w:r>
              </w:p>
            </w:tc>
            <w:tc>
              <w:tcPr>
                <w:tcW w:w="417" w:type="pct"/>
                <w:shd w:val="clear" w:color="auto" w:fill="FFFFFF" w:themeFill="background2"/>
                <w:tcMar>
                  <w:top w:w="60" w:type="dxa"/>
                  <w:left w:w="114" w:type="dxa"/>
                  <w:bottom w:w="60" w:type="dxa"/>
                  <w:right w:w="114" w:type="dxa"/>
                </w:tcMar>
                <w:vAlign w:val="center"/>
              </w:tcPr>
              <w:p w14:paraId="5D2EEA25" w14:textId="462B531C"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6BD96987" w14:textId="7774A13A"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0EB242F4" w14:textId="2DA59113"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67BF351F" w14:textId="0CE50E1A"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2D65E617" w14:textId="5D8918D4"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3938D58D" w14:textId="45FE9935"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546549DA" w14:textId="1A450E46"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4CCF22E9" w14:textId="728075FC"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417B2201" w14:textId="4D49926C"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BF76B6" w:rsidRPr="00B80369">
                  <w:rPr>
                    <w:rFonts w:eastAsia="Times New Roman" w:cs="Segoe UI"/>
                    <w:sz w:val="14"/>
                    <w:szCs w:val="14"/>
                    <w:lang w:val="en-GB" w:eastAsia="it-IT"/>
                  </w:rPr>
                  <w:t>.</w:t>
                </w:r>
                <w:r w:rsidRPr="00B80369">
                  <w:rPr>
                    <w:rFonts w:eastAsia="Times New Roman" w:cs="Segoe UI"/>
                    <w:sz w:val="14"/>
                    <w:szCs w:val="14"/>
                    <w:lang w:val="en-GB" w:eastAsia="it-IT"/>
                  </w:rPr>
                  <w:t>00%</w:t>
                </w:r>
              </w:p>
            </w:tc>
            <w:tc>
              <w:tcPr>
                <w:tcW w:w="413" w:type="pct"/>
                <w:shd w:val="clear" w:color="auto" w:fill="FFFFFF" w:themeFill="background2"/>
                <w:vAlign w:val="center"/>
              </w:tcPr>
              <w:p w14:paraId="2BD466A4" w14:textId="7F752D7D"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CA4BC9" w:rsidRPr="00B80369" w14:paraId="7791D03F"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589C6D8D" w14:textId="77777777" w:rsidR="00CA4BC9" w:rsidRPr="00B80369" w:rsidRDefault="00CA4BC9"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A2.1</w:t>
                </w:r>
              </w:p>
            </w:tc>
            <w:tc>
              <w:tcPr>
                <w:tcW w:w="491" w:type="pct"/>
                <w:shd w:val="clear" w:color="auto" w:fill="FFFFFF" w:themeFill="background2"/>
                <w:tcMar>
                  <w:top w:w="60" w:type="dxa"/>
                  <w:left w:w="114" w:type="dxa"/>
                  <w:bottom w:w="60" w:type="dxa"/>
                  <w:right w:w="114" w:type="dxa"/>
                </w:tcMar>
                <w:vAlign w:val="center"/>
              </w:tcPr>
              <w:p w14:paraId="0423A047" w14:textId="06A26A35"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236</w:t>
                </w:r>
              </w:p>
            </w:tc>
            <w:tc>
              <w:tcPr>
                <w:tcW w:w="417" w:type="pct"/>
                <w:shd w:val="clear" w:color="auto" w:fill="FFFFFF" w:themeFill="background2"/>
                <w:tcMar>
                  <w:top w:w="60" w:type="dxa"/>
                  <w:left w:w="114" w:type="dxa"/>
                  <w:bottom w:w="60" w:type="dxa"/>
                  <w:right w:w="114" w:type="dxa"/>
                </w:tcMar>
                <w:vAlign w:val="center"/>
              </w:tcPr>
              <w:p w14:paraId="65C88667" w14:textId="3648FFC9"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58D9099D" w14:textId="20102E61"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1952B0F7" w14:textId="7281E6EA"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145BC0E9" w14:textId="4A5AB511"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1F046192" w14:textId="6F8A5521"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061FD6FD" w14:textId="0A42B41C"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0E875D30" w14:textId="0AF79D93"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7A0EB388" w14:textId="2F6A6181"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210A51FC" w14:textId="5D952A01"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BF76B6" w:rsidRPr="00B80369">
                  <w:rPr>
                    <w:rFonts w:eastAsia="Times New Roman" w:cs="Segoe UI"/>
                    <w:sz w:val="14"/>
                    <w:szCs w:val="14"/>
                    <w:lang w:val="en-GB" w:eastAsia="it-IT"/>
                  </w:rPr>
                  <w:t>.</w:t>
                </w:r>
                <w:r w:rsidRPr="00B80369">
                  <w:rPr>
                    <w:rFonts w:eastAsia="Times New Roman" w:cs="Segoe UI"/>
                    <w:sz w:val="14"/>
                    <w:szCs w:val="14"/>
                    <w:lang w:val="en-GB" w:eastAsia="it-IT"/>
                  </w:rPr>
                  <w:t>00%</w:t>
                </w:r>
              </w:p>
            </w:tc>
            <w:tc>
              <w:tcPr>
                <w:tcW w:w="413" w:type="pct"/>
                <w:shd w:val="clear" w:color="auto" w:fill="FFFFFF" w:themeFill="background2"/>
                <w:vAlign w:val="center"/>
              </w:tcPr>
              <w:p w14:paraId="23F7E17A" w14:textId="4D5F1BBB"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CA4BC9" w:rsidRPr="00B80369" w14:paraId="0379662A"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2FEEF34E" w14:textId="77777777" w:rsidR="00CA4BC9" w:rsidRPr="00B80369" w:rsidRDefault="00CA4BC9"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A2.2</w:t>
                </w:r>
              </w:p>
            </w:tc>
            <w:tc>
              <w:tcPr>
                <w:tcW w:w="491" w:type="pct"/>
                <w:shd w:val="clear" w:color="auto" w:fill="FFFFFF" w:themeFill="background2"/>
                <w:tcMar>
                  <w:top w:w="60" w:type="dxa"/>
                  <w:left w:w="114" w:type="dxa"/>
                  <w:bottom w:w="60" w:type="dxa"/>
                  <w:right w:w="114" w:type="dxa"/>
                </w:tcMar>
                <w:vAlign w:val="center"/>
              </w:tcPr>
              <w:p w14:paraId="7CF8B8E5" w14:textId="034D7570"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739</w:t>
                </w:r>
              </w:p>
            </w:tc>
            <w:tc>
              <w:tcPr>
                <w:tcW w:w="417" w:type="pct"/>
                <w:shd w:val="clear" w:color="auto" w:fill="FFFFFF" w:themeFill="background2"/>
                <w:tcMar>
                  <w:top w:w="60" w:type="dxa"/>
                  <w:left w:w="114" w:type="dxa"/>
                  <w:bottom w:w="60" w:type="dxa"/>
                  <w:right w:w="114" w:type="dxa"/>
                </w:tcMar>
                <w:vAlign w:val="center"/>
              </w:tcPr>
              <w:p w14:paraId="6CDA26EB" w14:textId="69B8EB08"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0813FDC9" w14:textId="63229FE4"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01FBB79A" w14:textId="7FA0978B"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w:t>
                </w:r>
              </w:p>
            </w:tc>
            <w:tc>
              <w:tcPr>
                <w:tcW w:w="417" w:type="pct"/>
                <w:shd w:val="clear" w:color="auto" w:fill="FFFFFF" w:themeFill="background2"/>
                <w:vAlign w:val="center"/>
              </w:tcPr>
              <w:p w14:paraId="30BF4F89" w14:textId="14E11ACE"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w:t>
                </w:r>
              </w:p>
            </w:tc>
            <w:tc>
              <w:tcPr>
                <w:tcW w:w="417" w:type="pct"/>
                <w:shd w:val="clear" w:color="auto" w:fill="FFFFFF" w:themeFill="background2"/>
                <w:vAlign w:val="center"/>
              </w:tcPr>
              <w:p w14:paraId="365B0447" w14:textId="28F0C435"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5CBFE98A" w14:textId="5BDEB774"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496F337E" w14:textId="0DE4FEF3"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4A1732E1" w14:textId="3FC91E7C"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0.14%</w:t>
                </w:r>
              </w:p>
            </w:tc>
            <w:tc>
              <w:tcPr>
                <w:tcW w:w="417" w:type="pct"/>
                <w:shd w:val="clear" w:color="auto" w:fill="FFFFFF" w:themeFill="background2"/>
                <w:vAlign w:val="center"/>
              </w:tcPr>
              <w:p w14:paraId="7707ADDD" w14:textId="27F705F7"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BF76B6" w:rsidRPr="00B80369">
                  <w:rPr>
                    <w:rFonts w:eastAsia="Times New Roman" w:cs="Segoe UI"/>
                    <w:sz w:val="14"/>
                    <w:szCs w:val="14"/>
                    <w:lang w:val="en-GB" w:eastAsia="it-IT"/>
                  </w:rPr>
                  <w:t>.</w:t>
                </w:r>
                <w:r w:rsidRPr="00B80369">
                  <w:rPr>
                    <w:rFonts w:eastAsia="Times New Roman" w:cs="Segoe UI"/>
                    <w:sz w:val="14"/>
                    <w:szCs w:val="14"/>
                    <w:lang w:val="en-GB" w:eastAsia="it-IT"/>
                  </w:rPr>
                  <w:t>14%</w:t>
                </w:r>
              </w:p>
            </w:tc>
            <w:tc>
              <w:tcPr>
                <w:tcW w:w="413" w:type="pct"/>
                <w:shd w:val="clear" w:color="auto" w:fill="FFFFFF" w:themeFill="background2"/>
                <w:vAlign w:val="center"/>
              </w:tcPr>
              <w:p w14:paraId="7CA5E61A" w14:textId="54B7B092"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CA4BC9" w:rsidRPr="00B80369" w14:paraId="189B8A07"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63511054" w14:textId="77777777" w:rsidR="00CA4BC9" w:rsidRPr="00B80369" w:rsidRDefault="00CA4BC9"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A3.1</w:t>
                </w:r>
              </w:p>
            </w:tc>
            <w:tc>
              <w:tcPr>
                <w:tcW w:w="491" w:type="pct"/>
                <w:shd w:val="clear" w:color="auto" w:fill="FFFFFF" w:themeFill="background2"/>
                <w:tcMar>
                  <w:top w:w="60" w:type="dxa"/>
                  <w:left w:w="114" w:type="dxa"/>
                  <w:bottom w:w="60" w:type="dxa"/>
                  <w:right w:w="114" w:type="dxa"/>
                </w:tcMar>
                <w:vAlign w:val="center"/>
              </w:tcPr>
              <w:p w14:paraId="37EC53C3" w14:textId="69C5F469"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3,416</w:t>
                </w:r>
              </w:p>
            </w:tc>
            <w:tc>
              <w:tcPr>
                <w:tcW w:w="417" w:type="pct"/>
                <w:shd w:val="clear" w:color="auto" w:fill="FFFFFF" w:themeFill="background2"/>
                <w:tcMar>
                  <w:top w:w="60" w:type="dxa"/>
                  <w:left w:w="114" w:type="dxa"/>
                  <w:bottom w:w="60" w:type="dxa"/>
                  <w:right w:w="114" w:type="dxa"/>
                </w:tcMar>
                <w:vAlign w:val="center"/>
              </w:tcPr>
              <w:p w14:paraId="0056333D" w14:textId="726E1142"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w:t>
                </w:r>
              </w:p>
            </w:tc>
            <w:tc>
              <w:tcPr>
                <w:tcW w:w="417" w:type="pct"/>
                <w:shd w:val="clear" w:color="auto" w:fill="FFFFFF" w:themeFill="background2"/>
                <w:vAlign w:val="center"/>
              </w:tcPr>
              <w:p w14:paraId="05F86502" w14:textId="1DEDB4CF"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w:t>
                </w:r>
              </w:p>
            </w:tc>
            <w:tc>
              <w:tcPr>
                <w:tcW w:w="417" w:type="pct"/>
                <w:shd w:val="clear" w:color="auto" w:fill="FFFFFF" w:themeFill="background2"/>
                <w:vAlign w:val="center"/>
              </w:tcPr>
              <w:p w14:paraId="2547B9E6" w14:textId="4279F807"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w:t>
                </w:r>
              </w:p>
            </w:tc>
            <w:tc>
              <w:tcPr>
                <w:tcW w:w="417" w:type="pct"/>
                <w:shd w:val="clear" w:color="auto" w:fill="FFFFFF" w:themeFill="background2"/>
                <w:vAlign w:val="center"/>
              </w:tcPr>
              <w:p w14:paraId="4BB368EF" w14:textId="1ACE0B35"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12</w:t>
                </w:r>
              </w:p>
            </w:tc>
            <w:tc>
              <w:tcPr>
                <w:tcW w:w="417" w:type="pct"/>
                <w:shd w:val="clear" w:color="auto" w:fill="FFFFFF" w:themeFill="background2"/>
                <w:vAlign w:val="center"/>
              </w:tcPr>
              <w:p w14:paraId="3CCD6B35" w14:textId="37A3EA6A"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2F96B243" w14:textId="123E772A"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0.09%</w:t>
                </w:r>
              </w:p>
            </w:tc>
            <w:tc>
              <w:tcPr>
                <w:tcW w:w="417" w:type="pct"/>
                <w:shd w:val="clear" w:color="auto" w:fill="FFFFFF" w:themeFill="background2"/>
                <w:vAlign w:val="center"/>
              </w:tcPr>
              <w:p w14:paraId="43417E4B" w14:textId="7FA370B2"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0.15%</w:t>
                </w:r>
              </w:p>
            </w:tc>
            <w:tc>
              <w:tcPr>
                <w:tcW w:w="417" w:type="pct"/>
                <w:shd w:val="clear" w:color="auto" w:fill="FFFFFF" w:themeFill="background2"/>
                <w:vAlign w:val="center"/>
              </w:tcPr>
              <w:p w14:paraId="4296E7CD" w14:textId="4A624D8B"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0.20%</w:t>
                </w:r>
              </w:p>
            </w:tc>
            <w:tc>
              <w:tcPr>
                <w:tcW w:w="417" w:type="pct"/>
                <w:shd w:val="clear" w:color="auto" w:fill="FFFFFF" w:themeFill="background2"/>
                <w:vAlign w:val="center"/>
              </w:tcPr>
              <w:p w14:paraId="3247742C" w14:textId="17A58FD8"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BF76B6" w:rsidRPr="00B80369">
                  <w:rPr>
                    <w:rFonts w:eastAsia="Times New Roman" w:cs="Segoe UI"/>
                    <w:sz w:val="14"/>
                    <w:szCs w:val="14"/>
                    <w:lang w:val="en-GB" w:eastAsia="it-IT"/>
                  </w:rPr>
                  <w:t>.</w:t>
                </w:r>
                <w:r w:rsidRPr="00B80369">
                  <w:rPr>
                    <w:rFonts w:eastAsia="Times New Roman" w:cs="Segoe UI"/>
                    <w:sz w:val="14"/>
                    <w:szCs w:val="14"/>
                    <w:lang w:val="en-GB" w:eastAsia="it-IT"/>
                  </w:rPr>
                  <w:t>35%</w:t>
                </w:r>
              </w:p>
            </w:tc>
            <w:tc>
              <w:tcPr>
                <w:tcW w:w="413" w:type="pct"/>
                <w:shd w:val="clear" w:color="auto" w:fill="FFFFFF" w:themeFill="background2"/>
                <w:vAlign w:val="center"/>
              </w:tcPr>
              <w:p w14:paraId="7A408782" w14:textId="25FDB080"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CA4BC9" w:rsidRPr="00B80369" w14:paraId="282EFEEE"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220AF581" w14:textId="77777777" w:rsidR="00CA4BC9" w:rsidRPr="00B80369" w:rsidRDefault="00CA4BC9"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B1.1</w:t>
                </w:r>
              </w:p>
            </w:tc>
            <w:tc>
              <w:tcPr>
                <w:tcW w:w="491" w:type="pct"/>
                <w:shd w:val="clear" w:color="auto" w:fill="FFFFFF" w:themeFill="background2"/>
                <w:tcMar>
                  <w:top w:w="60" w:type="dxa"/>
                  <w:left w:w="114" w:type="dxa"/>
                  <w:bottom w:w="60" w:type="dxa"/>
                  <w:right w:w="114" w:type="dxa"/>
                </w:tcMar>
                <w:vAlign w:val="center"/>
              </w:tcPr>
              <w:p w14:paraId="197909DE" w14:textId="4302BFFA"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5,280</w:t>
                </w:r>
              </w:p>
            </w:tc>
            <w:tc>
              <w:tcPr>
                <w:tcW w:w="417" w:type="pct"/>
                <w:shd w:val="clear" w:color="auto" w:fill="FFFFFF" w:themeFill="background2"/>
                <w:tcMar>
                  <w:top w:w="60" w:type="dxa"/>
                  <w:left w:w="114" w:type="dxa"/>
                  <w:bottom w:w="60" w:type="dxa"/>
                  <w:right w:w="114" w:type="dxa"/>
                </w:tcMar>
                <w:vAlign w:val="center"/>
              </w:tcPr>
              <w:p w14:paraId="537C3F5F" w14:textId="16A0ECCA"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9</w:t>
                </w:r>
              </w:p>
            </w:tc>
            <w:tc>
              <w:tcPr>
                <w:tcW w:w="417" w:type="pct"/>
                <w:shd w:val="clear" w:color="auto" w:fill="FFFFFF" w:themeFill="background2"/>
                <w:vAlign w:val="center"/>
              </w:tcPr>
              <w:p w14:paraId="6098026A" w14:textId="0223829B"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16</w:t>
                </w:r>
              </w:p>
            </w:tc>
            <w:tc>
              <w:tcPr>
                <w:tcW w:w="417" w:type="pct"/>
                <w:shd w:val="clear" w:color="auto" w:fill="FFFFFF" w:themeFill="background2"/>
                <w:vAlign w:val="center"/>
              </w:tcPr>
              <w:p w14:paraId="42A193B8" w14:textId="2E6F4523"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25</w:t>
                </w:r>
              </w:p>
            </w:tc>
            <w:tc>
              <w:tcPr>
                <w:tcW w:w="417" w:type="pct"/>
                <w:shd w:val="clear" w:color="auto" w:fill="FFFFFF" w:themeFill="background2"/>
                <w:vAlign w:val="center"/>
              </w:tcPr>
              <w:p w14:paraId="4BACD34F" w14:textId="6D90B6D5"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37</w:t>
                </w:r>
              </w:p>
            </w:tc>
            <w:tc>
              <w:tcPr>
                <w:tcW w:w="417" w:type="pct"/>
                <w:shd w:val="clear" w:color="auto" w:fill="FFFFFF" w:themeFill="background2"/>
                <w:vAlign w:val="center"/>
              </w:tcPr>
              <w:p w14:paraId="403352E5" w14:textId="2664B116"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0BFFE2D4" w14:textId="64CC6D6B"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0.17%</w:t>
                </w:r>
              </w:p>
            </w:tc>
            <w:tc>
              <w:tcPr>
                <w:tcW w:w="417" w:type="pct"/>
                <w:shd w:val="clear" w:color="auto" w:fill="FFFFFF" w:themeFill="background2"/>
                <w:vAlign w:val="center"/>
              </w:tcPr>
              <w:p w14:paraId="72AD8500" w14:textId="25C77D47"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0.30%</w:t>
                </w:r>
              </w:p>
            </w:tc>
            <w:tc>
              <w:tcPr>
                <w:tcW w:w="417" w:type="pct"/>
                <w:shd w:val="clear" w:color="auto" w:fill="FFFFFF" w:themeFill="background2"/>
                <w:vAlign w:val="center"/>
              </w:tcPr>
              <w:p w14:paraId="05D454BA" w14:textId="204E673F"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0.47%</w:t>
                </w:r>
              </w:p>
            </w:tc>
            <w:tc>
              <w:tcPr>
                <w:tcW w:w="417" w:type="pct"/>
                <w:shd w:val="clear" w:color="auto" w:fill="FFFFFF" w:themeFill="background2"/>
                <w:vAlign w:val="center"/>
              </w:tcPr>
              <w:p w14:paraId="3DC323A2" w14:textId="07C63A45"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BF76B6" w:rsidRPr="00B80369">
                  <w:rPr>
                    <w:rFonts w:eastAsia="Times New Roman" w:cs="Segoe UI"/>
                    <w:sz w:val="14"/>
                    <w:szCs w:val="14"/>
                    <w:lang w:val="en-GB" w:eastAsia="it-IT"/>
                  </w:rPr>
                  <w:t>.</w:t>
                </w:r>
                <w:r w:rsidRPr="00B80369">
                  <w:rPr>
                    <w:rFonts w:eastAsia="Times New Roman" w:cs="Segoe UI"/>
                    <w:sz w:val="14"/>
                    <w:szCs w:val="14"/>
                    <w:lang w:val="en-GB" w:eastAsia="it-IT"/>
                  </w:rPr>
                  <w:t>70%</w:t>
                </w:r>
              </w:p>
            </w:tc>
            <w:tc>
              <w:tcPr>
                <w:tcW w:w="413" w:type="pct"/>
                <w:shd w:val="clear" w:color="auto" w:fill="FFFFFF" w:themeFill="background2"/>
                <w:vAlign w:val="center"/>
              </w:tcPr>
              <w:p w14:paraId="023AE34F" w14:textId="1068E1B7"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CA4BC9" w:rsidRPr="00B80369" w14:paraId="4FBAFCBC"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2DF6B0E7" w14:textId="77777777" w:rsidR="00CA4BC9" w:rsidRPr="00B80369" w:rsidRDefault="00CA4BC9"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B1.2</w:t>
                </w:r>
              </w:p>
            </w:tc>
            <w:tc>
              <w:tcPr>
                <w:tcW w:w="491" w:type="pct"/>
                <w:shd w:val="clear" w:color="auto" w:fill="FFFFFF" w:themeFill="background2"/>
                <w:tcMar>
                  <w:top w:w="60" w:type="dxa"/>
                  <w:left w:w="114" w:type="dxa"/>
                  <w:bottom w:w="60" w:type="dxa"/>
                  <w:right w:w="114" w:type="dxa"/>
                </w:tcMar>
                <w:vAlign w:val="center"/>
              </w:tcPr>
              <w:p w14:paraId="6BED607D" w14:textId="334BA406"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5,854</w:t>
                </w:r>
              </w:p>
            </w:tc>
            <w:tc>
              <w:tcPr>
                <w:tcW w:w="417" w:type="pct"/>
                <w:shd w:val="clear" w:color="auto" w:fill="FFFFFF" w:themeFill="background2"/>
                <w:tcMar>
                  <w:top w:w="60" w:type="dxa"/>
                  <w:left w:w="114" w:type="dxa"/>
                  <w:bottom w:w="60" w:type="dxa"/>
                  <w:right w:w="114" w:type="dxa"/>
                </w:tcMar>
                <w:vAlign w:val="center"/>
              </w:tcPr>
              <w:p w14:paraId="0C9B7BB2" w14:textId="70553FE8"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11</w:t>
                </w:r>
              </w:p>
            </w:tc>
            <w:tc>
              <w:tcPr>
                <w:tcW w:w="417" w:type="pct"/>
                <w:shd w:val="clear" w:color="auto" w:fill="FFFFFF" w:themeFill="background2"/>
                <w:vAlign w:val="center"/>
              </w:tcPr>
              <w:p w14:paraId="43E51EE0" w14:textId="3190C502"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31</w:t>
                </w:r>
              </w:p>
            </w:tc>
            <w:tc>
              <w:tcPr>
                <w:tcW w:w="417" w:type="pct"/>
                <w:shd w:val="clear" w:color="auto" w:fill="FFFFFF" w:themeFill="background2"/>
                <w:vAlign w:val="center"/>
              </w:tcPr>
              <w:p w14:paraId="47DE4E97" w14:textId="27FCBA9E"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44</w:t>
                </w:r>
              </w:p>
            </w:tc>
            <w:tc>
              <w:tcPr>
                <w:tcW w:w="417" w:type="pct"/>
                <w:shd w:val="clear" w:color="auto" w:fill="FFFFFF" w:themeFill="background2"/>
                <w:vAlign w:val="center"/>
              </w:tcPr>
              <w:p w14:paraId="3679E12E" w14:textId="63C30DA0"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85</w:t>
                </w:r>
              </w:p>
            </w:tc>
            <w:tc>
              <w:tcPr>
                <w:tcW w:w="417" w:type="pct"/>
                <w:shd w:val="clear" w:color="auto" w:fill="FFFFFF" w:themeFill="background2"/>
                <w:vAlign w:val="center"/>
              </w:tcPr>
              <w:p w14:paraId="7CC071E1" w14:textId="7FEA64E4"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7DDDD293" w14:textId="550EE956"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0.19%</w:t>
                </w:r>
              </w:p>
            </w:tc>
            <w:tc>
              <w:tcPr>
                <w:tcW w:w="417" w:type="pct"/>
                <w:shd w:val="clear" w:color="auto" w:fill="FFFFFF" w:themeFill="background2"/>
                <w:vAlign w:val="center"/>
              </w:tcPr>
              <w:p w14:paraId="41E44BC3" w14:textId="65C1A1DA"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0.53%</w:t>
                </w:r>
              </w:p>
            </w:tc>
            <w:tc>
              <w:tcPr>
                <w:tcW w:w="417" w:type="pct"/>
                <w:shd w:val="clear" w:color="auto" w:fill="FFFFFF" w:themeFill="background2"/>
                <w:vAlign w:val="center"/>
              </w:tcPr>
              <w:p w14:paraId="6E3B4324" w14:textId="3878740F"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0.75%</w:t>
                </w:r>
              </w:p>
            </w:tc>
            <w:tc>
              <w:tcPr>
                <w:tcW w:w="417" w:type="pct"/>
                <w:shd w:val="clear" w:color="auto" w:fill="FFFFFF" w:themeFill="background2"/>
                <w:vAlign w:val="center"/>
              </w:tcPr>
              <w:p w14:paraId="728BAAF8" w14:textId="3A81BD2B"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w:t>
                </w:r>
                <w:r w:rsidR="00BF76B6" w:rsidRPr="00B80369">
                  <w:rPr>
                    <w:rFonts w:eastAsia="Times New Roman" w:cs="Segoe UI"/>
                    <w:sz w:val="14"/>
                    <w:szCs w:val="14"/>
                    <w:lang w:val="en-GB" w:eastAsia="it-IT"/>
                  </w:rPr>
                  <w:t>.</w:t>
                </w:r>
                <w:r w:rsidRPr="00B80369">
                  <w:rPr>
                    <w:rFonts w:eastAsia="Times New Roman" w:cs="Segoe UI"/>
                    <w:sz w:val="14"/>
                    <w:szCs w:val="14"/>
                    <w:lang w:val="en-GB" w:eastAsia="it-IT"/>
                  </w:rPr>
                  <w:t>45%</w:t>
                </w:r>
              </w:p>
            </w:tc>
            <w:tc>
              <w:tcPr>
                <w:tcW w:w="413" w:type="pct"/>
                <w:shd w:val="clear" w:color="auto" w:fill="FFFFFF" w:themeFill="background2"/>
                <w:vAlign w:val="center"/>
              </w:tcPr>
              <w:p w14:paraId="732AE5B3" w14:textId="22A7DA56"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CA4BC9" w:rsidRPr="00B80369" w14:paraId="26D8B9F3"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537EAA1D" w14:textId="77777777" w:rsidR="00CA4BC9" w:rsidRPr="00B80369" w:rsidRDefault="00CA4BC9"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B2.1</w:t>
                </w:r>
              </w:p>
            </w:tc>
            <w:tc>
              <w:tcPr>
                <w:tcW w:w="491" w:type="pct"/>
                <w:shd w:val="clear" w:color="auto" w:fill="FFFFFF" w:themeFill="background2"/>
                <w:tcMar>
                  <w:top w:w="60" w:type="dxa"/>
                  <w:left w:w="114" w:type="dxa"/>
                  <w:bottom w:w="60" w:type="dxa"/>
                  <w:right w:w="114" w:type="dxa"/>
                </w:tcMar>
                <w:vAlign w:val="center"/>
              </w:tcPr>
              <w:p w14:paraId="3D50F101" w14:textId="241C6B39"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6,493</w:t>
                </w:r>
              </w:p>
            </w:tc>
            <w:tc>
              <w:tcPr>
                <w:tcW w:w="417" w:type="pct"/>
                <w:shd w:val="clear" w:color="auto" w:fill="FFFFFF" w:themeFill="background2"/>
                <w:tcMar>
                  <w:top w:w="60" w:type="dxa"/>
                  <w:left w:w="114" w:type="dxa"/>
                  <w:bottom w:w="60" w:type="dxa"/>
                  <w:right w:w="114" w:type="dxa"/>
                </w:tcMar>
                <w:vAlign w:val="center"/>
              </w:tcPr>
              <w:p w14:paraId="653A7E5D" w14:textId="4517712F"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34</w:t>
                </w:r>
              </w:p>
            </w:tc>
            <w:tc>
              <w:tcPr>
                <w:tcW w:w="417" w:type="pct"/>
                <w:shd w:val="clear" w:color="auto" w:fill="FFFFFF" w:themeFill="background2"/>
                <w:vAlign w:val="center"/>
              </w:tcPr>
              <w:p w14:paraId="100EAF2C" w14:textId="419235A1"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60</w:t>
                </w:r>
              </w:p>
            </w:tc>
            <w:tc>
              <w:tcPr>
                <w:tcW w:w="417" w:type="pct"/>
                <w:shd w:val="clear" w:color="auto" w:fill="FFFFFF" w:themeFill="background2"/>
                <w:vAlign w:val="center"/>
              </w:tcPr>
              <w:p w14:paraId="1E62E85A" w14:textId="6C295BD7"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104</w:t>
                </w:r>
              </w:p>
            </w:tc>
            <w:tc>
              <w:tcPr>
                <w:tcW w:w="417" w:type="pct"/>
                <w:shd w:val="clear" w:color="auto" w:fill="FFFFFF" w:themeFill="background2"/>
                <w:vAlign w:val="center"/>
              </w:tcPr>
              <w:p w14:paraId="53789578" w14:textId="4CEEA3E4"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178</w:t>
                </w:r>
              </w:p>
            </w:tc>
            <w:tc>
              <w:tcPr>
                <w:tcW w:w="417" w:type="pct"/>
                <w:shd w:val="clear" w:color="auto" w:fill="FFFFFF" w:themeFill="background2"/>
                <w:vAlign w:val="center"/>
              </w:tcPr>
              <w:p w14:paraId="540AEF17" w14:textId="5E2D7F1B"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42831EAC" w14:textId="79F4BA6B"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0.52%</w:t>
                </w:r>
              </w:p>
            </w:tc>
            <w:tc>
              <w:tcPr>
                <w:tcW w:w="417" w:type="pct"/>
                <w:shd w:val="clear" w:color="auto" w:fill="FFFFFF" w:themeFill="background2"/>
                <w:vAlign w:val="center"/>
              </w:tcPr>
              <w:p w14:paraId="3B3C73BE" w14:textId="78084BAE" w:rsidR="00CA4BC9" w:rsidRPr="00B80369" w:rsidRDefault="00CA4BC9"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0.92%</w:t>
                </w:r>
              </w:p>
            </w:tc>
            <w:tc>
              <w:tcPr>
                <w:tcW w:w="417" w:type="pct"/>
                <w:shd w:val="clear" w:color="auto" w:fill="FFFFFF" w:themeFill="background2"/>
                <w:vAlign w:val="center"/>
              </w:tcPr>
              <w:p w14:paraId="19310FE6" w14:textId="17532639" w:rsidR="00CA4BC9" w:rsidRPr="00B80369" w:rsidRDefault="00CA4BC9"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1.60%</w:t>
                </w:r>
              </w:p>
            </w:tc>
            <w:tc>
              <w:tcPr>
                <w:tcW w:w="417" w:type="pct"/>
                <w:shd w:val="clear" w:color="auto" w:fill="FFFFFF" w:themeFill="background2"/>
                <w:vAlign w:val="center"/>
              </w:tcPr>
              <w:p w14:paraId="0A3BB629" w14:textId="35F0C872"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w:t>
                </w:r>
                <w:r w:rsidR="00BF76B6" w:rsidRPr="00B80369">
                  <w:rPr>
                    <w:rFonts w:eastAsia="Times New Roman" w:cs="Segoe UI"/>
                    <w:sz w:val="14"/>
                    <w:szCs w:val="14"/>
                    <w:lang w:val="en-GB" w:eastAsia="it-IT"/>
                  </w:rPr>
                  <w:t>.</w:t>
                </w:r>
                <w:r w:rsidRPr="00B80369">
                  <w:rPr>
                    <w:rFonts w:eastAsia="Times New Roman" w:cs="Segoe UI"/>
                    <w:sz w:val="14"/>
                    <w:szCs w:val="14"/>
                    <w:lang w:val="en-GB" w:eastAsia="it-IT"/>
                  </w:rPr>
                  <w:t>74%</w:t>
                </w:r>
              </w:p>
            </w:tc>
            <w:tc>
              <w:tcPr>
                <w:tcW w:w="413" w:type="pct"/>
                <w:shd w:val="clear" w:color="auto" w:fill="FFFFFF" w:themeFill="background2"/>
                <w:vAlign w:val="center"/>
              </w:tcPr>
              <w:p w14:paraId="2FC800F0" w14:textId="1C6FD934" w:rsidR="00CA4BC9" w:rsidRPr="00B80369" w:rsidRDefault="00CA4BC9" w:rsidP="00B80369">
                <w:pPr>
                  <w:spacing w:before="0" w:line="240" w:lineRule="auto"/>
                  <w:jc w:val="center"/>
                  <w:rPr>
                    <w:b/>
                    <w:color w:val="33A1AB" w:themeColor="accent2"/>
                    <w:sz w:val="14"/>
                    <w:szCs w:val="14"/>
                  </w:rPr>
                </w:pPr>
                <w:r w:rsidRPr="00B80369">
                  <w:rPr>
                    <w:b/>
                    <w:color w:val="33A1AB" w:themeColor="accent2"/>
                    <w:sz w:val="14"/>
                    <w:szCs w:val="14"/>
                  </w:rPr>
                  <w:t>-</w:t>
                </w:r>
              </w:p>
            </w:tc>
          </w:tr>
          <w:tr w:rsidR="00CA4BC9" w:rsidRPr="00B80369" w14:paraId="4F5844FF"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6362730C" w14:textId="77777777" w:rsidR="00CA4BC9" w:rsidRPr="00B80369" w:rsidRDefault="00CA4BC9"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B2.2</w:t>
                </w:r>
              </w:p>
            </w:tc>
            <w:tc>
              <w:tcPr>
                <w:tcW w:w="491" w:type="pct"/>
                <w:shd w:val="clear" w:color="auto" w:fill="FFFFFF" w:themeFill="background2"/>
                <w:tcMar>
                  <w:top w:w="60" w:type="dxa"/>
                  <w:left w:w="114" w:type="dxa"/>
                  <w:bottom w:w="60" w:type="dxa"/>
                  <w:right w:w="114" w:type="dxa"/>
                </w:tcMar>
                <w:vAlign w:val="center"/>
              </w:tcPr>
              <w:p w14:paraId="52E4700B" w14:textId="09A8BD05"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3,079</w:t>
                </w:r>
              </w:p>
            </w:tc>
            <w:tc>
              <w:tcPr>
                <w:tcW w:w="417" w:type="pct"/>
                <w:shd w:val="clear" w:color="auto" w:fill="FFFFFF" w:themeFill="background2"/>
                <w:tcMar>
                  <w:top w:w="60" w:type="dxa"/>
                  <w:left w:w="114" w:type="dxa"/>
                  <w:bottom w:w="60" w:type="dxa"/>
                  <w:right w:w="114" w:type="dxa"/>
                </w:tcMar>
                <w:vAlign w:val="center"/>
              </w:tcPr>
              <w:p w14:paraId="20AB4A49" w14:textId="1AC19308"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50</w:t>
                </w:r>
              </w:p>
            </w:tc>
            <w:tc>
              <w:tcPr>
                <w:tcW w:w="417" w:type="pct"/>
                <w:shd w:val="clear" w:color="auto" w:fill="FFFFFF" w:themeFill="background2"/>
                <w:vAlign w:val="center"/>
              </w:tcPr>
              <w:p w14:paraId="664DA8C3" w14:textId="1A507D70"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87</w:t>
                </w:r>
              </w:p>
            </w:tc>
            <w:tc>
              <w:tcPr>
                <w:tcW w:w="417" w:type="pct"/>
                <w:shd w:val="clear" w:color="auto" w:fill="FFFFFF" w:themeFill="background2"/>
                <w:vAlign w:val="center"/>
              </w:tcPr>
              <w:p w14:paraId="4C501D4D" w14:textId="2DDD2BBC"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110</w:t>
                </w:r>
              </w:p>
            </w:tc>
            <w:tc>
              <w:tcPr>
                <w:tcW w:w="417" w:type="pct"/>
                <w:shd w:val="clear" w:color="auto" w:fill="FFFFFF" w:themeFill="background2"/>
                <w:vAlign w:val="center"/>
              </w:tcPr>
              <w:p w14:paraId="3880F25B" w14:textId="7A1249D3"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169</w:t>
                </w:r>
              </w:p>
            </w:tc>
            <w:tc>
              <w:tcPr>
                <w:tcW w:w="417" w:type="pct"/>
                <w:shd w:val="clear" w:color="auto" w:fill="FFFFFF" w:themeFill="background2"/>
                <w:vAlign w:val="center"/>
              </w:tcPr>
              <w:p w14:paraId="45DE6FAA" w14:textId="12720774"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016EA819" w14:textId="25CC3EF5"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1.62%</w:t>
                </w:r>
              </w:p>
            </w:tc>
            <w:tc>
              <w:tcPr>
                <w:tcW w:w="417" w:type="pct"/>
                <w:shd w:val="clear" w:color="auto" w:fill="FFFFFF" w:themeFill="background2"/>
                <w:vAlign w:val="center"/>
              </w:tcPr>
              <w:p w14:paraId="0D338AAC" w14:textId="0BCBE688"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2.83%</w:t>
                </w:r>
              </w:p>
            </w:tc>
            <w:tc>
              <w:tcPr>
                <w:tcW w:w="417" w:type="pct"/>
                <w:shd w:val="clear" w:color="auto" w:fill="FFFFFF" w:themeFill="background2"/>
                <w:vAlign w:val="center"/>
              </w:tcPr>
              <w:p w14:paraId="0D5B95D2" w14:textId="440DD56A"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3.57%</w:t>
                </w:r>
              </w:p>
            </w:tc>
            <w:tc>
              <w:tcPr>
                <w:tcW w:w="417" w:type="pct"/>
                <w:shd w:val="clear" w:color="auto" w:fill="FFFFFF" w:themeFill="background2"/>
                <w:vAlign w:val="center"/>
              </w:tcPr>
              <w:p w14:paraId="0D8F5426" w14:textId="5A96B92A"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w:t>
                </w:r>
                <w:r w:rsidR="00BF76B6" w:rsidRPr="00B80369">
                  <w:rPr>
                    <w:rFonts w:eastAsia="Times New Roman" w:cs="Segoe UI"/>
                    <w:sz w:val="14"/>
                    <w:szCs w:val="14"/>
                    <w:lang w:val="en-GB" w:eastAsia="it-IT"/>
                  </w:rPr>
                  <w:t>.</w:t>
                </w:r>
                <w:r w:rsidRPr="00B80369">
                  <w:rPr>
                    <w:rFonts w:eastAsia="Times New Roman" w:cs="Segoe UI"/>
                    <w:sz w:val="14"/>
                    <w:szCs w:val="14"/>
                    <w:lang w:val="en-GB" w:eastAsia="it-IT"/>
                  </w:rPr>
                  <w:t>49%</w:t>
                </w:r>
              </w:p>
            </w:tc>
            <w:tc>
              <w:tcPr>
                <w:tcW w:w="413" w:type="pct"/>
                <w:shd w:val="clear" w:color="auto" w:fill="FFFFFF" w:themeFill="background2"/>
                <w:vAlign w:val="center"/>
              </w:tcPr>
              <w:p w14:paraId="4E9BF023" w14:textId="09EC7011"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CA4BC9" w:rsidRPr="00B80369" w14:paraId="34409E8D"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085BB75E" w14:textId="77777777" w:rsidR="00CA4BC9" w:rsidRPr="00B80369" w:rsidRDefault="00CA4BC9"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C1.1</w:t>
                </w:r>
              </w:p>
            </w:tc>
            <w:tc>
              <w:tcPr>
                <w:tcW w:w="491" w:type="pct"/>
                <w:shd w:val="clear" w:color="auto" w:fill="FFFFFF" w:themeFill="background2"/>
                <w:tcMar>
                  <w:top w:w="60" w:type="dxa"/>
                  <w:left w:w="114" w:type="dxa"/>
                  <w:bottom w:w="60" w:type="dxa"/>
                  <w:right w:w="114" w:type="dxa"/>
                </w:tcMar>
                <w:vAlign w:val="center"/>
              </w:tcPr>
              <w:p w14:paraId="419644A0" w14:textId="6B71D8DD"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1,269</w:t>
                </w:r>
              </w:p>
            </w:tc>
            <w:tc>
              <w:tcPr>
                <w:tcW w:w="417" w:type="pct"/>
                <w:shd w:val="clear" w:color="auto" w:fill="FFFFFF" w:themeFill="background2"/>
                <w:tcMar>
                  <w:top w:w="60" w:type="dxa"/>
                  <w:left w:w="114" w:type="dxa"/>
                  <w:bottom w:w="60" w:type="dxa"/>
                  <w:right w:w="114" w:type="dxa"/>
                </w:tcMar>
                <w:vAlign w:val="center"/>
              </w:tcPr>
              <w:p w14:paraId="3CD37FCC" w14:textId="6499664C"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33</w:t>
                </w:r>
              </w:p>
            </w:tc>
            <w:tc>
              <w:tcPr>
                <w:tcW w:w="417" w:type="pct"/>
                <w:shd w:val="clear" w:color="auto" w:fill="FFFFFF" w:themeFill="background2"/>
                <w:vAlign w:val="center"/>
              </w:tcPr>
              <w:p w14:paraId="18DA8E80" w14:textId="62CD6B8B"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51</w:t>
                </w:r>
              </w:p>
            </w:tc>
            <w:tc>
              <w:tcPr>
                <w:tcW w:w="417" w:type="pct"/>
                <w:shd w:val="clear" w:color="auto" w:fill="FFFFFF" w:themeFill="background2"/>
                <w:vAlign w:val="center"/>
              </w:tcPr>
              <w:p w14:paraId="139992BA" w14:textId="07D09E24"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73</w:t>
                </w:r>
              </w:p>
            </w:tc>
            <w:tc>
              <w:tcPr>
                <w:tcW w:w="417" w:type="pct"/>
                <w:shd w:val="clear" w:color="auto" w:fill="FFFFFF" w:themeFill="background2"/>
                <w:vAlign w:val="center"/>
              </w:tcPr>
              <w:p w14:paraId="059EB554" w14:textId="2AA7285A"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96</w:t>
                </w:r>
              </w:p>
            </w:tc>
            <w:tc>
              <w:tcPr>
                <w:tcW w:w="417" w:type="pct"/>
                <w:shd w:val="clear" w:color="auto" w:fill="FFFFFF" w:themeFill="background2"/>
                <w:vAlign w:val="center"/>
              </w:tcPr>
              <w:p w14:paraId="349EFD21" w14:textId="3B949C0C"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5261BBDF" w14:textId="4695C7C4"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2.60%</w:t>
                </w:r>
              </w:p>
            </w:tc>
            <w:tc>
              <w:tcPr>
                <w:tcW w:w="417" w:type="pct"/>
                <w:shd w:val="clear" w:color="auto" w:fill="FFFFFF" w:themeFill="background2"/>
                <w:vAlign w:val="center"/>
              </w:tcPr>
              <w:p w14:paraId="0A712E89" w14:textId="35C432A7"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4.02%</w:t>
                </w:r>
              </w:p>
            </w:tc>
            <w:tc>
              <w:tcPr>
                <w:tcW w:w="417" w:type="pct"/>
                <w:shd w:val="clear" w:color="auto" w:fill="FFFFFF" w:themeFill="background2"/>
                <w:vAlign w:val="center"/>
              </w:tcPr>
              <w:p w14:paraId="3312ED0D" w14:textId="73E17CDD"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5.75%</w:t>
                </w:r>
              </w:p>
            </w:tc>
            <w:tc>
              <w:tcPr>
                <w:tcW w:w="417" w:type="pct"/>
                <w:shd w:val="clear" w:color="auto" w:fill="FFFFFF" w:themeFill="background2"/>
                <w:vAlign w:val="center"/>
              </w:tcPr>
              <w:p w14:paraId="781CD6CC" w14:textId="59497D3E"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w:t>
                </w:r>
                <w:r w:rsidR="00BF76B6" w:rsidRPr="00B80369">
                  <w:rPr>
                    <w:rFonts w:eastAsia="Times New Roman" w:cs="Segoe UI"/>
                    <w:sz w:val="14"/>
                    <w:szCs w:val="14"/>
                    <w:lang w:val="en-GB" w:eastAsia="it-IT"/>
                  </w:rPr>
                  <w:t>.</w:t>
                </w:r>
                <w:r w:rsidRPr="00B80369">
                  <w:rPr>
                    <w:rFonts w:eastAsia="Times New Roman" w:cs="Segoe UI"/>
                    <w:sz w:val="14"/>
                    <w:szCs w:val="14"/>
                    <w:lang w:val="en-GB" w:eastAsia="it-IT"/>
                  </w:rPr>
                  <w:t>57%</w:t>
                </w:r>
              </w:p>
            </w:tc>
            <w:tc>
              <w:tcPr>
                <w:tcW w:w="413" w:type="pct"/>
                <w:shd w:val="clear" w:color="auto" w:fill="FFFFFF" w:themeFill="background2"/>
                <w:vAlign w:val="center"/>
              </w:tcPr>
              <w:p w14:paraId="05695077" w14:textId="4E93FD4A"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CA4BC9" w:rsidRPr="00B80369" w14:paraId="640930AD"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2E0F5F57" w14:textId="77777777" w:rsidR="00CA4BC9" w:rsidRPr="00B80369" w:rsidRDefault="00CA4BC9"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C1.2</w:t>
                </w:r>
              </w:p>
            </w:tc>
            <w:tc>
              <w:tcPr>
                <w:tcW w:w="491" w:type="pct"/>
                <w:shd w:val="clear" w:color="auto" w:fill="FFFFFF" w:themeFill="background2"/>
                <w:tcMar>
                  <w:top w:w="60" w:type="dxa"/>
                  <w:left w:w="114" w:type="dxa"/>
                  <w:bottom w:w="60" w:type="dxa"/>
                  <w:right w:w="114" w:type="dxa"/>
                </w:tcMar>
                <w:vAlign w:val="center"/>
              </w:tcPr>
              <w:p w14:paraId="1EC95776" w14:textId="290A6705"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476</w:t>
                </w:r>
              </w:p>
            </w:tc>
            <w:tc>
              <w:tcPr>
                <w:tcW w:w="417" w:type="pct"/>
                <w:shd w:val="clear" w:color="auto" w:fill="FFFFFF" w:themeFill="background2"/>
                <w:tcMar>
                  <w:top w:w="60" w:type="dxa"/>
                  <w:left w:w="114" w:type="dxa"/>
                  <w:bottom w:w="60" w:type="dxa"/>
                  <w:right w:w="114" w:type="dxa"/>
                </w:tcMar>
                <w:vAlign w:val="center"/>
              </w:tcPr>
              <w:p w14:paraId="2D2D0EF4" w14:textId="30C0D835"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15</w:t>
                </w:r>
              </w:p>
            </w:tc>
            <w:tc>
              <w:tcPr>
                <w:tcW w:w="417" w:type="pct"/>
                <w:shd w:val="clear" w:color="auto" w:fill="FFFFFF" w:themeFill="background2"/>
                <w:vAlign w:val="center"/>
              </w:tcPr>
              <w:p w14:paraId="34A36C40" w14:textId="5770B814"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27</w:t>
                </w:r>
              </w:p>
            </w:tc>
            <w:tc>
              <w:tcPr>
                <w:tcW w:w="417" w:type="pct"/>
                <w:shd w:val="clear" w:color="auto" w:fill="FFFFFF" w:themeFill="background2"/>
                <w:vAlign w:val="center"/>
              </w:tcPr>
              <w:p w14:paraId="7C7CA345" w14:textId="72DC9968"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33</w:t>
                </w:r>
              </w:p>
            </w:tc>
            <w:tc>
              <w:tcPr>
                <w:tcW w:w="417" w:type="pct"/>
                <w:shd w:val="clear" w:color="auto" w:fill="FFFFFF" w:themeFill="background2"/>
                <w:vAlign w:val="center"/>
              </w:tcPr>
              <w:p w14:paraId="54908DF8" w14:textId="69C3D28B"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42</w:t>
                </w:r>
              </w:p>
            </w:tc>
            <w:tc>
              <w:tcPr>
                <w:tcW w:w="417" w:type="pct"/>
                <w:shd w:val="clear" w:color="auto" w:fill="FFFFFF" w:themeFill="background2"/>
                <w:vAlign w:val="center"/>
              </w:tcPr>
              <w:p w14:paraId="48A33F55" w14:textId="4F3346F5"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39C16A5C" w14:textId="498F2A51"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3.15%</w:t>
                </w:r>
              </w:p>
            </w:tc>
            <w:tc>
              <w:tcPr>
                <w:tcW w:w="417" w:type="pct"/>
                <w:shd w:val="clear" w:color="auto" w:fill="FFFFFF" w:themeFill="background2"/>
                <w:vAlign w:val="center"/>
              </w:tcPr>
              <w:p w14:paraId="4C1A1407" w14:textId="70935759"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5.67%</w:t>
                </w:r>
              </w:p>
            </w:tc>
            <w:tc>
              <w:tcPr>
                <w:tcW w:w="417" w:type="pct"/>
                <w:shd w:val="clear" w:color="auto" w:fill="FFFFFF" w:themeFill="background2"/>
                <w:vAlign w:val="center"/>
              </w:tcPr>
              <w:p w14:paraId="1F7F2AC2" w14:textId="6FEB0BE4"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6.93%</w:t>
                </w:r>
              </w:p>
            </w:tc>
            <w:tc>
              <w:tcPr>
                <w:tcW w:w="417" w:type="pct"/>
                <w:shd w:val="clear" w:color="auto" w:fill="FFFFFF" w:themeFill="background2"/>
                <w:vAlign w:val="center"/>
              </w:tcPr>
              <w:p w14:paraId="6C9822A0" w14:textId="239271A3"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8</w:t>
                </w:r>
                <w:r w:rsidR="00BF76B6" w:rsidRPr="00B80369">
                  <w:rPr>
                    <w:rFonts w:eastAsia="Times New Roman" w:cs="Segoe UI"/>
                    <w:sz w:val="14"/>
                    <w:szCs w:val="14"/>
                    <w:lang w:val="en-GB" w:eastAsia="it-IT"/>
                  </w:rPr>
                  <w:t>.</w:t>
                </w:r>
                <w:r w:rsidRPr="00B80369">
                  <w:rPr>
                    <w:rFonts w:eastAsia="Times New Roman" w:cs="Segoe UI"/>
                    <w:sz w:val="14"/>
                    <w:szCs w:val="14"/>
                    <w:lang w:val="en-GB" w:eastAsia="it-IT"/>
                  </w:rPr>
                  <w:t>82%</w:t>
                </w:r>
              </w:p>
            </w:tc>
            <w:tc>
              <w:tcPr>
                <w:tcW w:w="413" w:type="pct"/>
                <w:shd w:val="clear" w:color="auto" w:fill="FFFFFF" w:themeFill="background2"/>
                <w:vAlign w:val="center"/>
              </w:tcPr>
              <w:p w14:paraId="23753F46" w14:textId="1E68D3CE"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CA4BC9" w:rsidRPr="00B80369" w14:paraId="0B717605"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4F9D4B4B" w14:textId="77777777" w:rsidR="00CA4BC9" w:rsidRPr="00B80369" w:rsidRDefault="00CA4BC9"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C2.1</w:t>
                </w:r>
              </w:p>
            </w:tc>
            <w:tc>
              <w:tcPr>
                <w:tcW w:w="491" w:type="pct"/>
                <w:shd w:val="clear" w:color="auto" w:fill="FFFFFF" w:themeFill="background2"/>
                <w:tcMar>
                  <w:top w:w="60" w:type="dxa"/>
                  <w:left w:w="114" w:type="dxa"/>
                  <w:bottom w:w="60" w:type="dxa"/>
                  <w:right w:w="114" w:type="dxa"/>
                </w:tcMar>
                <w:vAlign w:val="center"/>
              </w:tcPr>
              <w:p w14:paraId="605E4C0B" w14:textId="64C223F7"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233</w:t>
                </w:r>
              </w:p>
            </w:tc>
            <w:tc>
              <w:tcPr>
                <w:tcW w:w="417" w:type="pct"/>
                <w:shd w:val="clear" w:color="auto" w:fill="FFFFFF" w:themeFill="background2"/>
                <w:tcMar>
                  <w:top w:w="60" w:type="dxa"/>
                  <w:left w:w="114" w:type="dxa"/>
                  <w:bottom w:w="60" w:type="dxa"/>
                  <w:right w:w="114" w:type="dxa"/>
                </w:tcMar>
                <w:vAlign w:val="center"/>
              </w:tcPr>
              <w:p w14:paraId="1C982CFF" w14:textId="7454A88A"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83</w:t>
                </w:r>
              </w:p>
            </w:tc>
            <w:tc>
              <w:tcPr>
                <w:tcW w:w="417" w:type="pct"/>
                <w:shd w:val="clear" w:color="auto" w:fill="FFFFFF" w:themeFill="background2"/>
                <w:vAlign w:val="center"/>
              </w:tcPr>
              <w:p w14:paraId="1502F4CD" w14:textId="22960AFE"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103</w:t>
                </w:r>
              </w:p>
            </w:tc>
            <w:tc>
              <w:tcPr>
                <w:tcW w:w="417" w:type="pct"/>
                <w:shd w:val="clear" w:color="auto" w:fill="FFFFFF" w:themeFill="background2"/>
                <w:vAlign w:val="center"/>
              </w:tcPr>
              <w:p w14:paraId="2D761EDC" w14:textId="6A09B96B"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113</w:t>
                </w:r>
              </w:p>
            </w:tc>
            <w:tc>
              <w:tcPr>
                <w:tcW w:w="417" w:type="pct"/>
                <w:shd w:val="clear" w:color="auto" w:fill="FFFFFF" w:themeFill="background2"/>
                <w:vAlign w:val="center"/>
              </w:tcPr>
              <w:p w14:paraId="278AB537" w14:textId="18711423"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119</w:t>
                </w:r>
              </w:p>
            </w:tc>
            <w:tc>
              <w:tcPr>
                <w:tcW w:w="417" w:type="pct"/>
                <w:shd w:val="clear" w:color="auto" w:fill="FFFFFF" w:themeFill="background2"/>
                <w:vAlign w:val="center"/>
              </w:tcPr>
              <w:p w14:paraId="0F56C9E9" w14:textId="7D361398"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0F8CBBB3" w14:textId="15D5F6E6"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35.62%</w:t>
                </w:r>
              </w:p>
            </w:tc>
            <w:tc>
              <w:tcPr>
                <w:tcW w:w="417" w:type="pct"/>
                <w:shd w:val="clear" w:color="auto" w:fill="FFFFFF" w:themeFill="background2"/>
                <w:vAlign w:val="center"/>
              </w:tcPr>
              <w:p w14:paraId="25098384" w14:textId="1FE9F832"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44.21%</w:t>
                </w:r>
              </w:p>
            </w:tc>
            <w:tc>
              <w:tcPr>
                <w:tcW w:w="417" w:type="pct"/>
                <w:shd w:val="clear" w:color="auto" w:fill="FFFFFF" w:themeFill="background2"/>
                <w:vAlign w:val="center"/>
              </w:tcPr>
              <w:p w14:paraId="79072F59" w14:textId="4447C1D8"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48.50%</w:t>
                </w:r>
              </w:p>
            </w:tc>
            <w:tc>
              <w:tcPr>
                <w:tcW w:w="417" w:type="pct"/>
                <w:shd w:val="clear" w:color="auto" w:fill="FFFFFF" w:themeFill="background2"/>
                <w:vAlign w:val="center"/>
              </w:tcPr>
              <w:p w14:paraId="23B065B7" w14:textId="7B9E28A1"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51</w:t>
                </w:r>
                <w:r w:rsidR="00BF76B6" w:rsidRPr="00B80369">
                  <w:rPr>
                    <w:rFonts w:eastAsia="Times New Roman" w:cs="Segoe UI"/>
                    <w:sz w:val="14"/>
                    <w:szCs w:val="14"/>
                    <w:lang w:val="en-GB" w:eastAsia="it-IT"/>
                  </w:rPr>
                  <w:t>.</w:t>
                </w:r>
                <w:r w:rsidRPr="00B80369">
                  <w:rPr>
                    <w:rFonts w:eastAsia="Times New Roman" w:cs="Segoe UI"/>
                    <w:sz w:val="14"/>
                    <w:szCs w:val="14"/>
                    <w:lang w:val="en-GB" w:eastAsia="it-IT"/>
                  </w:rPr>
                  <w:t>07%</w:t>
                </w:r>
              </w:p>
            </w:tc>
            <w:tc>
              <w:tcPr>
                <w:tcW w:w="413" w:type="pct"/>
                <w:shd w:val="clear" w:color="auto" w:fill="FFFFFF" w:themeFill="background2"/>
                <w:vAlign w:val="center"/>
              </w:tcPr>
              <w:p w14:paraId="413AE50A" w14:textId="36924A19"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CA4BC9" w:rsidRPr="00B80369" w14:paraId="7FC42513" w14:textId="77777777" w:rsidTr="00AC7D4E">
            <w:trPr>
              <w:trHeight w:val="227"/>
            </w:trPr>
            <w:tc>
              <w:tcPr>
                <w:tcW w:w="343" w:type="pct"/>
                <w:shd w:val="clear" w:color="auto" w:fill="FFFFFF" w:themeFill="background2"/>
                <w:tcMar>
                  <w:top w:w="60" w:type="dxa"/>
                  <w:left w:w="114" w:type="dxa"/>
                  <w:bottom w:w="60" w:type="dxa"/>
                  <w:right w:w="114" w:type="dxa"/>
                </w:tcMar>
                <w:vAlign w:val="center"/>
              </w:tcPr>
              <w:p w14:paraId="1AC958F0" w14:textId="77777777" w:rsidR="00CA4BC9" w:rsidRPr="00B80369" w:rsidRDefault="00CA4BC9" w:rsidP="00B80369">
                <w:pPr>
                  <w:spacing w:before="0" w:line="240" w:lineRule="auto"/>
                  <w:jc w:val="center"/>
                  <w:rPr>
                    <w:rFonts w:cs="Segoe UI"/>
                    <w:b/>
                    <w:bCs/>
                    <w:sz w:val="14"/>
                    <w:szCs w:val="14"/>
                    <w:lang w:eastAsia="it-IT"/>
                  </w:rPr>
                </w:pPr>
                <w:r w:rsidRPr="00B80369">
                  <w:rPr>
                    <w:rFonts w:cs="Segoe UI"/>
                    <w:b/>
                    <w:bCs/>
                    <w:sz w:val="14"/>
                    <w:szCs w:val="14"/>
                    <w:lang w:eastAsia="it-IT"/>
                  </w:rPr>
                  <w:t>TOTAL</w:t>
                </w:r>
              </w:p>
            </w:tc>
            <w:tc>
              <w:tcPr>
                <w:tcW w:w="491" w:type="pct"/>
                <w:shd w:val="clear" w:color="auto" w:fill="FFFFFF" w:themeFill="background2"/>
                <w:tcMar>
                  <w:top w:w="60" w:type="dxa"/>
                  <w:left w:w="114" w:type="dxa"/>
                  <w:bottom w:w="60" w:type="dxa"/>
                  <w:right w:w="114" w:type="dxa"/>
                </w:tcMar>
                <w:vAlign w:val="center"/>
              </w:tcPr>
              <w:p w14:paraId="3965AEBA" w14:textId="37774F9D"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27,188</w:t>
                </w:r>
              </w:p>
            </w:tc>
            <w:tc>
              <w:tcPr>
                <w:tcW w:w="417" w:type="pct"/>
                <w:shd w:val="clear" w:color="auto" w:fill="FFFFFF" w:themeFill="background2"/>
                <w:tcMar>
                  <w:top w:w="60" w:type="dxa"/>
                  <w:left w:w="114" w:type="dxa"/>
                  <w:bottom w:w="60" w:type="dxa"/>
                  <w:right w:w="114" w:type="dxa"/>
                </w:tcMar>
                <w:vAlign w:val="center"/>
              </w:tcPr>
              <w:p w14:paraId="0CECF09D" w14:textId="6F52194E"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238</w:t>
                </w:r>
              </w:p>
            </w:tc>
            <w:tc>
              <w:tcPr>
                <w:tcW w:w="417" w:type="pct"/>
                <w:shd w:val="clear" w:color="auto" w:fill="FFFFFF" w:themeFill="background2"/>
                <w:vAlign w:val="center"/>
              </w:tcPr>
              <w:p w14:paraId="78D75EBE" w14:textId="4635A720"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b/>
                    <w:bCs/>
                    <w:sz w:val="14"/>
                    <w:szCs w:val="14"/>
                    <w:lang w:val="en-GB" w:eastAsia="it-IT"/>
                  </w:rPr>
                  <w:t>380</w:t>
                </w:r>
              </w:p>
            </w:tc>
            <w:tc>
              <w:tcPr>
                <w:tcW w:w="417" w:type="pct"/>
                <w:shd w:val="clear" w:color="auto" w:fill="FFFFFF" w:themeFill="background2"/>
                <w:vAlign w:val="center"/>
              </w:tcPr>
              <w:p w14:paraId="795AA990" w14:textId="62686E4F"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510</w:t>
                </w:r>
              </w:p>
            </w:tc>
            <w:tc>
              <w:tcPr>
                <w:tcW w:w="417" w:type="pct"/>
                <w:shd w:val="clear" w:color="auto" w:fill="FFFFFF" w:themeFill="background2"/>
                <w:vAlign w:val="center"/>
              </w:tcPr>
              <w:p w14:paraId="2627F3F9" w14:textId="451E3CEF"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739</w:t>
                </w:r>
              </w:p>
            </w:tc>
            <w:tc>
              <w:tcPr>
                <w:tcW w:w="417" w:type="pct"/>
                <w:shd w:val="clear" w:color="auto" w:fill="FFFFFF" w:themeFill="background2"/>
                <w:vAlign w:val="center"/>
              </w:tcPr>
              <w:p w14:paraId="65C75845" w14:textId="1E9AB252" w:rsidR="00CA4BC9" w:rsidRPr="00B80369" w:rsidRDefault="00CA4BC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2B922D7A" w14:textId="45B508DB"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0.88%</w:t>
                </w:r>
              </w:p>
            </w:tc>
            <w:tc>
              <w:tcPr>
                <w:tcW w:w="417" w:type="pct"/>
                <w:shd w:val="clear" w:color="auto" w:fill="FFFFFF" w:themeFill="background2"/>
                <w:vAlign w:val="center"/>
              </w:tcPr>
              <w:p w14:paraId="21E77611" w14:textId="1996DEF5"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1.40%</w:t>
                </w:r>
              </w:p>
            </w:tc>
            <w:tc>
              <w:tcPr>
                <w:tcW w:w="417" w:type="pct"/>
                <w:shd w:val="clear" w:color="auto" w:fill="FFFFFF" w:themeFill="background2"/>
                <w:vAlign w:val="center"/>
              </w:tcPr>
              <w:p w14:paraId="47A92E5C" w14:textId="190DA771"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1</w:t>
                </w:r>
                <w:r w:rsidR="00BF76B6" w:rsidRPr="00B80369">
                  <w:rPr>
                    <w:rFonts w:eastAsia="Times New Roman" w:cs="Segoe UI"/>
                    <w:b/>
                    <w:sz w:val="14"/>
                    <w:szCs w:val="14"/>
                    <w:lang w:val="en-GB" w:eastAsia="it-IT"/>
                  </w:rPr>
                  <w:t>.</w:t>
                </w:r>
                <w:r w:rsidRPr="00B80369">
                  <w:rPr>
                    <w:rFonts w:eastAsia="Times New Roman" w:cs="Segoe UI"/>
                    <w:b/>
                    <w:sz w:val="14"/>
                    <w:szCs w:val="14"/>
                    <w:lang w:val="en-GB" w:eastAsia="it-IT"/>
                  </w:rPr>
                  <w:t>88%</w:t>
                </w:r>
              </w:p>
            </w:tc>
            <w:tc>
              <w:tcPr>
                <w:tcW w:w="417" w:type="pct"/>
                <w:shd w:val="clear" w:color="auto" w:fill="FFFFFF" w:themeFill="background2"/>
                <w:vAlign w:val="center"/>
              </w:tcPr>
              <w:p w14:paraId="40646480" w14:textId="330E1010"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2</w:t>
                </w:r>
                <w:r w:rsidR="00BF76B6" w:rsidRPr="00B80369">
                  <w:rPr>
                    <w:rFonts w:eastAsia="Times New Roman" w:cs="Segoe UI"/>
                    <w:b/>
                    <w:bCs/>
                    <w:sz w:val="14"/>
                    <w:szCs w:val="14"/>
                    <w:lang w:val="en-GB" w:eastAsia="it-IT"/>
                  </w:rPr>
                  <w:t>.</w:t>
                </w:r>
                <w:r w:rsidRPr="00B80369">
                  <w:rPr>
                    <w:rFonts w:eastAsia="Times New Roman" w:cs="Segoe UI"/>
                    <w:b/>
                    <w:bCs/>
                    <w:sz w:val="14"/>
                    <w:szCs w:val="14"/>
                    <w:lang w:val="en-GB" w:eastAsia="it-IT"/>
                  </w:rPr>
                  <w:t>99%</w:t>
                </w:r>
              </w:p>
            </w:tc>
            <w:tc>
              <w:tcPr>
                <w:tcW w:w="413" w:type="pct"/>
                <w:shd w:val="clear" w:color="auto" w:fill="FFFFFF" w:themeFill="background2"/>
                <w:vAlign w:val="center"/>
              </w:tcPr>
              <w:p w14:paraId="66705D9C" w14:textId="253166C4" w:rsidR="00CA4BC9" w:rsidRPr="00B80369" w:rsidRDefault="00CA4BC9"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bl>
        <w:p w14:paraId="3F445624" w14:textId="77777777" w:rsidR="004101BF" w:rsidRPr="0032337D" w:rsidRDefault="004101BF" w:rsidP="004101BF">
          <w:pPr>
            <w:rPr>
              <w:rFonts w:cs="Segoe UI"/>
              <w:lang w:val="en-GB"/>
            </w:rPr>
          </w:pPr>
        </w:p>
        <w:p w14:paraId="3BA9854F" w14:textId="0A8EE5BF" w:rsidR="004101BF" w:rsidRDefault="004101BF" w:rsidP="004101BF">
          <w:pPr>
            <w:pStyle w:val="Didascalia"/>
            <w:rPr>
              <w:rFonts w:ascii="Segoe UI" w:hAnsi="Segoe UI" w:cs="Segoe UI"/>
              <w:i/>
              <w:sz w:val="14"/>
              <w:lang w:val="en-GB"/>
            </w:rPr>
          </w:pPr>
          <w:bookmarkStart w:id="147" w:name="_Toc130806343"/>
          <w:bookmarkStart w:id="148" w:name="_Toc166675683"/>
          <w:bookmarkStart w:id="149" w:name="_Toc167131810"/>
          <w:r w:rsidRPr="006A286E">
            <w:rPr>
              <w:rFonts w:ascii="Segoe UI" w:hAnsi="Segoe UI" w:cs="Segoe UI"/>
              <w:i/>
              <w:sz w:val="14"/>
              <w:lang w:val="en-GB"/>
            </w:rPr>
            <w:t xml:space="preserve">Exhibit </w:t>
          </w:r>
          <w:r w:rsidRPr="006A286E">
            <w:rPr>
              <w:rFonts w:ascii="Segoe UI" w:hAnsi="Segoe UI" w:cs="Segoe UI"/>
              <w:i/>
              <w:sz w:val="14"/>
              <w:lang w:val="en-GB"/>
            </w:rPr>
            <w:fldChar w:fldCharType="begin"/>
          </w:r>
          <w:r w:rsidRPr="006A286E">
            <w:rPr>
              <w:rFonts w:ascii="Segoe UI" w:hAnsi="Segoe UI" w:cs="Segoe UI"/>
              <w:i/>
              <w:sz w:val="14"/>
              <w:lang w:val="en-GB"/>
            </w:rPr>
            <w:instrText xml:space="preserve"> SEQ Exhibit \* ARABIC </w:instrText>
          </w:r>
          <w:r w:rsidRPr="006A286E">
            <w:rPr>
              <w:rFonts w:ascii="Segoe UI" w:hAnsi="Segoe UI" w:cs="Segoe UI"/>
              <w:i/>
              <w:sz w:val="14"/>
              <w:lang w:val="en-GB"/>
            </w:rPr>
            <w:fldChar w:fldCharType="separate"/>
          </w:r>
          <w:r w:rsidR="009857B6">
            <w:rPr>
              <w:rFonts w:ascii="Segoe UI" w:hAnsi="Segoe UI" w:cs="Segoe UI"/>
              <w:i/>
              <w:noProof/>
              <w:sz w:val="14"/>
              <w:lang w:val="en-GB"/>
            </w:rPr>
            <w:t>42</w:t>
          </w:r>
          <w:r w:rsidRPr="006A286E">
            <w:rPr>
              <w:rFonts w:ascii="Segoe UI" w:hAnsi="Segoe UI" w:cs="Segoe UI"/>
              <w:i/>
              <w:sz w:val="14"/>
              <w:lang w:val="en-GB"/>
            </w:rPr>
            <w:fldChar w:fldCharType="end"/>
          </w:r>
          <w:r w:rsidRPr="006A286E">
            <w:rPr>
              <w:rFonts w:ascii="Segoe UI" w:hAnsi="Segoe UI" w:cs="Segoe UI"/>
              <w:i/>
              <w:sz w:val="14"/>
              <w:lang w:val="en-GB"/>
            </w:rPr>
            <w:t>: Static pool as of 31</w:t>
          </w:r>
          <w:r w:rsidRPr="00A6159A">
            <w:rPr>
              <w:rFonts w:ascii="Segoe UI" w:hAnsi="Segoe UI" w:cs="Segoe UI"/>
              <w:i/>
              <w:sz w:val="14"/>
              <w:vertAlign w:val="superscript"/>
              <w:lang w:val="en-GB"/>
            </w:rPr>
            <w:t>st</w:t>
          </w:r>
          <w:r w:rsidRPr="006A286E">
            <w:rPr>
              <w:rFonts w:ascii="Segoe UI" w:hAnsi="Segoe UI" w:cs="Segoe UI"/>
              <w:i/>
              <w:sz w:val="14"/>
              <w:lang w:val="en-GB"/>
            </w:rPr>
            <w:t xml:space="preserve"> December 20</w:t>
          </w:r>
          <w:r>
            <w:rPr>
              <w:rFonts w:ascii="Segoe UI" w:hAnsi="Segoe UI" w:cs="Segoe UI"/>
              <w:i/>
              <w:sz w:val="14"/>
              <w:lang w:val="en-GB"/>
            </w:rPr>
            <w:t>20</w:t>
          </w:r>
          <w:bookmarkEnd w:id="147"/>
          <w:bookmarkEnd w:id="148"/>
          <w:bookmarkEnd w:id="149"/>
        </w:p>
        <w:tbl>
          <w:tblPr>
            <w:tblW w:w="5000" w:type="pct"/>
            <w:tblBorders>
              <w:top w:val="single" w:sz="4" w:space="0" w:color="AFAFB4" w:themeColor="accent4"/>
              <w:bottom w:val="single" w:sz="4" w:space="0" w:color="AFAFB4" w:themeColor="accent4"/>
              <w:insideH w:val="single" w:sz="4" w:space="0" w:color="AFAFB4" w:themeColor="accent4"/>
            </w:tblBorders>
            <w:shd w:val="clear" w:color="auto" w:fill="FFFFFF" w:themeFill="background2"/>
            <w:tblCellMar>
              <w:left w:w="0" w:type="dxa"/>
              <w:right w:w="0" w:type="dxa"/>
            </w:tblCellMar>
            <w:tblLook w:val="0620" w:firstRow="1" w:lastRow="0" w:firstColumn="0" w:lastColumn="0" w:noHBand="1" w:noVBand="1"/>
            <w:tblDescription w:val="{&quot;Ott&quot;:{&quot;FirstRow&quot;:{&quot;BackgroundColor&quot;:{&quot;Key&quot;:&quot;Light2&quot;},&quot;Font&quot;:{&quot;Name&quot;:&quot;Source Sans Pro&quot;,&quot;Size&quot;:14.0,&quot;Bold&quot;:false,&quot;Italic&quot;:false,&quot;Color&quot;:{&quot;Key&quot;:&quot;Dark2&quot;}},&quot;ExcelCellFormatting&quot;:&quot;General&quot;,&quot;Alignment&quot;:{&quot;Horizontal&quot;:&quot;Left&quot;,&quot;Vertical&quot;:&quot;Bottom&quot;},&quot;Borders&quot;:{&quot;Vertical&quot;:{&quot;Visible&quot;:false},&quot;Left&quot;:{&quot;Visible&quot;:false},&quot;Top&quot;:{&quot;Visible&quot;:false},&quot;Right&quot;:{&quot;Visible&quot;:false},&quot;Bottom&quot;:{&quot;Color&quot;:{&quot;Key&quot;:&quot;Accent4&quot;},&quot;BorderWeight&quot;:&quot;Pt1_5&quot;,&quot;Type&quot;:&quot;Solid&quot;,&quot;Visible&quot;:true}}},&quot;FitRowHeightPp&quot;:true,&quot;ZeroMarginsWord&quot;:true,&quot;BackgroundColor&quot;:{&quot;Key&quot;:&quot;Light2&quot;},&quot;Font&quot;:{&quot;Name&quot;:&quot;Source Sans Pro&quot;,&quot;Size&quot;:11.0,&quot;Bold&quot;:false,&quot;Italic&quot;:false,&quot;Color&quot;:{&quot;Key&quot;:&quot;Dark2&quot;}},&quot;LineSpacing&quot;:{&quot;Rule&quot;:&quot;Single&quot;},&quot;Alignment&quot;:{&quot;Horizontal&quot;:&quot;Left&quot;,&quot;Vertical&quot;:&quot;Top&quot;},&quot;Margin&quot;:{&quot;Left&quot;:5.7,&quot;Top&quot;:3.0,&quot;Right&quot;:5.7,&quot;Bottom&quot;:3.0},&quot;Borders&quot;:{&quot;Vertical&quot;:{&quot;Visible&quot;:false},&quot;Horizontal&quot;:{&quot;Color&quot;:{&quot;Key&quot;:&quot;Accent4&quot;},&quot;BorderWeight&quot;:&quot;Pt0_5&quot;,&quot;Type&quot;:&quot;Solid&quot;,&quot;Visible&quot;:true}},&quot;ParagraphSpacing&quot;:{&quot;SpaceBefore&quot;:2.0,&quot;SpaceAfter&quot;:2.0},&quot;ExcelWrapText&quot;:true},&quot;Ccs&quot;:{&quot;DarkBlue&quot;:&quot;0, 20, 55&quot;,&quot;Turquoise&quot;:&quot;0, 164, 230&quot;,&quot;Red&quot;:&quot;214, 70, 65&quot;,&quot;LightGrey&quot;:&quot;174, 174, 180&quot;,&quot;BlueGrey&quot;:&quot;77, 91, 115&quot;,&quot;IceBlue&quot;:&quot;178, 184, 195&quot;,&quot;Grey&quot;:&quot;145, 147, 153&quot;,&quot;Background&quot;:&quot;0, 0, 0, 0&quot;,&quot;White&quot;:&quot;White&quot;,&quot;Accent1&quot;:&quot;1, 1, 1, 1&quot;,&quot;Accent2&quot;:&quot;1, 1, 1, 2&quot;,&quot;Accent3&quot;:&quot;1, 1, 1, 3&quot;,&quot;Accent4&quot;:&quot;1, 1, 1, 4&quot;,&quot;Accent5&quot;:&quot;1, 1, 1, 5&quot;,&quot;Accent6&quot;:&quot;1, 1, 1, 6&quot;,&quot;Dark1&quot;:&quot;1, 1, 1, 7&quot;,&quot;Dark2&quot;:&quot;1, 1, 1, 9&quot;,&quot;Light1&quot;:&quot;1, 1, 1, 8&quot;,&quot;Light2&quot;:&quot;1, 1, 1, 10&quot;},&quot;Cop&quot;:{&quot;FirstRow&quot;:true,&quot;LastRow&quot;:false,&quot;FirstColumn&quot;:false,&quot;LastColumn&quot;:false,&quot;BandedRows&quot;:false,&quot;BandedColumns&quot;:false},&quot;Aaf&quot;:false}"/>
          </w:tblPr>
          <w:tblGrid>
            <w:gridCol w:w="710"/>
            <w:gridCol w:w="1016"/>
            <w:gridCol w:w="863"/>
            <w:gridCol w:w="863"/>
            <w:gridCol w:w="863"/>
            <w:gridCol w:w="863"/>
            <w:gridCol w:w="863"/>
            <w:gridCol w:w="863"/>
            <w:gridCol w:w="863"/>
            <w:gridCol w:w="863"/>
            <w:gridCol w:w="863"/>
            <w:gridCol w:w="855"/>
          </w:tblGrid>
          <w:tr w:rsidR="00707524" w:rsidRPr="00B80369" w14:paraId="79CEEFF7" w14:textId="77777777" w:rsidTr="00AC7D4E">
            <w:trPr>
              <w:trHeight w:val="227"/>
              <w:tblHeader/>
            </w:trPr>
            <w:tc>
              <w:tcPr>
                <w:tcW w:w="343" w:type="pct"/>
                <w:vMerge w:val="restar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6DB08C0A" w14:textId="77777777"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Rating</w:t>
                </w:r>
              </w:p>
            </w:tc>
            <w:tc>
              <w:tcPr>
                <w:tcW w:w="491"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28F93E04" w14:textId="77777777"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Static pool</w:t>
                </w:r>
              </w:p>
            </w:tc>
            <w:tc>
              <w:tcPr>
                <w:tcW w:w="2085" w:type="pct"/>
                <w:gridSpan w:val="5"/>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7CCCE5F5" w14:textId="3298A74B"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Observed defaults by years since rating issuance</w:t>
                </w:r>
              </w:p>
            </w:tc>
            <w:tc>
              <w:tcPr>
                <w:tcW w:w="2081" w:type="pct"/>
                <w:gridSpan w:val="5"/>
                <w:tcBorders>
                  <w:top w:val="single" w:sz="12" w:space="0" w:color="AFAFB4" w:themeColor="accent4"/>
                </w:tcBorders>
                <w:shd w:val="clear" w:color="auto" w:fill="FFFFFF" w:themeFill="background2"/>
                <w:vAlign w:val="center"/>
              </w:tcPr>
              <w:p w14:paraId="5B9EE548" w14:textId="77777777"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Percentage of cumulative default rates</w:t>
                </w:r>
              </w:p>
            </w:tc>
          </w:tr>
          <w:tr w:rsidR="006074C3" w:rsidRPr="00B80369" w14:paraId="534CE0ED" w14:textId="77777777" w:rsidTr="00AC7D4E">
            <w:trPr>
              <w:trHeight w:val="227"/>
              <w:tblHeader/>
            </w:trPr>
            <w:tc>
              <w:tcPr>
                <w:tcW w:w="343" w:type="pct"/>
                <w:vMerge/>
                <w:shd w:val="clear" w:color="auto" w:fill="FFFFFF" w:themeFill="background2"/>
                <w:tcMar>
                  <w:top w:w="60" w:type="dxa"/>
                  <w:left w:w="114" w:type="dxa"/>
                  <w:bottom w:w="60" w:type="dxa"/>
                  <w:right w:w="114" w:type="dxa"/>
                </w:tcMar>
                <w:vAlign w:val="center"/>
              </w:tcPr>
              <w:p w14:paraId="12D8DDC1" w14:textId="77777777" w:rsidR="006074C3" w:rsidRPr="00B80369" w:rsidRDefault="006074C3" w:rsidP="00B80369">
                <w:pPr>
                  <w:spacing w:before="0" w:line="240" w:lineRule="auto"/>
                  <w:jc w:val="center"/>
                  <w:rPr>
                    <w:b/>
                    <w:color w:val="33A1AB" w:themeColor="accent2"/>
                    <w:sz w:val="14"/>
                    <w:szCs w:val="14"/>
                  </w:rPr>
                </w:pPr>
              </w:p>
            </w:tc>
            <w:tc>
              <w:tcPr>
                <w:tcW w:w="491"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24BFF4E1" w14:textId="6D6C9851" w:rsidR="006074C3" w:rsidRPr="00B80369" w:rsidRDefault="006074C3" w:rsidP="00B80369">
                <w:pPr>
                  <w:spacing w:before="0" w:line="240" w:lineRule="auto"/>
                  <w:jc w:val="center"/>
                  <w:rPr>
                    <w:b/>
                    <w:color w:val="33A1AB" w:themeColor="accent2"/>
                    <w:sz w:val="14"/>
                    <w:szCs w:val="14"/>
                  </w:rPr>
                </w:pPr>
                <w:r w:rsidRPr="00B80369">
                  <w:rPr>
                    <w:b/>
                    <w:color w:val="33A1AB" w:themeColor="accent2"/>
                    <w:sz w:val="14"/>
                    <w:szCs w:val="14"/>
                  </w:rPr>
                  <w:t>31 Dec 20</w:t>
                </w:r>
                <w:r w:rsidR="005434A2" w:rsidRPr="00B80369">
                  <w:rPr>
                    <w:b/>
                    <w:color w:val="33A1AB" w:themeColor="accent2"/>
                    <w:sz w:val="14"/>
                    <w:szCs w:val="14"/>
                  </w:rPr>
                  <w:t>20</w:t>
                </w:r>
              </w:p>
            </w:tc>
            <w:tc>
              <w:tcPr>
                <w:tcW w:w="417"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73222551" w14:textId="77777777" w:rsidR="006074C3" w:rsidRPr="00B80369" w:rsidRDefault="006074C3" w:rsidP="00B80369">
                <w:pPr>
                  <w:spacing w:before="0" w:line="240" w:lineRule="auto"/>
                  <w:jc w:val="center"/>
                  <w:rPr>
                    <w:b/>
                    <w:color w:val="33A1AB" w:themeColor="accent2"/>
                    <w:sz w:val="14"/>
                    <w:szCs w:val="14"/>
                  </w:rPr>
                </w:pPr>
                <w:r w:rsidRPr="00B80369">
                  <w:rPr>
                    <w:b/>
                    <w:color w:val="33A1AB" w:themeColor="accent2"/>
                    <w:sz w:val="14"/>
                    <w:szCs w:val="14"/>
                  </w:rPr>
                  <w:t>1-Y DR</w:t>
                </w:r>
              </w:p>
            </w:tc>
            <w:tc>
              <w:tcPr>
                <w:tcW w:w="417" w:type="pct"/>
                <w:tcBorders>
                  <w:top w:val="single" w:sz="12" w:space="0" w:color="AFAFB4" w:themeColor="accent4"/>
                </w:tcBorders>
                <w:shd w:val="clear" w:color="auto" w:fill="FFFFFF" w:themeFill="background2"/>
                <w:vAlign w:val="center"/>
              </w:tcPr>
              <w:p w14:paraId="7FFE7C7F" w14:textId="77777777" w:rsidR="006074C3" w:rsidRPr="00B80369" w:rsidRDefault="006074C3" w:rsidP="00B80369">
                <w:pPr>
                  <w:spacing w:before="0" w:line="240" w:lineRule="auto"/>
                  <w:jc w:val="center"/>
                  <w:rPr>
                    <w:b/>
                    <w:color w:val="33A1AB" w:themeColor="accent2"/>
                    <w:sz w:val="14"/>
                    <w:szCs w:val="14"/>
                  </w:rPr>
                </w:pPr>
                <w:r w:rsidRPr="00B80369">
                  <w:rPr>
                    <w:b/>
                    <w:color w:val="33A1AB" w:themeColor="accent2"/>
                    <w:sz w:val="14"/>
                    <w:szCs w:val="14"/>
                  </w:rPr>
                  <w:t>2-Y DR</w:t>
                </w:r>
              </w:p>
            </w:tc>
            <w:tc>
              <w:tcPr>
                <w:tcW w:w="417" w:type="pct"/>
                <w:tcBorders>
                  <w:top w:val="single" w:sz="12" w:space="0" w:color="AFAFB4" w:themeColor="accent4"/>
                </w:tcBorders>
                <w:shd w:val="clear" w:color="auto" w:fill="FFFFFF" w:themeFill="background2"/>
                <w:vAlign w:val="center"/>
              </w:tcPr>
              <w:p w14:paraId="60FB1FE0" w14:textId="77777777" w:rsidR="006074C3" w:rsidRPr="00B80369" w:rsidRDefault="006074C3" w:rsidP="00B80369">
                <w:pPr>
                  <w:spacing w:before="0" w:line="240" w:lineRule="auto"/>
                  <w:jc w:val="center"/>
                  <w:rPr>
                    <w:b/>
                    <w:color w:val="33A1AB" w:themeColor="accent2"/>
                    <w:sz w:val="14"/>
                    <w:szCs w:val="14"/>
                  </w:rPr>
                </w:pPr>
                <w:r w:rsidRPr="00B80369">
                  <w:rPr>
                    <w:b/>
                    <w:color w:val="33A1AB" w:themeColor="accent2"/>
                    <w:sz w:val="14"/>
                    <w:szCs w:val="14"/>
                  </w:rPr>
                  <w:t>3-Y DR</w:t>
                </w:r>
              </w:p>
            </w:tc>
            <w:tc>
              <w:tcPr>
                <w:tcW w:w="417" w:type="pct"/>
                <w:tcBorders>
                  <w:top w:val="single" w:sz="12" w:space="0" w:color="AFAFB4" w:themeColor="accent4"/>
                </w:tcBorders>
                <w:shd w:val="clear" w:color="auto" w:fill="FFFFFF" w:themeFill="background2"/>
                <w:vAlign w:val="center"/>
              </w:tcPr>
              <w:p w14:paraId="1D02CB70" w14:textId="77777777" w:rsidR="006074C3" w:rsidRPr="00B80369" w:rsidRDefault="006074C3" w:rsidP="00B80369">
                <w:pPr>
                  <w:spacing w:before="0" w:line="240" w:lineRule="auto"/>
                  <w:jc w:val="center"/>
                  <w:rPr>
                    <w:b/>
                    <w:color w:val="33A1AB" w:themeColor="accent2"/>
                    <w:sz w:val="14"/>
                    <w:szCs w:val="14"/>
                  </w:rPr>
                </w:pPr>
                <w:r w:rsidRPr="00B80369">
                  <w:rPr>
                    <w:b/>
                    <w:color w:val="33A1AB" w:themeColor="accent2"/>
                    <w:sz w:val="14"/>
                    <w:szCs w:val="14"/>
                  </w:rPr>
                  <w:t>4-Y DR</w:t>
                </w:r>
              </w:p>
            </w:tc>
            <w:tc>
              <w:tcPr>
                <w:tcW w:w="417" w:type="pct"/>
                <w:tcBorders>
                  <w:top w:val="single" w:sz="12" w:space="0" w:color="AFAFB4" w:themeColor="accent4"/>
                </w:tcBorders>
                <w:shd w:val="clear" w:color="auto" w:fill="FFFFFF" w:themeFill="background2"/>
                <w:vAlign w:val="center"/>
              </w:tcPr>
              <w:p w14:paraId="0F435338" w14:textId="77777777" w:rsidR="006074C3" w:rsidRPr="00B80369" w:rsidRDefault="006074C3" w:rsidP="00B80369">
                <w:pPr>
                  <w:spacing w:before="0" w:line="240" w:lineRule="auto"/>
                  <w:jc w:val="center"/>
                  <w:rPr>
                    <w:b/>
                    <w:color w:val="33A1AB" w:themeColor="accent2"/>
                    <w:sz w:val="14"/>
                    <w:szCs w:val="14"/>
                  </w:rPr>
                </w:pPr>
                <w:r w:rsidRPr="00B80369">
                  <w:rPr>
                    <w:b/>
                    <w:color w:val="33A1AB" w:themeColor="accent2"/>
                    <w:sz w:val="14"/>
                    <w:szCs w:val="14"/>
                  </w:rPr>
                  <w:t>5-Y DR</w:t>
                </w:r>
              </w:p>
            </w:tc>
            <w:tc>
              <w:tcPr>
                <w:tcW w:w="417" w:type="pct"/>
                <w:tcBorders>
                  <w:top w:val="single" w:sz="12" w:space="0" w:color="AFAFB4" w:themeColor="accent4"/>
                </w:tcBorders>
                <w:shd w:val="clear" w:color="auto" w:fill="FFFFFF" w:themeFill="background2"/>
                <w:vAlign w:val="center"/>
              </w:tcPr>
              <w:p w14:paraId="24DC426B" w14:textId="77777777" w:rsidR="006074C3" w:rsidRPr="00B80369" w:rsidRDefault="006074C3" w:rsidP="00B80369">
                <w:pPr>
                  <w:spacing w:before="0" w:line="240" w:lineRule="auto"/>
                  <w:jc w:val="center"/>
                  <w:rPr>
                    <w:b/>
                    <w:color w:val="33A1AB" w:themeColor="accent2"/>
                    <w:sz w:val="14"/>
                    <w:szCs w:val="14"/>
                  </w:rPr>
                </w:pPr>
                <w:r w:rsidRPr="00B80369">
                  <w:rPr>
                    <w:b/>
                    <w:color w:val="33A1AB" w:themeColor="accent2"/>
                    <w:sz w:val="14"/>
                    <w:szCs w:val="14"/>
                  </w:rPr>
                  <w:t>1-Y DR</w:t>
                </w:r>
              </w:p>
            </w:tc>
            <w:tc>
              <w:tcPr>
                <w:tcW w:w="417" w:type="pct"/>
                <w:tcBorders>
                  <w:top w:val="single" w:sz="12" w:space="0" w:color="AFAFB4" w:themeColor="accent4"/>
                </w:tcBorders>
                <w:shd w:val="clear" w:color="auto" w:fill="FFFFFF" w:themeFill="background2"/>
                <w:vAlign w:val="center"/>
              </w:tcPr>
              <w:p w14:paraId="30ECC9C1" w14:textId="77777777" w:rsidR="006074C3" w:rsidRPr="00B80369" w:rsidRDefault="006074C3" w:rsidP="00B80369">
                <w:pPr>
                  <w:spacing w:before="0" w:line="240" w:lineRule="auto"/>
                  <w:jc w:val="center"/>
                  <w:rPr>
                    <w:b/>
                    <w:color w:val="33A1AB" w:themeColor="accent2"/>
                    <w:sz w:val="14"/>
                    <w:szCs w:val="14"/>
                  </w:rPr>
                </w:pPr>
                <w:r w:rsidRPr="00B80369">
                  <w:rPr>
                    <w:b/>
                    <w:color w:val="33A1AB" w:themeColor="accent2"/>
                    <w:sz w:val="14"/>
                    <w:szCs w:val="14"/>
                  </w:rPr>
                  <w:t>2-Y DR</w:t>
                </w:r>
              </w:p>
            </w:tc>
            <w:tc>
              <w:tcPr>
                <w:tcW w:w="417" w:type="pct"/>
                <w:tcBorders>
                  <w:top w:val="single" w:sz="12" w:space="0" w:color="AFAFB4" w:themeColor="accent4"/>
                </w:tcBorders>
                <w:shd w:val="clear" w:color="auto" w:fill="FFFFFF" w:themeFill="background2"/>
                <w:vAlign w:val="center"/>
              </w:tcPr>
              <w:p w14:paraId="0704C483" w14:textId="77777777" w:rsidR="006074C3" w:rsidRPr="00B80369" w:rsidRDefault="006074C3" w:rsidP="00B80369">
                <w:pPr>
                  <w:spacing w:before="0" w:line="240" w:lineRule="auto"/>
                  <w:jc w:val="center"/>
                  <w:rPr>
                    <w:b/>
                    <w:color w:val="33A1AB" w:themeColor="accent2"/>
                    <w:sz w:val="14"/>
                    <w:szCs w:val="14"/>
                  </w:rPr>
                </w:pPr>
                <w:r w:rsidRPr="00B80369">
                  <w:rPr>
                    <w:b/>
                    <w:color w:val="33A1AB" w:themeColor="accent2"/>
                    <w:sz w:val="14"/>
                    <w:szCs w:val="14"/>
                  </w:rPr>
                  <w:t>3-Y DR</w:t>
                </w:r>
              </w:p>
            </w:tc>
            <w:tc>
              <w:tcPr>
                <w:tcW w:w="417" w:type="pct"/>
                <w:tcBorders>
                  <w:top w:val="single" w:sz="12" w:space="0" w:color="AFAFB4" w:themeColor="accent4"/>
                </w:tcBorders>
                <w:shd w:val="clear" w:color="auto" w:fill="FFFFFF" w:themeFill="background2"/>
                <w:vAlign w:val="center"/>
              </w:tcPr>
              <w:p w14:paraId="5CF38F6F" w14:textId="77777777" w:rsidR="006074C3" w:rsidRPr="00B80369" w:rsidRDefault="006074C3" w:rsidP="00B80369">
                <w:pPr>
                  <w:spacing w:before="0" w:line="240" w:lineRule="auto"/>
                  <w:jc w:val="center"/>
                  <w:rPr>
                    <w:b/>
                    <w:color w:val="33A1AB" w:themeColor="accent2"/>
                    <w:sz w:val="14"/>
                    <w:szCs w:val="14"/>
                  </w:rPr>
                </w:pPr>
                <w:r w:rsidRPr="00B80369">
                  <w:rPr>
                    <w:b/>
                    <w:color w:val="33A1AB" w:themeColor="accent2"/>
                    <w:sz w:val="14"/>
                    <w:szCs w:val="14"/>
                  </w:rPr>
                  <w:t>4-Y DR</w:t>
                </w:r>
              </w:p>
            </w:tc>
            <w:tc>
              <w:tcPr>
                <w:tcW w:w="413" w:type="pct"/>
                <w:tcBorders>
                  <w:top w:val="single" w:sz="12" w:space="0" w:color="AFAFB4" w:themeColor="accent4"/>
                </w:tcBorders>
                <w:shd w:val="clear" w:color="auto" w:fill="FFFFFF" w:themeFill="background2"/>
                <w:vAlign w:val="center"/>
              </w:tcPr>
              <w:p w14:paraId="06D277DC" w14:textId="77777777" w:rsidR="006074C3" w:rsidRPr="00B80369" w:rsidRDefault="006074C3" w:rsidP="00B80369">
                <w:pPr>
                  <w:spacing w:before="0" w:line="240" w:lineRule="auto"/>
                  <w:jc w:val="center"/>
                  <w:rPr>
                    <w:b/>
                    <w:color w:val="33A1AB" w:themeColor="accent2"/>
                    <w:sz w:val="14"/>
                    <w:szCs w:val="14"/>
                  </w:rPr>
                </w:pPr>
                <w:r w:rsidRPr="00B80369">
                  <w:rPr>
                    <w:b/>
                    <w:color w:val="33A1AB" w:themeColor="accent2"/>
                    <w:sz w:val="14"/>
                    <w:szCs w:val="14"/>
                  </w:rPr>
                  <w:t>5-Y DR</w:t>
                </w:r>
              </w:p>
            </w:tc>
          </w:tr>
          <w:tr w:rsidR="003B0180" w:rsidRPr="00B80369" w14:paraId="6556A32B"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475DD22B" w14:textId="77777777" w:rsidR="003B0180" w:rsidRPr="00B80369" w:rsidRDefault="003B0180"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A1.1</w:t>
                </w:r>
              </w:p>
            </w:tc>
            <w:tc>
              <w:tcPr>
                <w:tcW w:w="491" w:type="pct"/>
                <w:shd w:val="clear" w:color="auto" w:fill="FFFFFF" w:themeFill="background2"/>
                <w:tcMar>
                  <w:top w:w="60" w:type="dxa"/>
                  <w:left w:w="114" w:type="dxa"/>
                  <w:bottom w:w="60" w:type="dxa"/>
                  <w:right w:w="114" w:type="dxa"/>
                </w:tcMar>
                <w:vAlign w:val="center"/>
              </w:tcPr>
              <w:p w14:paraId="75548EF0" w14:textId="3B6BAA06"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w:t>
                </w:r>
              </w:p>
            </w:tc>
            <w:tc>
              <w:tcPr>
                <w:tcW w:w="417" w:type="pct"/>
                <w:shd w:val="clear" w:color="auto" w:fill="FFFFFF" w:themeFill="background2"/>
                <w:tcMar>
                  <w:top w:w="60" w:type="dxa"/>
                  <w:left w:w="114" w:type="dxa"/>
                  <w:bottom w:w="60" w:type="dxa"/>
                  <w:right w:w="114" w:type="dxa"/>
                </w:tcMar>
                <w:vAlign w:val="center"/>
              </w:tcPr>
              <w:p w14:paraId="47FC8CCA" w14:textId="728897A4"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3EB2081C" w14:textId="79DB3AB6"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4EEDF522" w14:textId="1AF7A51F"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19E206D3" w14:textId="5D1ED26D"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0F2C8E98" w14:textId="77777777"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3B670AB3" w14:textId="267358B7"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7B1258AE" w14:textId="321F3448"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09E0FB62" w14:textId="4A881B1B"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D910FA" w:rsidRPr="00B80369">
                  <w:rPr>
                    <w:rFonts w:eastAsia="Times New Roman" w:cs="Segoe UI"/>
                    <w:sz w:val="14"/>
                    <w:szCs w:val="14"/>
                    <w:lang w:val="en-GB" w:eastAsia="it-IT"/>
                  </w:rPr>
                  <w:t>.</w:t>
                </w:r>
                <w:r w:rsidRPr="00B80369">
                  <w:rPr>
                    <w:rFonts w:eastAsia="Times New Roman" w:cs="Segoe UI"/>
                    <w:sz w:val="14"/>
                    <w:szCs w:val="14"/>
                    <w:lang w:val="en-GB" w:eastAsia="it-IT"/>
                  </w:rPr>
                  <w:t>00%</w:t>
                </w:r>
              </w:p>
            </w:tc>
            <w:tc>
              <w:tcPr>
                <w:tcW w:w="417" w:type="pct"/>
                <w:shd w:val="clear" w:color="auto" w:fill="FFFFFF" w:themeFill="background2"/>
                <w:vAlign w:val="center"/>
              </w:tcPr>
              <w:p w14:paraId="17188EEF" w14:textId="232FFC2D"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3" w:type="pct"/>
                <w:shd w:val="clear" w:color="auto" w:fill="FFFFFF" w:themeFill="background2"/>
                <w:vAlign w:val="center"/>
              </w:tcPr>
              <w:p w14:paraId="2430205F" w14:textId="77777777"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3B0180" w:rsidRPr="00B80369" w14:paraId="31A46D4E"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47BE8D79" w14:textId="77777777" w:rsidR="003B0180" w:rsidRPr="00B80369" w:rsidRDefault="003B0180"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A1.2</w:t>
                </w:r>
              </w:p>
            </w:tc>
            <w:tc>
              <w:tcPr>
                <w:tcW w:w="491" w:type="pct"/>
                <w:shd w:val="clear" w:color="auto" w:fill="FFFFFF" w:themeFill="background2"/>
                <w:tcMar>
                  <w:top w:w="60" w:type="dxa"/>
                  <w:left w:w="114" w:type="dxa"/>
                  <w:bottom w:w="60" w:type="dxa"/>
                  <w:right w:w="114" w:type="dxa"/>
                </w:tcMar>
                <w:vAlign w:val="center"/>
              </w:tcPr>
              <w:p w14:paraId="74464786" w14:textId="3CE0B844"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15</w:t>
                </w:r>
              </w:p>
            </w:tc>
            <w:tc>
              <w:tcPr>
                <w:tcW w:w="417" w:type="pct"/>
                <w:shd w:val="clear" w:color="auto" w:fill="FFFFFF" w:themeFill="background2"/>
                <w:tcMar>
                  <w:top w:w="60" w:type="dxa"/>
                  <w:left w:w="114" w:type="dxa"/>
                  <w:bottom w:w="60" w:type="dxa"/>
                  <w:right w:w="114" w:type="dxa"/>
                </w:tcMar>
                <w:vAlign w:val="center"/>
              </w:tcPr>
              <w:p w14:paraId="4732E773" w14:textId="586A7581"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06E605B7" w14:textId="0FBC8EDD"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4175F647" w14:textId="29865D38"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6575CF7E" w14:textId="027B879A"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73A5FC79" w14:textId="77777777"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41D396C8" w14:textId="722572CA"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6D4C54FD" w14:textId="21B197E9"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2465620D" w14:textId="15F0EE8D"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D910FA" w:rsidRPr="00B80369">
                  <w:rPr>
                    <w:rFonts w:eastAsia="Times New Roman" w:cs="Segoe UI"/>
                    <w:sz w:val="14"/>
                    <w:szCs w:val="14"/>
                    <w:lang w:val="en-GB" w:eastAsia="it-IT"/>
                  </w:rPr>
                  <w:t>.</w:t>
                </w:r>
                <w:r w:rsidRPr="00B80369">
                  <w:rPr>
                    <w:rFonts w:eastAsia="Times New Roman" w:cs="Segoe UI"/>
                    <w:sz w:val="14"/>
                    <w:szCs w:val="14"/>
                    <w:lang w:val="en-GB" w:eastAsia="it-IT"/>
                  </w:rPr>
                  <w:t>00%</w:t>
                </w:r>
              </w:p>
            </w:tc>
            <w:tc>
              <w:tcPr>
                <w:tcW w:w="417" w:type="pct"/>
                <w:shd w:val="clear" w:color="auto" w:fill="FFFFFF" w:themeFill="background2"/>
                <w:vAlign w:val="center"/>
              </w:tcPr>
              <w:p w14:paraId="606F552D" w14:textId="201D681E"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3" w:type="pct"/>
                <w:shd w:val="clear" w:color="auto" w:fill="FFFFFF" w:themeFill="background2"/>
                <w:vAlign w:val="center"/>
              </w:tcPr>
              <w:p w14:paraId="2A2391FD" w14:textId="77777777"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3B0180" w:rsidRPr="00B80369" w14:paraId="64967A4B"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0C020D60" w14:textId="77777777" w:rsidR="003B0180" w:rsidRPr="00B80369" w:rsidRDefault="003B0180"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A1.3</w:t>
                </w:r>
              </w:p>
            </w:tc>
            <w:tc>
              <w:tcPr>
                <w:tcW w:w="491" w:type="pct"/>
                <w:shd w:val="clear" w:color="auto" w:fill="FFFFFF" w:themeFill="background2"/>
                <w:tcMar>
                  <w:top w:w="60" w:type="dxa"/>
                  <w:left w:w="114" w:type="dxa"/>
                  <w:bottom w:w="60" w:type="dxa"/>
                  <w:right w:w="114" w:type="dxa"/>
                </w:tcMar>
                <w:vAlign w:val="center"/>
              </w:tcPr>
              <w:p w14:paraId="45C7CCA7" w14:textId="4871A420"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89</w:t>
                </w:r>
              </w:p>
            </w:tc>
            <w:tc>
              <w:tcPr>
                <w:tcW w:w="417" w:type="pct"/>
                <w:shd w:val="clear" w:color="auto" w:fill="FFFFFF" w:themeFill="background2"/>
                <w:tcMar>
                  <w:top w:w="60" w:type="dxa"/>
                  <w:left w:w="114" w:type="dxa"/>
                  <w:bottom w:w="60" w:type="dxa"/>
                  <w:right w:w="114" w:type="dxa"/>
                </w:tcMar>
                <w:vAlign w:val="center"/>
              </w:tcPr>
              <w:p w14:paraId="1D030606" w14:textId="330E337F"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180AE87A" w14:textId="5002B01B"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7585510E" w14:textId="22B307B6"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168383E5" w14:textId="580DD6EA"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4E679AC4" w14:textId="77777777"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77A94257" w14:textId="351D881B"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33630E73" w14:textId="48FB5211"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7A2E1B94" w14:textId="2A14EC52"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D910FA" w:rsidRPr="00B80369">
                  <w:rPr>
                    <w:rFonts w:eastAsia="Times New Roman" w:cs="Segoe UI"/>
                    <w:sz w:val="14"/>
                    <w:szCs w:val="14"/>
                    <w:lang w:val="en-GB" w:eastAsia="it-IT"/>
                  </w:rPr>
                  <w:t>.</w:t>
                </w:r>
                <w:r w:rsidRPr="00B80369">
                  <w:rPr>
                    <w:rFonts w:eastAsia="Times New Roman" w:cs="Segoe UI"/>
                    <w:sz w:val="14"/>
                    <w:szCs w:val="14"/>
                    <w:lang w:val="en-GB" w:eastAsia="it-IT"/>
                  </w:rPr>
                  <w:t>00%</w:t>
                </w:r>
              </w:p>
            </w:tc>
            <w:tc>
              <w:tcPr>
                <w:tcW w:w="417" w:type="pct"/>
                <w:shd w:val="clear" w:color="auto" w:fill="FFFFFF" w:themeFill="background2"/>
                <w:vAlign w:val="center"/>
              </w:tcPr>
              <w:p w14:paraId="55E4F9BF" w14:textId="25FAC327"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3" w:type="pct"/>
                <w:shd w:val="clear" w:color="auto" w:fill="FFFFFF" w:themeFill="background2"/>
                <w:vAlign w:val="center"/>
              </w:tcPr>
              <w:p w14:paraId="4C4DED54" w14:textId="77777777"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3B0180" w:rsidRPr="00B80369" w14:paraId="2C7D3F50"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7BDE73B9" w14:textId="77777777" w:rsidR="003B0180" w:rsidRPr="00B80369" w:rsidRDefault="003B0180"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A2.1</w:t>
                </w:r>
              </w:p>
            </w:tc>
            <w:tc>
              <w:tcPr>
                <w:tcW w:w="491" w:type="pct"/>
                <w:shd w:val="clear" w:color="auto" w:fill="FFFFFF" w:themeFill="background2"/>
                <w:tcMar>
                  <w:top w:w="60" w:type="dxa"/>
                  <w:left w:w="114" w:type="dxa"/>
                  <w:bottom w:w="60" w:type="dxa"/>
                  <w:right w:w="114" w:type="dxa"/>
                </w:tcMar>
                <w:vAlign w:val="center"/>
              </w:tcPr>
              <w:p w14:paraId="200A704D" w14:textId="0E678918"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195</w:t>
                </w:r>
              </w:p>
            </w:tc>
            <w:tc>
              <w:tcPr>
                <w:tcW w:w="417" w:type="pct"/>
                <w:shd w:val="clear" w:color="auto" w:fill="FFFFFF" w:themeFill="background2"/>
                <w:tcMar>
                  <w:top w:w="60" w:type="dxa"/>
                  <w:left w:w="114" w:type="dxa"/>
                  <w:bottom w:w="60" w:type="dxa"/>
                  <w:right w:w="114" w:type="dxa"/>
                </w:tcMar>
                <w:vAlign w:val="center"/>
              </w:tcPr>
              <w:p w14:paraId="4B83099F" w14:textId="53C5852B"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7D14F5D2" w14:textId="246EF6AF"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28276A0F" w14:textId="0BB0C904"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0B1C832A" w14:textId="660051FC"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5FE0A132" w14:textId="77777777"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4794EB2F" w14:textId="6C884358"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370F32C1" w14:textId="428C79C2"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5D1AF74B" w14:textId="39CF7276"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D910FA" w:rsidRPr="00B80369">
                  <w:rPr>
                    <w:rFonts w:eastAsia="Times New Roman" w:cs="Segoe UI"/>
                    <w:sz w:val="14"/>
                    <w:szCs w:val="14"/>
                    <w:lang w:val="en-GB" w:eastAsia="it-IT"/>
                  </w:rPr>
                  <w:t>.</w:t>
                </w:r>
                <w:r w:rsidRPr="00B80369">
                  <w:rPr>
                    <w:rFonts w:eastAsia="Times New Roman" w:cs="Segoe UI"/>
                    <w:sz w:val="14"/>
                    <w:szCs w:val="14"/>
                    <w:lang w:val="en-GB" w:eastAsia="it-IT"/>
                  </w:rPr>
                  <w:t>00%</w:t>
                </w:r>
              </w:p>
            </w:tc>
            <w:tc>
              <w:tcPr>
                <w:tcW w:w="417" w:type="pct"/>
                <w:shd w:val="clear" w:color="auto" w:fill="FFFFFF" w:themeFill="background2"/>
                <w:vAlign w:val="center"/>
              </w:tcPr>
              <w:p w14:paraId="6E8DE8A3" w14:textId="08B203CC"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3" w:type="pct"/>
                <w:shd w:val="clear" w:color="auto" w:fill="FFFFFF" w:themeFill="background2"/>
                <w:vAlign w:val="center"/>
              </w:tcPr>
              <w:p w14:paraId="5522A0BC" w14:textId="77777777"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3B0180" w:rsidRPr="00B80369" w14:paraId="24580732"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5BF2B2EF" w14:textId="77777777" w:rsidR="003B0180" w:rsidRPr="00B80369" w:rsidRDefault="003B0180"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A2.2</w:t>
                </w:r>
              </w:p>
            </w:tc>
            <w:tc>
              <w:tcPr>
                <w:tcW w:w="491" w:type="pct"/>
                <w:shd w:val="clear" w:color="auto" w:fill="FFFFFF" w:themeFill="background2"/>
                <w:tcMar>
                  <w:top w:w="60" w:type="dxa"/>
                  <w:left w:w="114" w:type="dxa"/>
                  <w:bottom w:w="60" w:type="dxa"/>
                  <w:right w:w="114" w:type="dxa"/>
                </w:tcMar>
                <w:vAlign w:val="center"/>
              </w:tcPr>
              <w:p w14:paraId="08C7509F" w14:textId="54E96C2C"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468</w:t>
                </w:r>
              </w:p>
            </w:tc>
            <w:tc>
              <w:tcPr>
                <w:tcW w:w="417" w:type="pct"/>
                <w:shd w:val="clear" w:color="auto" w:fill="FFFFFF" w:themeFill="background2"/>
                <w:tcMar>
                  <w:top w:w="60" w:type="dxa"/>
                  <w:left w:w="114" w:type="dxa"/>
                  <w:bottom w:w="60" w:type="dxa"/>
                  <w:right w:w="114" w:type="dxa"/>
                </w:tcMar>
                <w:vAlign w:val="center"/>
              </w:tcPr>
              <w:p w14:paraId="616C9669" w14:textId="68B3A16F"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1DD33242" w14:textId="49989517"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4A3BC7F9" w14:textId="1026F8A8"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7273658F" w14:textId="35561ADF"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500C1170" w14:textId="77777777"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7A05E481" w14:textId="2227EBCF"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4F1C1B81" w14:textId="708E1FFD"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0457FA69" w14:textId="15EFE1A3"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D910FA" w:rsidRPr="00B80369">
                  <w:rPr>
                    <w:rFonts w:eastAsia="Times New Roman" w:cs="Segoe UI"/>
                    <w:sz w:val="14"/>
                    <w:szCs w:val="14"/>
                    <w:lang w:val="en-GB" w:eastAsia="it-IT"/>
                  </w:rPr>
                  <w:t>.</w:t>
                </w:r>
                <w:r w:rsidRPr="00B80369">
                  <w:rPr>
                    <w:rFonts w:eastAsia="Times New Roman" w:cs="Segoe UI"/>
                    <w:sz w:val="14"/>
                    <w:szCs w:val="14"/>
                    <w:lang w:val="en-GB" w:eastAsia="it-IT"/>
                  </w:rPr>
                  <w:t>00%</w:t>
                </w:r>
              </w:p>
            </w:tc>
            <w:tc>
              <w:tcPr>
                <w:tcW w:w="417" w:type="pct"/>
                <w:shd w:val="clear" w:color="auto" w:fill="FFFFFF" w:themeFill="background2"/>
                <w:vAlign w:val="center"/>
              </w:tcPr>
              <w:p w14:paraId="3E2E39C1" w14:textId="30485E76"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3" w:type="pct"/>
                <w:shd w:val="clear" w:color="auto" w:fill="FFFFFF" w:themeFill="background2"/>
                <w:vAlign w:val="center"/>
              </w:tcPr>
              <w:p w14:paraId="0E6A7004" w14:textId="77777777"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3B0180" w:rsidRPr="00B80369" w14:paraId="27697451"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6018D66A" w14:textId="77777777" w:rsidR="003B0180" w:rsidRPr="00B80369" w:rsidRDefault="003B0180"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A3.1</w:t>
                </w:r>
              </w:p>
            </w:tc>
            <w:tc>
              <w:tcPr>
                <w:tcW w:w="491" w:type="pct"/>
                <w:shd w:val="clear" w:color="auto" w:fill="FFFFFF" w:themeFill="background2"/>
                <w:tcMar>
                  <w:top w:w="60" w:type="dxa"/>
                  <w:left w:w="114" w:type="dxa"/>
                  <w:bottom w:w="60" w:type="dxa"/>
                  <w:right w:w="114" w:type="dxa"/>
                </w:tcMar>
                <w:vAlign w:val="center"/>
              </w:tcPr>
              <w:p w14:paraId="33E684C3" w14:textId="7546C6A2"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2,474</w:t>
                </w:r>
              </w:p>
            </w:tc>
            <w:tc>
              <w:tcPr>
                <w:tcW w:w="417" w:type="pct"/>
                <w:shd w:val="clear" w:color="auto" w:fill="FFFFFF" w:themeFill="background2"/>
                <w:tcMar>
                  <w:top w:w="60" w:type="dxa"/>
                  <w:left w:w="114" w:type="dxa"/>
                  <w:bottom w:w="60" w:type="dxa"/>
                  <w:right w:w="114" w:type="dxa"/>
                </w:tcMar>
                <w:vAlign w:val="center"/>
              </w:tcPr>
              <w:p w14:paraId="2D800807" w14:textId="0FD4A0F9"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23C0D08F" w14:textId="31B6EFCC"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370DB386" w14:textId="12212CEB"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w:t>
                </w:r>
              </w:p>
            </w:tc>
            <w:tc>
              <w:tcPr>
                <w:tcW w:w="417" w:type="pct"/>
                <w:shd w:val="clear" w:color="auto" w:fill="FFFFFF" w:themeFill="background2"/>
                <w:vAlign w:val="center"/>
              </w:tcPr>
              <w:p w14:paraId="23ACF0A7" w14:textId="4351AD2F"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3C98E965" w14:textId="77777777"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513EA068" w14:textId="176E2B2B"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6A9C9204" w14:textId="787AC6A4"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139A944C" w14:textId="2CAD5767"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D910FA" w:rsidRPr="00B80369">
                  <w:rPr>
                    <w:rFonts w:eastAsia="Times New Roman" w:cs="Segoe UI"/>
                    <w:sz w:val="14"/>
                    <w:szCs w:val="14"/>
                    <w:lang w:val="en-GB" w:eastAsia="it-IT"/>
                  </w:rPr>
                  <w:t>.</w:t>
                </w:r>
                <w:r w:rsidRPr="00B80369">
                  <w:rPr>
                    <w:rFonts w:eastAsia="Times New Roman" w:cs="Segoe UI"/>
                    <w:sz w:val="14"/>
                    <w:szCs w:val="14"/>
                    <w:lang w:val="en-GB" w:eastAsia="it-IT"/>
                  </w:rPr>
                  <w:t>08%</w:t>
                </w:r>
              </w:p>
            </w:tc>
            <w:tc>
              <w:tcPr>
                <w:tcW w:w="417" w:type="pct"/>
                <w:shd w:val="clear" w:color="auto" w:fill="FFFFFF" w:themeFill="background2"/>
                <w:vAlign w:val="center"/>
              </w:tcPr>
              <w:p w14:paraId="2C37F037" w14:textId="635C94EE"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3" w:type="pct"/>
                <w:shd w:val="clear" w:color="auto" w:fill="FFFFFF" w:themeFill="background2"/>
                <w:vAlign w:val="center"/>
              </w:tcPr>
              <w:p w14:paraId="79074831" w14:textId="77777777"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3B0180" w:rsidRPr="00B80369" w14:paraId="73F3D2EB"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13A00C4A" w14:textId="77777777" w:rsidR="003B0180" w:rsidRPr="00B80369" w:rsidRDefault="003B0180"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B1.1</w:t>
                </w:r>
              </w:p>
            </w:tc>
            <w:tc>
              <w:tcPr>
                <w:tcW w:w="491" w:type="pct"/>
                <w:shd w:val="clear" w:color="auto" w:fill="FFFFFF" w:themeFill="background2"/>
                <w:tcMar>
                  <w:top w:w="60" w:type="dxa"/>
                  <w:left w:w="114" w:type="dxa"/>
                  <w:bottom w:w="60" w:type="dxa"/>
                  <w:right w:w="114" w:type="dxa"/>
                </w:tcMar>
                <w:vAlign w:val="center"/>
              </w:tcPr>
              <w:p w14:paraId="7E042395" w14:textId="538C0658"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3,865</w:t>
                </w:r>
              </w:p>
            </w:tc>
            <w:tc>
              <w:tcPr>
                <w:tcW w:w="417" w:type="pct"/>
                <w:shd w:val="clear" w:color="auto" w:fill="FFFFFF" w:themeFill="background2"/>
                <w:tcMar>
                  <w:top w:w="60" w:type="dxa"/>
                  <w:left w:w="114" w:type="dxa"/>
                  <w:bottom w:w="60" w:type="dxa"/>
                  <w:right w:w="114" w:type="dxa"/>
                </w:tcMar>
                <w:vAlign w:val="center"/>
              </w:tcPr>
              <w:p w14:paraId="7FD60DE0" w14:textId="4804A774"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w:t>
                </w:r>
              </w:p>
            </w:tc>
            <w:tc>
              <w:tcPr>
                <w:tcW w:w="417" w:type="pct"/>
                <w:shd w:val="clear" w:color="auto" w:fill="FFFFFF" w:themeFill="background2"/>
                <w:vAlign w:val="center"/>
              </w:tcPr>
              <w:p w14:paraId="51DF493A" w14:textId="0477CD28"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w:t>
                </w:r>
              </w:p>
            </w:tc>
            <w:tc>
              <w:tcPr>
                <w:tcW w:w="417" w:type="pct"/>
                <w:shd w:val="clear" w:color="auto" w:fill="FFFFFF" w:themeFill="background2"/>
                <w:vAlign w:val="center"/>
              </w:tcPr>
              <w:p w14:paraId="7E0923D6" w14:textId="29933992"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12</w:t>
                </w:r>
              </w:p>
            </w:tc>
            <w:tc>
              <w:tcPr>
                <w:tcW w:w="417" w:type="pct"/>
                <w:shd w:val="clear" w:color="auto" w:fill="FFFFFF" w:themeFill="background2"/>
                <w:vAlign w:val="center"/>
              </w:tcPr>
              <w:p w14:paraId="3FB0CCEB" w14:textId="2F6DCB8D"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7CB216BA" w14:textId="77777777"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571EE916" w14:textId="1923805C"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0.08%</w:t>
                </w:r>
              </w:p>
            </w:tc>
            <w:tc>
              <w:tcPr>
                <w:tcW w:w="417" w:type="pct"/>
                <w:shd w:val="clear" w:color="auto" w:fill="FFFFFF" w:themeFill="background2"/>
                <w:vAlign w:val="center"/>
              </w:tcPr>
              <w:p w14:paraId="57E0D339" w14:textId="020009CA"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0.13%</w:t>
                </w:r>
              </w:p>
            </w:tc>
            <w:tc>
              <w:tcPr>
                <w:tcW w:w="417" w:type="pct"/>
                <w:shd w:val="clear" w:color="auto" w:fill="FFFFFF" w:themeFill="background2"/>
                <w:vAlign w:val="center"/>
              </w:tcPr>
              <w:p w14:paraId="67141090" w14:textId="1DC10710"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D910FA" w:rsidRPr="00B80369">
                  <w:rPr>
                    <w:rFonts w:eastAsia="Times New Roman" w:cs="Segoe UI"/>
                    <w:sz w:val="14"/>
                    <w:szCs w:val="14"/>
                    <w:lang w:val="en-GB" w:eastAsia="it-IT"/>
                  </w:rPr>
                  <w:t>.</w:t>
                </w:r>
                <w:r w:rsidRPr="00B80369">
                  <w:rPr>
                    <w:rFonts w:eastAsia="Times New Roman" w:cs="Segoe UI"/>
                    <w:sz w:val="14"/>
                    <w:szCs w:val="14"/>
                    <w:lang w:val="en-GB" w:eastAsia="it-IT"/>
                  </w:rPr>
                  <w:t>31%</w:t>
                </w:r>
              </w:p>
            </w:tc>
            <w:tc>
              <w:tcPr>
                <w:tcW w:w="417" w:type="pct"/>
                <w:shd w:val="clear" w:color="auto" w:fill="FFFFFF" w:themeFill="background2"/>
                <w:vAlign w:val="center"/>
              </w:tcPr>
              <w:p w14:paraId="07CC62DF" w14:textId="71CA53E9"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3" w:type="pct"/>
                <w:shd w:val="clear" w:color="auto" w:fill="FFFFFF" w:themeFill="background2"/>
                <w:vAlign w:val="center"/>
              </w:tcPr>
              <w:p w14:paraId="46F9B078" w14:textId="77777777"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3B0180" w:rsidRPr="00B80369" w14:paraId="3262E27E"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6BEF6DB7" w14:textId="77777777" w:rsidR="003B0180" w:rsidRPr="00B80369" w:rsidRDefault="003B0180"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B1.2</w:t>
                </w:r>
              </w:p>
            </w:tc>
            <w:tc>
              <w:tcPr>
                <w:tcW w:w="491" w:type="pct"/>
                <w:shd w:val="clear" w:color="auto" w:fill="FFFFFF" w:themeFill="background2"/>
                <w:tcMar>
                  <w:top w:w="60" w:type="dxa"/>
                  <w:left w:w="114" w:type="dxa"/>
                  <w:bottom w:w="60" w:type="dxa"/>
                  <w:right w:w="114" w:type="dxa"/>
                </w:tcMar>
                <w:vAlign w:val="center"/>
              </w:tcPr>
              <w:p w14:paraId="5B50F87E" w14:textId="1BEF5CF5"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5,238</w:t>
                </w:r>
              </w:p>
            </w:tc>
            <w:tc>
              <w:tcPr>
                <w:tcW w:w="417" w:type="pct"/>
                <w:shd w:val="clear" w:color="auto" w:fill="FFFFFF" w:themeFill="background2"/>
                <w:tcMar>
                  <w:top w:w="60" w:type="dxa"/>
                  <w:left w:w="114" w:type="dxa"/>
                  <w:bottom w:w="60" w:type="dxa"/>
                  <w:right w:w="114" w:type="dxa"/>
                </w:tcMar>
                <w:vAlign w:val="center"/>
              </w:tcPr>
              <w:p w14:paraId="4C59F315" w14:textId="1CCF482B"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w:t>
                </w:r>
              </w:p>
            </w:tc>
            <w:tc>
              <w:tcPr>
                <w:tcW w:w="417" w:type="pct"/>
                <w:shd w:val="clear" w:color="auto" w:fill="FFFFFF" w:themeFill="background2"/>
                <w:vAlign w:val="center"/>
              </w:tcPr>
              <w:p w14:paraId="31CF4964" w14:textId="2BFC751F"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12</w:t>
                </w:r>
              </w:p>
            </w:tc>
            <w:tc>
              <w:tcPr>
                <w:tcW w:w="417" w:type="pct"/>
                <w:shd w:val="clear" w:color="auto" w:fill="FFFFFF" w:themeFill="background2"/>
                <w:vAlign w:val="center"/>
              </w:tcPr>
              <w:p w14:paraId="783F5638" w14:textId="77324927"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36</w:t>
                </w:r>
              </w:p>
            </w:tc>
            <w:tc>
              <w:tcPr>
                <w:tcW w:w="417" w:type="pct"/>
                <w:shd w:val="clear" w:color="auto" w:fill="FFFFFF" w:themeFill="background2"/>
                <w:vAlign w:val="center"/>
              </w:tcPr>
              <w:p w14:paraId="30DB9AD4" w14:textId="2226B425"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73CF93D9" w14:textId="77777777"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7D67EE0E" w14:textId="56843EFB"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0.08%</w:t>
                </w:r>
              </w:p>
            </w:tc>
            <w:tc>
              <w:tcPr>
                <w:tcW w:w="417" w:type="pct"/>
                <w:shd w:val="clear" w:color="auto" w:fill="FFFFFF" w:themeFill="background2"/>
                <w:vAlign w:val="center"/>
              </w:tcPr>
              <w:p w14:paraId="1724839A" w14:textId="2A7110A8"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0.23%</w:t>
                </w:r>
              </w:p>
            </w:tc>
            <w:tc>
              <w:tcPr>
                <w:tcW w:w="417" w:type="pct"/>
                <w:shd w:val="clear" w:color="auto" w:fill="FFFFFF" w:themeFill="background2"/>
                <w:vAlign w:val="center"/>
              </w:tcPr>
              <w:p w14:paraId="6ED96FCD" w14:textId="1BD98540"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D910FA" w:rsidRPr="00B80369">
                  <w:rPr>
                    <w:rFonts w:eastAsia="Times New Roman" w:cs="Segoe UI"/>
                    <w:sz w:val="14"/>
                    <w:szCs w:val="14"/>
                    <w:lang w:val="en-GB" w:eastAsia="it-IT"/>
                  </w:rPr>
                  <w:t>.</w:t>
                </w:r>
                <w:r w:rsidRPr="00B80369">
                  <w:rPr>
                    <w:rFonts w:eastAsia="Times New Roman" w:cs="Segoe UI"/>
                    <w:sz w:val="14"/>
                    <w:szCs w:val="14"/>
                    <w:lang w:val="en-GB" w:eastAsia="it-IT"/>
                  </w:rPr>
                  <w:t>69%</w:t>
                </w:r>
              </w:p>
            </w:tc>
            <w:tc>
              <w:tcPr>
                <w:tcW w:w="417" w:type="pct"/>
                <w:shd w:val="clear" w:color="auto" w:fill="FFFFFF" w:themeFill="background2"/>
                <w:vAlign w:val="center"/>
              </w:tcPr>
              <w:p w14:paraId="26A308E8" w14:textId="7A020F99"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3" w:type="pct"/>
                <w:shd w:val="clear" w:color="auto" w:fill="FFFFFF" w:themeFill="background2"/>
                <w:vAlign w:val="center"/>
              </w:tcPr>
              <w:p w14:paraId="57996274" w14:textId="77777777"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3B0180" w:rsidRPr="00B80369" w14:paraId="05EE207E"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1697DA43" w14:textId="77777777" w:rsidR="003B0180" w:rsidRPr="00B80369" w:rsidRDefault="003B0180"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B2.1</w:t>
                </w:r>
              </w:p>
            </w:tc>
            <w:tc>
              <w:tcPr>
                <w:tcW w:w="491" w:type="pct"/>
                <w:shd w:val="clear" w:color="auto" w:fill="FFFFFF" w:themeFill="background2"/>
                <w:tcMar>
                  <w:top w:w="60" w:type="dxa"/>
                  <w:left w:w="114" w:type="dxa"/>
                  <w:bottom w:w="60" w:type="dxa"/>
                  <w:right w:w="114" w:type="dxa"/>
                </w:tcMar>
                <w:vAlign w:val="center"/>
              </w:tcPr>
              <w:p w14:paraId="5A9CF1B0" w14:textId="3BA8C79D"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6,560</w:t>
                </w:r>
              </w:p>
            </w:tc>
            <w:tc>
              <w:tcPr>
                <w:tcW w:w="417" w:type="pct"/>
                <w:shd w:val="clear" w:color="auto" w:fill="FFFFFF" w:themeFill="background2"/>
                <w:tcMar>
                  <w:top w:w="60" w:type="dxa"/>
                  <w:left w:w="114" w:type="dxa"/>
                  <w:bottom w:w="60" w:type="dxa"/>
                  <w:right w:w="114" w:type="dxa"/>
                </w:tcMar>
                <w:vAlign w:val="center"/>
              </w:tcPr>
              <w:p w14:paraId="51F0D35D" w14:textId="4AA41012"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9</w:t>
                </w:r>
              </w:p>
            </w:tc>
            <w:tc>
              <w:tcPr>
                <w:tcW w:w="417" w:type="pct"/>
                <w:shd w:val="clear" w:color="auto" w:fill="FFFFFF" w:themeFill="background2"/>
                <w:vAlign w:val="center"/>
              </w:tcPr>
              <w:p w14:paraId="1EE97C3E" w14:textId="697D2328"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35</w:t>
                </w:r>
              </w:p>
            </w:tc>
            <w:tc>
              <w:tcPr>
                <w:tcW w:w="417" w:type="pct"/>
                <w:shd w:val="clear" w:color="auto" w:fill="FFFFFF" w:themeFill="background2"/>
                <w:vAlign w:val="center"/>
              </w:tcPr>
              <w:p w14:paraId="7E5007BF" w14:textId="6B49CCE9"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77</w:t>
                </w:r>
              </w:p>
            </w:tc>
            <w:tc>
              <w:tcPr>
                <w:tcW w:w="417" w:type="pct"/>
                <w:shd w:val="clear" w:color="auto" w:fill="FFFFFF" w:themeFill="background2"/>
                <w:vAlign w:val="center"/>
              </w:tcPr>
              <w:p w14:paraId="5F46378D" w14:textId="41D9B3B4"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23CDFE28" w14:textId="77777777"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309C0785" w14:textId="4E98D5F8"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0.14%</w:t>
                </w:r>
              </w:p>
            </w:tc>
            <w:tc>
              <w:tcPr>
                <w:tcW w:w="417" w:type="pct"/>
                <w:shd w:val="clear" w:color="auto" w:fill="FFFFFF" w:themeFill="background2"/>
                <w:vAlign w:val="center"/>
              </w:tcPr>
              <w:p w14:paraId="6CD93BA0" w14:textId="58557C3C" w:rsidR="003B0180" w:rsidRPr="00B80369" w:rsidRDefault="003B0180"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0.53%</w:t>
                </w:r>
              </w:p>
            </w:tc>
            <w:tc>
              <w:tcPr>
                <w:tcW w:w="417" w:type="pct"/>
                <w:shd w:val="clear" w:color="auto" w:fill="FFFFFF" w:themeFill="background2"/>
                <w:vAlign w:val="center"/>
              </w:tcPr>
              <w:p w14:paraId="64D15FCF" w14:textId="71851E6E"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w:t>
                </w:r>
                <w:r w:rsidR="00D910FA" w:rsidRPr="00B80369">
                  <w:rPr>
                    <w:rFonts w:eastAsia="Times New Roman" w:cs="Segoe UI"/>
                    <w:sz w:val="14"/>
                    <w:szCs w:val="14"/>
                    <w:lang w:val="en-GB" w:eastAsia="it-IT"/>
                  </w:rPr>
                  <w:t>.</w:t>
                </w:r>
                <w:r w:rsidRPr="00B80369">
                  <w:rPr>
                    <w:rFonts w:eastAsia="Times New Roman" w:cs="Segoe UI"/>
                    <w:sz w:val="14"/>
                    <w:szCs w:val="14"/>
                    <w:lang w:val="en-GB" w:eastAsia="it-IT"/>
                  </w:rPr>
                  <w:t>17%</w:t>
                </w:r>
              </w:p>
            </w:tc>
            <w:tc>
              <w:tcPr>
                <w:tcW w:w="417" w:type="pct"/>
                <w:shd w:val="clear" w:color="auto" w:fill="FFFFFF" w:themeFill="background2"/>
                <w:vAlign w:val="center"/>
              </w:tcPr>
              <w:p w14:paraId="4F557D9C" w14:textId="3C1D4776"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3" w:type="pct"/>
                <w:shd w:val="clear" w:color="auto" w:fill="FFFFFF" w:themeFill="background2"/>
                <w:vAlign w:val="center"/>
              </w:tcPr>
              <w:p w14:paraId="1DC0BBB7" w14:textId="77777777" w:rsidR="003B0180" w:rsidRPr="00B80369" w:rsidRDefault="003B0180" w:rsidP="00B80369">
                <w:pPr>
                  <w:spacing w:before="0" w:line="240" w:lineRule="auto"/>
                  <w:jc w:val="center"/>
                  <w:rPr>
                    <w:b/>
                    <w:color w:val="33A1AB" w:themeColor="accent2"/>
                    <w:sz w:val="14"/>
                    <w:szCs w:val="14"/>
                  </w:rPr>
                </w:pPr>
                <w:r w:rsidRPr="00B80369">
                  <w:rPr>
                    <w:b/>
                    <w:color w:val="33A1AB" w:themeColor="accent2"/>
                    <w:sz w:val="14"/>
                    <w:szCs w:val="14"/>
                  </w:rPr>
                  <w:t>-</w:t>
                </w:r>
              </w:p>
            </w:tc>
          </w:tr>
          <w:tr w:rsidR="003B0180" w:rsidRPr="00B80369" w14:paraId="0316CC0E"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1B61406B" w14:textId="77777777" w:rsidR="003B0180" w:rsidRPr="00B80369" w:rsidRDefault="003B0180"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B2.2</w:t>
                </w:r>
              </w:p>
            </w:tc>
            <w:tc>
              <w:tcPr>
                <w:tcW w:w="491" w:type="pct"/>
                <w:shd w:val="clear" w:color="auto" w:fill="FFFFFF" w:themeFill="background2"/>
                <w:tcMar>
                  <w:top w:w="60" w:type="dxa"/>
                  <w:left w:w="114" w:type="dxa"/>
                  <w:bottom w:w="60" w:type="dxa"/>
                  <w:right w:w="114" w:type="dxa"/>
                </w:tcMar>
                <w:vAlign w:val="center"/>
              </w:tcPr>
              <w:p w14:paraId="7CF0F6A6" w14:textId="151FE761"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4,267</w:t>
                </w:r>
              </w:p>
            </w:tc>
            <w:tc>
              <w:tcPr>
                <w:tcW w:w="417" w:type="pct"/>
                <w:shd w:val="clear" w:color="auto" w:fill="FFFFFF" w:themeFill="background2"/>
                <w:tcMar>
                  <w:top w:w="60" w:type="dxa"/>
                  <w:left w:w="114" w:type="dxa"/>
                  <w:bottom w:w="60" w:type="dxa"/>
                  <w:right w:w="114" w:type="dxa"/>
                </w:tcMar>
                <w:vAlign w:val="center"/>
              </w:tcPr>
              <w:p w14:paraId="43333DD5" w14:textId="7B615697"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10</w:t>
                </w:r>
              </w:p>
            </w:tc>
            <w:tc>
              <w:tcPr>
                <w:tcW w:w="417" w:type="pct"/>
                <w:shd w:val="clear" w:color="auto" w:fill="FFFFFF" w:themeFill="background2"/>
                <w:vAlign w:val="center"/>
              </w:tcPr>
              <w:p w14:paraId="1FD7F437" w14:textId="26B5C564"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34</w:t>
                </w:r>
              </w:p>
            </w:tc>
            <w:tc>
              <w:tcPr>
                <w:tcW w:w="417" w:type="pct"/>
                <w:shd w:val="clear" w:color="auto" w:fill="FFFFFF" w:themeFill="background2"/>
                <w:vAlign w:val="center"/>
              </w:tcPr>
              <w:p w14:paraId="3AC0A1AC" w14:textId="026EC0B9"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100</w:t>
                </w:r>
              </w:p>
            </w:tc>
            <w:tc>
              <w:tcPr>
                <w:tcW w:w="417" w:type="pct"/>
                <w:shd w:val="clear" w:color="auto" w:fill="FFFFFF" w:themeFill="background2"/>
                <w:vAlign w:val="center"/>
              </w:tcPr>
              <w:p w14:paraId="0B070619" w14:textId="57CFC613"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2781B2EB" w14:textId="77777777"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35B99FF0" w14:textId="628BEE46"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0.23%</w:t>
                </w:r>
              </w:p>
            </w:tc>
            <w:tc>
              <w:tcPr>
                <w:tcW w:w="417" w:type="pct"/>
                <w:shd w:val="clear" w:color="auto" w:fill="FFFFFF" w:themeFill="background2"/>
                <w:vAlign w:val="center"/>
              </w:tcPr>
              <w:p w14:paraId="2D39875D" w14:textId="2D40E386"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0.80%</w:t>
                </w:r>
              </w:p>
            </w:tc>
            <w:tc>
              <w:tcPr>
                <w:tcW w:w="417" w:type="pct"/>
                <w:shd w:val="clear" w:color="auto" w:fill="FFFFFF" w:themeFill="background2"/>
                <w:vAlign w:val="center"/>
              </w:tcPr>
              <w:p w14:paraId="130AD813" w14:textId="6C73105B"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w:t>
                </w:r>
                <w:r w:rsidR="00D910FA" w:rsidRPr="00B80369">
                  <w:rPr>
                    <w:rFonts w:eastAsia="Times New Roman" w:cs="Segoe UI"/>
                    <w:sz w:val="14"/>
                    <w:szCs w:val="14"/>
                    <w:lang w:val="en-GB" w:eastAsia="it-IT"/>
                  </w:rPr>
                  <w:t>.</w:t>
                </w:r>
                <w:r w:rsidRPr="00B80369">
                  <w:rPr>
                    <w:rFonts w:eastAsia="Times New Roman" w:cs="Segoe UI"/>
                    <w:sz w:val="14"/>
                    <w:szCs w:val="14"/>
                    <w:lang w:val="en-GB" w:eastAsia="it-IT"/>
                  </w:rPr>
                  <w:t>34%</w:t>
                </w:r>
              </w:p>
            </w:tc>
            <w:tc>
              <w:tcPr>
                <w:tcW w:w="417" w:type="pct"/>
                <w:shd w:val="clear" w:color="auto" w:fill="FFFFFF" w:themeFill="background2"/>
                <w:vAlign w:val="center"/>
              </w:tcPr>
              <w:p w14:paraId="221009DA" w14:textId="4A4B3C7A"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3" w:type="pct"/>
                <w:shd w:val="clear" w:color="auto" w:fill="FFFFFF" w:themeFill="background2"/>
                <w:vAlign w:val="center"/>
              </w:tcPr>
              <w:p w14:paraId="5C56A578" w14:textId="77777777"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3B0180" w:rsidRPr="00B80369" w14:paraId="386F751C"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1C9EF84D" w14:textId="77777777" w:rsidR="003B0180" w:rsidRPr="00B80369" w:rsidRDefault="003B0180"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C1.1</w:t>
                </w:r>
              </w:p>
            </w:tc>
            <w:tc>
              <w:tcPr>
                <w:tcW w:w="491" w:type="pct"/>
                <w:shd w:val="clear" w:color="auto" w:fill="FFFFFF" w:themeFill="background2"/>
                <w:tcMar>
                  <w:top w:w="60" w:type="dxa"/>
                  <w:left w:w="114" w:type="dxa"/>
                  <w:bottom w:w="60" w:type="dxa"/>
                  <w:right w:w="114" w:type="dxa"/>
                </w:tcMar>
                <w:vAlign w:val="center"/>
              </w:tcPr>
              <w:p w14:paraId="19A852D5" w14:textId="22EF89EA"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1,983</w:t>
                </w:r>
              </w:p>
            </w:tc>
            <w:tc>
              <w:tcPr>
                <w:tcW w:w="417" w:type="pct"/>
                <w:shd w:val="clear" w:color="auto" w:fill="FFFFFF" w:themeFill="background2"/>
                <w:tcMar>
                  <w:top w:w="60" w:type="dxa"/>
                  <w:left w:w="114" w:type="dxa"/>
                  <w:bottom w:w="60" w:type="dxa"/>
                  <w:right w:w="114" w:type="dxa"/>
                </w:tcMar>
                <w:vAlign w:val="center"/>
              </w:tcPr>
              <w:p w14:paraId="697E69FA" w14:textId="12B769F8"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16</w:t>
                </w:r>
              </w:p>
            </w:tc>
            <w:tc>
              <w:tcPr>
                <w:tcW w:w="417" w:type="pct"/>
                <w:shd w:val="clear" w:color="auto" w:fill="FFFFFF" w:themeFill="background2"/>
                <w:vAlign w:val="center"/>
              </w:tcPr>
              <w:p w14:paraId="31B4894B" w14:textId="544C8FF1"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40</w:t>
                </w:r>
              </w:p>
            </w:tc>
            <w:tc>
              <w:tcPr>
                <w:tcW w:w="417" w:type="pct"/>
                <w:shd w:val="clear" w:color="auto" w:fill="FFFFFF" w:themeFill="background2"/>
                <w:vAlign w:val="center"/>
              </w:tcPr>
              <w:p w14:paraId="7603C42E" w14:textId="63A1BD9F"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75</w:t>
                </w:r>
              </w:p>
            </w:tc>
            <w:tc>
              <w:tcPr>
                <w:tcW w:w="417" w:type="pct"/>
                <w:shd w:val="clear" w:color="auto" w:fill="FFFFFF" w:themeFill="background2"/>
                <w:vAlign w:val="center"/>
              </w:tcPr>
              <w:p w14:paraId="098A12EC" w14:textId="58EE9DE5"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1104A51B" w14:textId="77777777"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7A3EA737" w14:textId="2D655B54"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0.81%</w:t>
                </w:r>
              </w:p>
            </w:tc>
            <w:tc>
              <w:tcPr>
                <w:tcW w:w="417" w:type="pct"/>
                <w:shd w:val="clear" w:color="auto" w:fill="FFFFFF" w:themeFill="background2"/>
                <w:vAlign w:val="center"/>
              </w:tcPr>
              <w:p w14:paraId="50A1E1D7" w14:textId="246D8294"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2.02%</w:t>
                </w:r>
              </w:p>
            </w:tc>
            <w:tc>
              <w:tcPr>
                <w:tcW w:w="417" w:type="pct"/>
                <w:shd w:val="clear" w:color="auto" w:fill="FFFFFF" w:themeFill="background2"/>
                <w:vAlign w:val="center"/>
              </w:tcPr>
              <w:p w14:paraId="6D61CE7E" w14:textId="430100D3"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w:t>
                </w:r>
                <w:r w:rsidR="00D910FA" w:rsidRPr="00B80369">
                  <w:rPr>
                    <w:rFonts w:eastAsia="Times New Roman" w:cs="Segoe UI"/>
                    <w:sz w:val="14"/>
                    <w:szCs w:val="14"/>
                    <w:lang w:val="en-GB" w:eastAsia="it-IT"/>
                  </w:rPr>
                  <w:t>.</w:t>
                </w:r>
                <w:r w:rsidRPr="00B80369">
                  <w:rPr>
                    <w:rFonts w:eastAsia="Times New Roman" w:cs="Segoe UI"/>
                    <w:sz w:val="14"/>
                    <w:szCs w:val="14"/>
                    <w:lang w:val="en-GB" w:eastAsia="it-IT"/>
                  </w:rPr>
                  <w:t>78%</w:t>
                </w:r>
              </w:p>
            </w:tc>
            <w:tc>
              <w:tcPr>
                <w:tcW w:w="417" w:type="pct"/>
                <w:shd w:val="clear" w:color="auto" w:fill="FFFFFF" w:themeFill="background2"/>
                <w:vAlign w:val="center"/>
              </w:tcPr>
              <w:p w14:paraId="5C3BAC5C" w14:textId="435C0084"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3" w:type="pct"/>
                <w:shd w:val="clear" w:color="auto" w:fill="FFFFFF" w:themeFill="background2"/>
                <w:vAlign w:val="center"/>
              </w:tcPr>
              <w:p w14:paraId="78503789" w14:textId="77777777"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3B0180" w:rsidRPr="00B80369" w14:paraId="0EC5B564"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26EC9435" w14:textId="77777777" w:rsidR="003B0180" w:rsidRPr="00B80369" w:rsidRDefault="003B0180"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C1.2</w:t>
                </w:r>
              </w:p>
            </w:tc>
            <w:tc>
              <w:tcPr>
                <w:tcW w:w="491" w:type="pct"/>
                <w:shd w:val="clear" w:color="auto" w:fill="FFFFFF" w:themeFill="background2"/>
                <w:tcMar>
                  <w:top w:w="60" w:type="dxa"/>
                  <w:left w:w="114" w:type="dxa"/>
                  <w:bottom w:w="60" w:type="dxa"/>
                  <w:right w:w="114" w:type="dxa"/>
                </w:tcMar>
                <w:vAlign w:val="center"/>
              </w:tcPr>
              <w:p w14:paraId="5CFE7158" w14:textId="2B1E8362"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645</w:t>
                </w:r>
              </w:p>
            </w:tc>
            <w:tc>
              <w:tcPr>
                <w:tcW w:w="417" w:type="pct"/>
                <w:shd w:val="clear" w:color="auto" w:fill="FFFFFF" w:themeFill="background2"/>
                <w:tcMar>
                  <w:top w:w="60" w:type="dxa"/>
                  <w:left w:w="114" w:type="dxa"/>
                  <w:bottom w:w="60" w:type="dxa"/>
                  <w:right w:w="114" w:type="dxa"/>
                </w:tcMar>
                <w:vAlign w:val="center"/>
              </w:tcPr>
              <w:p w14:paraId="284F30BC" w14:textId="28B60582"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14</w:t>
                </w:r>
              </w:p>
            </w:tc>
            <w:tc>
              <w:tcPr>
                <w:tcW w:w="417" w:type="pct"/>
                <w:shd w:val="clear" w:color="auto" w:fill="FFFFFF" w:themeFill="background2"/>
                <w:vAlign w:val="center"/>
              </w:tcPr>
              <w:p w14:paraId="010D6821" w14:textId="55D08E4E"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23</w:t>
                </w:r>
              </w:p>
            </w:tc>
            <w:tc>
              <w:tcPr>
                <w:tcW w:w="417" w:type="pct"/>
                <w:shd w:val="clear" w:color="auto" w:fill="FFFFFF" w:themeFill="background2"/>
                <w:vAlign w:val="center"/>
              </w:tcPr>
              <w:p w14:paraId="7A606691" w14:textId="0FA8183D"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41</w:t>
                </w:r>
              </w:p>
            </w:tc>
            <w:tc>
              <w:tcPr>
                <w:tcW w:w="417" w:type="pct"/>
                <w:shd w:val="clear" w:color="auto" w:fill="FFFFFF" w:themeFill="background2"/>
                <w:vAlign w:val="center"/>
              </w:tcPr>
              <w:p w14:paraId="5F4BCBCD" w14:textId="552C2F9C"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79D657E7" w14:textId="77777777"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2EF7305B" w14:textId="1837322C"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2.17%</w:t>
                </w:r>
              </w:p>
            </w:tc>
            <w:tc>
              <w:tcPr>
                <w:tcW w:w="417" w:type="pct"/>
                <w:shd w:val="clear" w:color="auto" w:fill="FFFFFF" w:themeFill="background2"/>
                <w:vAlign w:val="center"/>
              </w:tcPr>
              <w:p w14:paraId="5C06DB37" w14:textId="188C83A0"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3.57%</w:t>
                </w:r>
              </w:p>
            </w:tc>
            <w:tc>
              <w:tcPr>
                <w:tcW w:w="417" w:type="pct"/>
                <w:shd w:val="clear" w:color="auto" w:fill="FFFFFF" w:themeFill="background2"/>
                <w:vAlign w:val="center"/>
              </w:tcPr>
              <w:p w14:paraId="0E14A3C0" w14:textId="661478E4"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w:t>
                </w:r>
                <w:r w:rsidR="00D910FA" w:rsidRPr="00B80369">
                  <w:rPr>
                    <w:rFonts w:eastAsia="Times New Roman" w:cs="Segoe UI"/>
                    <w:sz w:val="14"/>
                    <w:szCs w:val="14"/>
                    <w:lang w:val="en-GB" w:eastAsia="it-IT"/>
                  </w:rPr>
                  <w:t>.</w:t>
                </w:r>
                <w:r w:rsidRPr="00B80369">
                  <w:rPr>
                    <w:rFonts w:eastAsia="Times New Roman" w:cs="Segoe UI"/>
                    <w:sz w:val="14"/>
                    <w:szCs w:val="14"/>
                    <w:lang w:val="en-GB" w:eastAsia="it-IT"/>
                  </w:rPr>
                  <w:t>36%</w:t>
                </w:r>
              </w:p>
            </w:tc>
            <w:tc>
              <w:tcPr>
                <w:tcW w:w="417" w:type="pct"/>
                <w:shd w:val="clear" w:color="auto" w:fill="FFFFFF" w:themeFill="background2"/>
                <w:vAlign w:val="center"/>
              </w:tcPr>
              <w:p w14:paraId="48DABD43" w14:textId="3B8CACE2"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3" w:type="pct"/>
                <w:shd w:val="clear" w:color="auto" w:fill="FFFFFF" w:themeFill="background2"/>
                <w:vAlign w:val="center"/>
              </w:tcPr>
              <w:p w14:paraId="0A9B9C3E" w14:textId="77777777"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3B0180" w:rsidRPr="00B80369" w14:paraId="029818FD"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51CC8003" w14:textId="77777777" w:rsidR="003B0180" w:rsidRPr="00B80369" w:rsidRDefault="003B0180"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C2.1</w:t>
                </w:r>
              </w:p>
            </w:tc>
            <w:tc>
              <w:tcPr>
                <w:tcW w:w="491" w:type="pct"/>
                <w:shd w:val="clear" w:color="auto" w:fill="FFFFFF" w:themeFill="background2"/>
                <w:tcMar>
                  <w:top w:w="60" w:type="dxa"/>
                  <w:left w:w="114" w:type="dxa"/>
                  <w:bottom w:w="60" w:type="dxa"/>
                  <w:right w:w="114" w:type="dxa"/>
                </w:tcMar>
                <w:vAlign w:val="center"/>
              </w:tcPr>
              <w:p w14:paraId="2D57E642" w14:textId="633A4E14"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240</w:t>
                </w:r>
              </w:p>
            </w:tc>
            <w:tc>
              <w:tcPr>
                <w:tcW w:w="417" w:type="pct"/>
                <w:shd w:val="clear" w:color="auto" w:fill="FFFFFF" w:themeFill="background2"/>
                <w:tcMar>
                  <w:top w:w="60" w:type="dxa"/>
                  <w:left w:w="114" w:type="dxa"/>
                  <w:bottom w:w="60" w:type="dxa"/>
                  <w:right w:w="114" w:type="dxa"/>
                </w:tcMar>
                <w:vAlign w:val="center"/>
              </w:tcPr>
              <w:p w14:paraId="20292C6C" w14:textId="7290B785"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84</w:t>
                </w:r>
              </w:p>
            </w:tc>
            <w:tc>
              <w:tcPr>
                <w:tcW w:w="417" w:type="pct"/>
                <w:shd w:val="clear" w:color="auto" w:fill="FFFFFF" w:themeFill="background2"/>
                <w:vAlign w:val="center"/>
              </w:tcPr>
              <w:p w14:paraId="6699F8C8" w14:textId="28DEB66A"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90</w:t>
                </w:r>
              </w:p>
            </w:tc>
            <w:tc>
              <w:tcPr>
                <w:tcW w:w="417" w:type="pct"/>
                <w:shd w:val="clear" w:color="auto" w:fill="FFFFFF" w:themeFill="background2"/>
                <w:vAlign w:val="center"/>
              </w:tcPr>
              <w:p w14:paraId="3BEA10C9" w14:textId="7FC4CE73"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98</w:t>
                </w:r>
              </w:p>
            </w:tc>
            <w:tc>
              <w:tcPr>
                <w:tcW w:w="417" w:type="pct"/>
                <w:shd w:val="clear" w:color="auto" w:fill="FFFFFF" w:themeFill="background2"/>
                <w:vAlign w:val="center"/>
              </w:tcPr>
              <w:p w14:paraId="1D92B9BA" w14:textId="1B2B5036"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20EBCBB8" w14:textId="77777777"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10F31FB3" w14:textId="61A24918"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35.00%</w:t>
                </w:r>
              </w:p>
            </w:tc>
            <w:tc>
              <w:tcPr>
                <w:tcW w:w="417" w:type="pct"/>
                <w:shd w:val="clear" w:color="auto" w:fill="FFFFFF" w:themeFill="background2"/>
                <w:vAlign w:val="center"/>
              </w:tcPr>
              <w:p w14:paraId="5A13BEF0" w14:textId="29DB11DC"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37.50%</w:t>
                </w:r>
              </w:p>
            </w:tc>
            <w:tc>
              <w:tcPr>
                <w:tcW w:w="417" w:type="pct"/>
                <w:shd w:val="clear" w:color="auto" w:fill="FFFFFF" w:themeFill="background2"/>
                <w:vAlign w:val="center"/>
              </w:tcPr>
              <w:p w14:paraId="4290DDC5" w14:textId="4B94ABEF"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40</w:t>
                </w:r>
                <w:r w:rsidR="00D910FA" w:rsidRPr="00B80369">
                  <w:rPr>
                    <w:rFonts w:eastAsia="Times New Roman" w:cs="Segoe UI"/>
                    <w:sz w:val="14"/>
                    <w:szCs w:val="14"/>
                    <w:lang w:val="en-GB" w:eastAsia="it-IT"/>
                  </w:rPr>
                  <w:t>.</w:t>
                </w:r>
                <w:r w:rsidRPr="00B80369">
                  <w:rPr>
                    <w:rFonts w:eastAsia="Times New Roman" w:cs="Segoe UI"/>
                    <w:sz w:val="14"/>
                    <w:szCs w:val="14"/>
                    <w:lang w:val="en-GB" w:eastAsia="it-IT"/>
                  </w:rPr>
                  <w:t>83%</w:t>
                </w:r>
              </w:p>
            </w:tc>
            <w:tc>
              <w:tcPr>
                <w:tcW w:w="417" w:type="pct"/>
                <w:shd w:val="clear" w:color="auto" w:fill="FFFFFF" w:themeFill="background2"/>
                <w:vAlign w:val="center"/>
              </w:tcPr>
              <w:p w14:paraId="4A98AD93" w14:textId="1ED12748"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3" w:type="pct"/>
                <w:shd w:val="clear" w:color="auto" w:fill="FFFFFF" w:themeFill="background2"/>
                <w:vAlign w:val="center"/>
              </w:tcPr>
              <w:p w14:paraId="5E47C687" w14:textId="77777777"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3B0180" w:rsidRPr="00B80369" w14:paraId="5A09021C" w14:textId="77777777" w:rsidTr="00AC7D4E">
            <w:trPr>
              <w:trHeight w:val="227"/>
            </w:trPr>
            <w:tc>
              <w:tcPr>
                <w:tcW w:w="343" w:type="pct"/>
                <w:shd w:val="clear" w:color="auto" w:fill="FFFFFF" w:themeFill="background2"/>
                <w:tcMar>
                  <w:top w:w="60" w:type="dxa"/>
                  <w:left w:w="114" w:type="dxa"/>
                  <w:bottom w:w="60" w:type="dxa"/>
                  <w:right w:w="114" w:type="dxa"/>
                </w:tcMar>
                <w:vAlign w:val="center"/>
              </w:tcPr>
              <w:p w14:paraId="200363A0" w14:textId="77777777" w:rsidR="003B0180" w:rsidRPr="00B80369" w:rsidRDefault="003B0180" w:rsidP="00B80369">
                <w:pPr>
                  <w:spacing w:before="0" w:line="240" w:lineRule="auto"/>
                  <w:jc w:val="center"/>
                  <w:rPr>
                    <w:rFonts w:cs="Segoe UI"/>
                    <w:b/>
                    <w:bCs/>
                    <w:sz w:val="14"/>
                    <w:szCs w:val="14"/>
                    <w:lang w:eastAsia="it-IT"/>
                  </w:rPr>
                </w:pPr>
                <w:r w:rsidRPr="00B80369">
                  <w:rPr>
                    <w:rFonts w:cs="Segoe UI"/>
                    <w:b/>
                    <w:bCs/>
                    <w:sz w:val="14"/>
                    <w:szCs w:val="14"/>
                    <w:lang w:eastAsia="it-IT"/>
                  </w:rPr>
                  <w:t>TOTAL</w:t>
                </w:r>
              </w:p>
            </w:tc>
            <w:tc>
              <w:tcPr>
                <w:tcW w:w="491" w:type="pct"/>
                <w:shd w:val="clear" w:color="auto" w:fill="FFFFFF" w:themeFill="background2"/>
                <w:tcMar>
                  <w:top w:w="60" w:type="dxa"/>
                  <w:left w:w="114" w:type="dxa"/>
                  <w:bottom w:w="60" w:type="dxa"/>
                  <w:right w:w="114" w:type="dxa"/>
                </w:tcMar>
                <w:vAlign w:val="center"/>
              </w:tcPr>
              <w:p w14:paraId="3D11B011" w14:textId="0188A9BB"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b/>
                    <w:bCs/>
                    <w:sz w:val="14"/>
                    <w:szCs w:val="14"/>
                    <w:lang w:val="en-GB" w:eastAsia="it-IT"/>
                  </w:rPr>
                  <w:t>26,044</w:t>
                </w:r>
              </w:p>
            </w:tc>
            <w:tc>
              <w:tcPr>
                <w:tcW w:w="417" w:type="pct"/>
                <w:shd w:val="clear" w:color="auto" w:fill="FFFFFF" w:themeFill="background2"/>
                <w:tcMar>
                  <w:top w:w="60" w:type="dxa"/>
                  <w:left w:w="114" w:type="dxa"/>
                  <w:bottom w:w="60" w:type="dxa"/>
                  <w:right w:w="114" w:type="dxa"/>
                </w:tcMar>
                <w:vAlign w:val="center"/>
              </w:tcPr>
              <w:p w14:paraId="6A9C5CD5" w14:textId="324A8384"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b/>
                    <w:bCs/>
                    <w:sz w:val="14"/>
                    <w:szCs w:val="14"/>
                    <w:lang w:val="en-GB" w:eastAsia="it-IT"/>
                  </w:rPr>
                  <w:t>140</w:t>
                </w:r>
              </w:p>
            </w:tc>
            <w:tc>
              <w:tcPr>
                <w:tcW w:w="417" w:type="pct"/>
                <w:shd w:val="clear" w:color="auto" w:fill="FFFFFF" w:themeFill="background2"/>
                <w:vAlign w:val="center"/>
              </w:tcPr>
              <w:p w14:paraId="0BA23D5C" w14:textId="08D6246C"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b/>
                    <w:bCs/>
                    <w:sz w:val="14"/>
                    <w:szCs w:val="14"/>
                    <w:lang w:val="en-GB" w:eastAsia="it-IT"/>
                  </w:rPr>
                  <w:t>239</w:t>
                </w:r>
              </w:p>
            </w:tc>
            <w:tc>
              <w:tcPr>
                <w:tcW w:w="417" w:type="pct"/>
                <w:shd w:val="clear" w:color="auto" w:fill="FFFFFF" w:themeFill="background2"/>
                <w:vAlign w:val="center"/>
              </w:tcPr>
              <w:p w14:paraId="6A18AE10" w14:textId="3EFC396B"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441</w:t>
                </w:r>
              </w:p>
            </w:tc>
            <w:tc>
              <w:tcPr>
                <w:tcW w:w="417" w:type="pct"/>
                <w:shd w:val="clear" w:color="auto" w:fill="FFFFFF" w:themeFill="background2"/>
                <w:vAlign w:val="center"/>
              </w:tcPr>
              <w:p w14:paraId="4FDA8C21" w14:textId="67B0E79B"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c>
              <w:tcPr>
                <w:tcW w:w="417" w:type="pct"/>
                <w:shd w:val="clear" w:color="auto" w:fill="FFFFFF" w:themeFill="background2"/>
                <w:vAlign w:val="center"/>
              </w:tcPr>
              <w:p w14:paraId="0E3EB28C" w14:textId="77777777" w:rsidR="003B0180" w:rsidRPr="00B80369" w:rsidRDefault="003B018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16544F32" w14:textId="5448ED3A"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0.54%</w:t>
                </w:r>
              </w:p>
            </w:tc>
            <w:tc>
              <w:tcPr>
                <w:tcW w:w="417" w:type="pct"/>
                <w:shd w:val="clear" w:color="auto" w:fill="FFFFFF" w:themeFill="background2"/>
                <w:vAlign w:val="center"/>
              </w:tcPr>
              <w:p w14:paraId="3B6EFCB1" w14:textId="0CC1AEC7"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0.92%</w:t>
                </w:r>
              </w:p>
            </w:tc>
            <w:tc>
              <w:tcPr>
                <w:tcW w:w="417" w:type="pct"/>
                <w:shd w:val="clear" w:color="auto" w:fill="FFFFFF" w:themeFill="background2"/>
                <w:vAlign w:val="center"/>
              </w:tcPr>
              <w:p w14:paraId="2BE0EFBD" w14:textId="49D784F2"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1</w:t>
                </w:r>
                <w:r w:rsidR="00D910FA" w:rsidRPr="00B80369">
                  <w:rPr>
                    <w:rFonts w:eastAsia="Times New Roman" w:cs="Segoe UI"/>
                    <w:b/>
                    <w:bCs/>
                    <w:sz w:val="14"/>
                    <w:szCs w:val="14"/>
                    <w:lang w:val="en-GB" w:eastAsia="it-IT"/>
                  </w:rPr>
                  <w:t>.</w:t>
                </w:r>
                <w:r w:rsidRPr="00B80369">
                  <w:rPr>
                    <w:rFonts w:eastAsia="Times New Roman" w:cs="Segoe UI"/>
                    <w:b/>
                    <w:bCs/>
                    <w:sz w:val="14"/>
                    <w:szCs w:val="14"/>
                    <w:lang w:val="en-GB" w:eastAsia="it-IT"/>
                  </w:rPr>
                  <w:t>69%</w:t>
                </w:r>
              </w:p>
            </w:tc>
            <w:tc>
              <w:tcPr>
                <w:tcW w:w="417" w:type="pct"/>
                <w:shd w:val="clear" w:color="auto" w:fill="FFFFFF" w:themeFill="background2"/>
                <w:vAlign w:val="center"/>
              </w:tcPr>
              <w:p w14:paraId="6F59EC8A" w14:textId="58DCAC14"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c>
              <w:tcPr>
                <w:tcW w:w="413" w:type="pct"/>
                <w:shd w:val="clear" w:color="auto" w:fill="FFFFFF" w:themeFill="background2"/>
                <w:vAlign w:val="center"/>
              </w:tcPr>
              <w:p w14:paraId="67D463E4" w14:textId="77777777" w:rsidR="003B0180" w:rsidRPr="00B80369" w:rsidRDefault="003B0180"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bl>
        <w:p w14:paraId="15856F63" w14:textId="4734533B" w:rsidR="004101BF" w:rsidRDefault="004101BF" w:rsidP="004101BF">
          <w:pPr>
            <w:pStyle w:val="Didascalia"/>
            <w:rPr>
              <w:rFonts w:ascii="Segoe UI" w:hAnsi="Segoe UI" w:cs="Segoe UI"/>
              <w:i/>
              <w:sz w:val="14"/>
              <w:lang w:val="en-GB"/>
            </w:rPr>
          </w:pPr>
          <w:bookmarkStart w:id="150" w:name="_Toc130806344"/>
          <w:bookmarkStart w:id="151" w:name="_Toc166675684"/>
          <w:bookmarkStart w:id="152" w:name="_Toc167131811"/>
          <w:r w:rsidRPr="006A286E">
            <w:rPr>
              <w:rFonts w:ascii="Segoe UI" w:hAnsi="Segoe UI" w:cs="Segoe UI"/>
              <w:i/>
              <w:sz w:val="14"/>
              <w:lang w:val="en-GB"/>
            </w:rPr>
            <w:lastRenderedPageBreak/>
            <w:t xml:space="preserve">Exhibit </w:t>
          </w:r>
          <w:r w:rsidRPr="006A286E">
            <w:rPr>
              <w:rFonts w:ascii="Segoe UI" w:hAnsi="Segoe UI" w:cs="Segoe UI"/>
              <w:i/>
              <w:sz w:val="14"/>
              <w:lang w:val="en-GB"/>
            </w:rPr>
            <w:fldChar w:fldCharType="begin"/>
          </w:r>
          <w:r w:rsidRPr="006A286E">
            <w:rPr>
              <w:rFonts w:ascii="Segoe UI" w:hAnsi="Segoe UI" w:cs="Segoe UI"/>
              <w:i/>
              <w:sz w:val="14"/>
              <w:lang w:val="en-GB"/>
            </w:rPr>
            <w:instrText xml:space="preserve"> SEQ Exhibit \* ARABIC </w:instrText>
          </w:r>
          <w:r w:rsidRPr="006A286E">
            <w:rPr>
              <w:rFonts w:ascii="Segoe UI" w:hAnsi="Segoe UI" w:cs="Segoe UI"/>
              <w:i/>
              <w:sz w:val="14"/>
              <w:lang w:val="en-GB"/>
            </w:rPr>
            <w:fldChar w:fldCharType="separate"/>
          </w:r>
          <w:r w:rsidR="009857B6">
            <w:rPr>
              <w:rFonts w:ascii="Segoe UI" w:hAnsi="Segoe UI" w:cs="Segoe UI"/>
              <w:i/>
              <w:noProof/>
              <w:sz w:val="14"/>
              <w:lang w:val="en-GB"/>
            </w:rPr>
            <w:t>43</w:t>
          </w:r>
          <w:r w:rsidRPr="006A286E">
            <w:rPr>
              <w:rFonts w:ascii="Segoe UI" w:hAnsi="Segoe UI" w:cs="Segoe UI"/>
              <w:i/>
              <w:sz w:val="14"/>
              <w:lang w:val="en-GB"/>
            </w:rPr>
            <w:fldChar w:fldCharType="end"/>
          </w:r>
          <w:r w:rsidRPr="006A286E">
            <w:rPr>
              <w:rFonts w:ascii="Segoe UI" w:hAnsi="Segoe UI" w:cs="Segoe UI"/>
              <w:i/>
              <w:sz w:val="14"/>
              <w:lang w:val="en-GB"/>
            </w:rPr>
            <w:t>: Static pool as of 31</w:t>
          </w:r>
          <w:r w:rsidRPr="00A6159A">
            <w:rPr>
              <w:rFonts w:ascii="Segoe UI" w:hAnsi="Segoe UI" w:cs="Segoe UI"/>
              <w:i/>
              <w:sz w:val="14"/>
              <w:vertAlign w:val="superscript"/>
              <w:lang w:val="en-GB"/>
            </w:rPr>
            <w:t>st</w:t>
          </w:r>
          <w:r w:rsidRPr="006A286E">
            <w:rPr>
              <w:rFonts w:ascii="Segoe UI" w:hAnsi="Segoe UI" w:cs="Segoe UI"/>
              <w:i/>
              <w:sz w:val="14"/>
              <w:lang w:val="en-GB"/>
            </w:rPr>
            <w:t xml:space="preserve"> December 20</w:t>
          </w:r>
          <w:r>
            <w:rPr>
              <w:rFonts w:ascii="Segoe UI" w:hAnsi="Segoe UI" w:cs="Segoe UI"/>
              <w:i/>
              <w:sz w:val="14"/>
              <w:lang w:val="en-GB"/>
            </w:rPr>
            <w:t>21</w:t>
          </w:r>
          <w:bookmarkEnd w:id="150"/>
          <w:bookmarkEnd w:id="151"/>
          <w:bookmarkEnd w:id="152"/>
        </w:p>
        <w:tbl>
          <w:tblPr>
            <w:tblW w:w="5000" w:type="pct"/>
            <w:tblBorders>
              <w:top w:val="single" w:sz="4" w:space="0" w:color="AFAFB4" w:themeColor="accent4"/>
              <w:bottom w:val="single" w:sz="4" w:space="0" w:color="AFAFB4" w:themeColor="accent4"/>
              <w:insideH w:val="single" w:sz="4" w:space="0" w:color="AFAFB4" w:themeColor="accent4"/>
            </w:tblBorders>
            <w:shd w:val="clear" w:color="auto" w:fill="FFFFFF" w:themeFill="background2"/>
            <w:tblCellMar>
              <w:left w:w="0" w:type="dxa"/>
              <w:right w:w="0" w:type="dxa"/>
            </w:tblCellMar>
            <w:tblLook w:val="0620" w:firstRow="1" w:lastRow="0" w:firstColumn="0" w:lastColumn="0" w:noHBand="1" w:noVBand="1"/>
            <w:tblDescription w:val="{&quot;Ott&quot;:{&quot;FirstRow&quot;:{&quot;BackgroundColor&quot;:{&quot;Key&quot;:&quot;Light2&quot;},&quot;Font&quot;:{&quot;Name&quot;:&quot;Source Sans Pro&quot;,&quot;Size&quot;:14.0,&quot;Bold&quot;:false,&quot;Italic&quot;:false,&quot;Color&quot;:{&quot;Key&quot;:&quot;Dark2&quot;}},&quot;ExcelCellFormatting&quot;:&quot;General&quot;,&quot;Alignment&quot;:{&quot;Horizontal&quot;:&quot;Left&quot;,&quot;Vertical&quot;:&quot;Bottom&quot;},&quot;Borders&quot;:{&quot;Vertical&quot;:{&quot;Visible&quot;:false},&quot;Left&quot;:{&quot;Visible&quot;:false},&quot;Top&quot;:{&quot;Visible&quot;:false},&quot;Right&quot;:{&quot;Visible&quot;:false},&quot;Bottom&quot;:{&quot;Color&quot;:{&quot;Key&quot;:&quot;Accent4&quot;},&quot;BorderWeight&quot;:&quot;Pt1_5&quot;,&quot;Type&quot;:&quot;Solid&quot;,&quot;Visible&quot;:true}}},&quot;FitRowHeightPp&quot;:true,&quot;ZeroMarginsWord&quot;:true,&quot;BackgroundColor&quot;:{&quot;Key&quot;:&quot;Light2&quot;},&quot;Font&quot;:{&quot;Name&quot;:&quot;Source Sans Pro&quot;,&quot;Size&quot;:11.0,&quot;Bold&quot;:false,&quot;Italic&quot;:false,&quot;Color&quot;:{&quot;Key&quot;:&quot;Dark2&quot;}},&quot;LineSpacing&quot;:{&quot;Rule&quot;:&quot;Single&quot;},&quot;Alignment&quot;:{&quot;Horizontal&quot;:&quot;Left&quot;,&quot;Vertical&quot;:&quot;Top&quot;},&quot;Margin&quot;:{&quot;Left&quot;:5.7,&quot;Top&quot;:3.0,&quot;Right&quot;:5.7,&quot;Bottom&quot;:3.0},&quot;Borders&quot;:{&quot;Vertical&quot;:{&quot;Visible&quot;:false},&quot;Horizontal&quot;:{&quot;Color&quot;:{&quot;Key&quot;:&quot;Accent4&quot;},&quot;BorderWeight&quot;:&quot;Pt0_5&quot;,&quot;Type&quot;:&quot;Solid&quot;,&quot;Visible&quot;:true}},&quot;ParagraphSpacing&quot;:{&quot;SpaceBefore&quot;:2.0,&quot;SpaceAfter&quot;:2.0},&quot;ExcelWrapText&quot;:true},&quot;Ccs&quot;:{&quot;DarkBlue&quot;:&quot;0, 20, 55&quot;,&quot;Turquoise&quot;:&quot;0, 164, 230&quot;,&quot;Red&quot;:&quot;214, 70, 65&quot;,&quot;LightGrey&quot;:&quot;174, 174, 180&quot;,&quot;BlueGrey&quot;:&quot;77, 91, 115&quot;,&quot;IceBlue&quot;:&quot;178, 184, 195&quot;,&quot;Grey&quot;:&quot;145, 147, 153&quot;,&quot;Background&quot;:&quot;0, 0, 0, 0&quot;,&quot;White&quot;:&quot;White&quot;,&quot;Accent1&quot;:&quot;1, 1, 1, 1&quot;,&quot;Accent2&quot;:&quot;1, 1, 1, 2&quot;,&quot;Accent3&quot;:&quot;1, 1, 1, 3&quot;,&quot;Accent4&quot;:&quot;1, 1, 1, 4&quot;,&quot;Accent5&quot;:&quot;1, 1, 1, 5&quot;,&quot;Accent6&quot;:&quot;1, 1, 1, 6&quot;,&quot;Dark1&quot;:&quot;1, 1, 1, 7&quot;,&quot;Dark2&quot;:&quot;1, 1, 1, 9&quot;,&quot;Light1&quot;:&quot;1, 1, 1, 8&quot;,&quot;Light2&quot;:&quot;1, 1, 1, 10&quot;},&quot;Cop&quot;:{&quot;FirstRow&quot;:true,&quot;LastRow&quot;:false,&quot;FirstColumn&quot;:false,&quot;LastColumn&quot;:false,&quot;BandedRows&quot;:false,&quot;BandedColumns&quot;:false},&quot;Aaf&quot;:false}"/>
          </w:tblPr>
          <w:tblGrid>
            <w:gridCol w:w="710"/>
            <w:gridCol w:w="1016"/>
            <w:gridCol w:w="863"/>
            <w:gridCol w:w="863"/>
            <w:gridCol w:w="863"/>
            <w:gridCol w:w="863"/>
            <w:gridCol w:w="863"/>
            <w:gridCol w:w="863"/>
            <w:gridCol w:w="863"/>
            <w:gridCol w:w="863"/>
            <w:gridCol w:w="863"/>
            <w:gridCol w:w="855"/>
          </w:tblGrid>
          <w:tr w:rsidR="00707524" w:rsidRPr="00B80369" w14:paraId="690589C9" w14:textId="77777777" w:rsidTr="00AC7D4E">
            <w:trPr>
              <w:trHeight w:val="227"/>
              <w:tblHeader/>
            </w:trPr>
            <w:tc>
              <w:tcPr>
                <w:tcW w:w="343" w:type="pct"/>
                <w:vMerge w:val="restar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52EB8D51" w14:textId="77777777"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Rating</w:t>
                </w:r>
              </w:p>
            </w:tc>
            <w:tc>
              <w:tcPr>
                <w:tcW w:w="491"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31994D7E" w14:textId="77777777"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Static pool</w:t>
                </w:r>
              </w:p>
            </w:tc>
            <w:tc>
              <w:tcPr>
                <w:tcW w:w="2085" w:type="pct"/>
                <w:gridSpan w:val="5"/>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613EB848" w14:textId="19963421"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Observed defaults by years since rating issuance</w:t>
                </w:r>
              </w:p>
            </w:tc>
            <w:tc>
              <w:tcPr>
                <w:tcW w:w="2081" w:type="pct"/>
                <w:gridSpan w:val="5"/>
                <w:tcBorders>
                  <w:top w:val="single" w:sz="12" w:space="0" w:color="AFAFB4" w:themeColor="accent4"/>
                </w:tcBorders>
                <w:shd w:val="clear" w:color="auto" w:fill="FFFFFF" w:themeFill="background2"/>
                <w:vAlign w:val="center"/>
              </w:tcPr>
              <w:p w14:paraId="3E30965F" w14:textId="77777777"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Percentage of cumulative default rates</w:t>
                </w:r>
              </w:p>
            </w:tc>
          </w:tr>
          <w:tr w:rsidR="00F00E2C" w:rsidRPr="00B80369" w14:paraId="326ACA1B" w14:textId="77777777" w:rsidTr="00AC7D4E">
            <w:trPr>
              <w:trHeight w:val="227"/>
              <w:tblHeader/>
            </w:trPr>
            <w:tc>
              <w:tcPr>
                <w:tcW w:w="343" w:type="pct"/>
                <w:vMerge/>
                <w:shd w:val="clear" w:color="auto" w:fill="FFFFFF" w:themeFill="background2"/>
                <w:tcMar>
                  <w:top w:w="60" w:type="dxa"/>
                  <w:left w:w="114" w:type="dxa"/>
                  <w:bottom w:w="60" w:type="dxa"/>
                  <w:right w:w="114" w:type="dxa"/>
                </w:tcMar>
                <w:vAlign w:val="center"/>
              </w:tcPr>
              <w:p w14:paraId="1483C49B" w14:textId="77777777" w:rsidR="00F00E2C" w:rsidRPr="00B80369" w:rsidRDefault="00F00E2C" w:rsidP="00B80369">
                <w:pPr>
                  <w:spacing w:before="0" w:line="240" w:lineRule="auto"/>
                  <w:jc w:val="center"/>
                  <w:rPr>
                    <w:b/>
                    <w:color w:val="33A1AB" w:themeColor="accent2"/>
                    <w:sz w:val="14"/>
                    <w:szCs w:val="14"/>
                  </w:rPr>
                </w:pPr>
              </w:p>
            </w:tc>
            <w:tc>
              <w:tcPr>
                <w:tcW w:w="491"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1E1A26F5" w14:textId="52829A75" w:rsidR="00F00E2C" w:rsidRPr="00B80369" w:rsidRDefault="00F00E2C" w:rsidP="00B80369">
                <w:pPr>
                  <w:spacing w:before="0" w:line="240" w:lineRule="auto"/>
                  <w:jc w:val="center"/>
                  <w:rPr>
                    <w:b/>
                    <w:color w:val="33A1AB" w:themeColor="accent2"/>
                    <w:sz w:val="14"/>
                    <w:szCs w:val="14"/>
                  </w:rPr>
                </w:pPr>
                <w:r w:rsidRPr="00B80369">
                  <w:rPr>
                    <w:b/>
                    <w:color w:val="33A1AB" w:themeColor="accent2"/>
                    <w:sz w:val="14"/>
                    <w:szCs w:val="14"/>
                  </w:rPr>
                  <w:t>31 Dec 202</w:t>
                </w:r>
                <w:r w:rsidR="00C014DB" w:rsidRPr="00B80369">
                  <w:rPr>
                    <w:b/>
                    <w:color w:val="33A1AB" w:themeColor="accent2"/>
                    <w:sz w:val="14"/>
                    <w:szCs w:val="14"/>
                  </w:rPr>
                  <w:t>1</w:t>
                </w:r>
              </w:p>
            </w:tc>
            <w:tc>
              <w:tcPr>
                <w:tcW w:w="417"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6C5544C4" w14:textId="77777777" w:rsidR="00F00E2C" w:rsidRPr="00B80369" w:rsidRDefault="00F00E2C" w:rsidP="00B80369">
                <w:pPr>
                  <w:spacing w:before="0" w:line="240" w:lineRule="auto"/>
                  <w:jc w:val="center"/>
                  <w:rPr>
                    <w:b/>
                    <w:color w:val="33A1AB" w:themeColor="accent2"/>
                    <w:sz w:val="14"/>
                    <w:szCs w:val="14"/>
                  </w:rPr>
                </w:pPr>
                <w:r w:rsidRPr="00B80369">
                  <w:rPr>
                    <w:b/>
                    <w:color w:val="33A1AB" w:themeColor="accent2"/>
                    <w:sz w:val="14"/>
                    <w:szCs w:val="14"/>
                  </w:rPr>
                  <w:t>1-Y DR</w:t>
                </w:r>
              </w:p>
            </w:tc>
            <w:tc>
              <w:tcPr>
                <w:tcW w:w="417" w:type="pct"/>
                <w:tcBorders>
                  <w:top w:val="single" w:sz="12" w:space="0" w:color="AFAFB4" w:themeColor="accent4"/>
                </w:tcBorders>
                <w:shd w:val="clear" w:color="auto" w:fill="FFFFFF" w:themeFill="background2"/>
                <w:vAlign w:val="center"/>
              </w:tcPr>
              <w:p w14:paraId="1E3C0326" w14:textId="77777777" w:rsidR="00F00E2C" w:rsidRPr="00B80369" w:rsidRDefault="00F00E2C" w:rsidP="00B80369">
                <w:pPr>
                  <w:spacing w:before="0" w:line="240" w:lineRule="auto"/>
                  <w:jc w:val="center"/>
                  <w:rPr>
                    <w:b/>
                    <w:color w:val="33A1AB" w:themeColor="accent2"/>
                    <w:sz w:val="14"/>
                    <w:szCs w:val="14"/>
                  </w:rPr>
                </w:pPr>
                <w:r w:rsidRPr="00B80369">
                  <w:rPr>
                    <w:b/>
                    <w:color w:val="33A1AB" w:themeColor="accent2"/>
                    <w:sz w:val="14"/>
                    <w:szCs w:val="14"/>
                  </w:rPr>
                  <w:t>2-Y DR</w:t>
                </w:r>
              </w:p>
            </w:tc>
            <w:tc>
              <w:tcPr>
                <w:tcW w:w="417" w:type="pct"/>
                <w:tcBorders>
                  <w:top w:val="single" w:sz="12" w:space="0" w:color="AFAFB4" w:themeColor="accent4"/>
                </w:tcBorders>
                <w:shd w:val="clear" w:color="auto" w:fill="FFFFFF" w:themeFill="background2"/>
                <w:vAlign w:val="center"/>
              </w:tcPr>
              <w:p w14:paraId="7F518AAA" w14:textId="77777777" w:rsidR="00F00E2C" w:rsidRPr="00B80369" w:rsidRDefault="00F00E2C" w:rsidP="00B80369">
                <w:pPr>
                  <w:spacing w:before="0" w:line="240" w:lineRule="auto"/>
                  <w:jc w:val="center"/>
                  <w:rPr>
                    <w:b/>
                    <w:color w:val="33A1AB" w:themeColor="accent2"/>
                    <w:sz w:val="14"/>
                    <w:szCs w:val="14"/>
                  </w:rPr>
                </w:pPr>
                <w:r w:rsidRPr="00B80369">
                  <w:rPr>
                    <w:b/>
                    <w:color w:val="33A1AB" w:themeColor="accent2"/>
                    <w:sz w:val="14"/>
                    <w:szCs w:val="14"/>
                  </w:rPr>
                  <w:t>3-Y DR</w:t>
                </w:r>
              </w:p>
            </w:tc>
            <w:tc>
              <w:tcPr>
                <w:tcW w:w="417" w:type="pct"/>
                <w:tcBorders>
                  <w:top w:val="single" w:sz="12" w:space="0" w:color="AFAFB4" w:themeColor="accent4"/>
                </w:tcBorders>
                <w:shd w:val="clear" w:color="auto" w:fill="FFFFFF" w:themeFill="background2"/>
                <w:vAlign w:val="center"/>
              </w:tcPr>
              <w:p w14:paraId="76418EFF" w14:textId="77777777" w:rsidR="00F00E2C" w:rsidRPr="00B80369" w:rsidRDefault="00F00E2C" w:rsidP="00B80369">
                <w:pPr>
                  <w:spacing w:before="0" w:line="240" w:lineRule="auto"/>
                  <w:jc w:val="center"/>
                  <w:rPr>
                    <w:b/>
                    <w:color w:val="33A1AB" w:themeColor="accent2"/>
                    <w:sz w:val="14"/>
                    <w:szCs w:val="14"/>
                  </w:rPr>
                </w:pPr>
                <w:r w:rsidRPr="00B80369">
                  <w:rPr>
                    <w:b/>
                    <w:color w:val="33A1AB" w:themeColor="accent2"/>
                    <w:sz w:val="14"/>
                    <w:szCs w:val="14"/>
                  </w:rPr>
                  <w:t>4-Y DR</w:t>
                </w:r>
              </w:p>
            </w:tc>
            <w:tc>
              <w:tcPr>
                <w:tcW w:w="417" w:type="pct"/>
                <w:tcBorders>
                  <w:top w:val="single" w:sz="12" w:space="0" w:color="AFAFB4" w:themeColor="accent4"/>
                </w:tcBorders>
                <w:shd w:val="clear" w:color="auto" w:fill="FFFFFF" w:themeFill="background2"/>
                <w:vAlign w:val="center"/>
              </w:tcPr>
              <w:p w14:paraId="4C17B490" w14:textId="77777777" w:rsidR="00F00E2C" w:rsidRPr="00B80369" w:rsidRDefault="00F00E2C" w:rsidP="00B80369">
                <w:pPr>
                  <w:spacing w:before="0" w:line="240" w:lineRule="auto"/>
                  <w:jc w:val="center"/>
                  <w:rPr>
                    <w:b/>
                    <w:color w:val="33A1AB" w:themeColor="accent2"/>
                    <w:sz w:val="14"/>
                    <w:szCs w:val="14"/>
                  </w:rPr>
                </w:pPr>
                <w:r w:rsidRPr="00B80369">
                  <w:rPr>
                    <w:b/>
                    <w:color w:val="33A1AB" w:themeColor="accent2"/>
                    <w:sz w:val="14"/>
                    <w:szCs w:val="14"/>
                  </w:rPr>
                  <w:t>5-Y DR</w:t>
                </w:r>
              </w:p>
            </w:tc>
            <w:tc>
              <w:tcPr>
                <w:tcW w:w="417" w:type="pct"/>
                <w:tcBorders>
                  <w:top w:val="single" w:sz="12" w:space="0" w:color="AFAFB4" w:themeColor="accent4"/>
                </w:tcBorders>
                <w:shd w:val="clear" w:color="auto" w:fill="FFFFFF" w:themeFill="background2"/>
                <w:vAlign w:val="center"/>
              </w:tcPr>
              <w:p w14:paraId="4476CFC1" w14:textId="77777777" w:rsidR="00F00E2C" w:rsidRPr="00B80369" w:rsidRDefault="00F00E2C" w:rsidP="00B80369">
                <w:pPr>
                  <w:spacing w:before="0" w:line="240" w:lineRule="auto"/>
                  <w:jc w:val="center"/>
                  <w:rPr>
                    <w:b/>
                    <w:color w:val="33A1AB" w:themeColor="accent2"/>
                    <w:sz w:val="14"/>
                    <w:szCs w:val="14"/>
                  </w:rPr>
                </w:pPr>
                <w:r w:rsidRPr="00B80369">
                  <w:rPr>
                    <w:b/>
                    <w:color w:val="33A1AB" w:themeColor="accent2"/>
                    <w:sz w:val="14"/>
                    <w:szCs w:val="14"/>
                  </w:rPr>
                  <w:t>1-Y DR</w:t>
                </w:r>
              </w:p>
            </w:tc>
            <w:tc>
              <w:tcPr>
                <w:tcW w:w="417" w:type="pct"/>
                <w:tcBorders>
                  <w:top w:val="single" w:sz="12" w:space="0" w:color="AFAFB4" w:themeColor="accent4"/>
                </w:tcBorders>
                <w:shd w:val="clear" w:color="auto" w:fill="FFFFFF" w:themeFill="background2"/>
                <w:vAlign w:val="center"/>
              </w:tcPr>
              <w:p w14:paraId="1D0CF7FB" w14:textId="77777777" w:rsidR="00F00E2C" w:rsidRPr="00B80369" w:rsidRDefault="00F00E2C" w:rsidP="00B80369">
                <w:pPr>
                  <w:spacing w:before="0" w:line="240" w:lineRule="auto"/>
                  <w:jc w:val="center"/>
                  <w:rPr>
                    <w:b/>
                    <w:color w:val="33A1AB" w:themeColor="accent2"/>
                    <w:sz w:val="14"/>
                    <w:szCs w:val="14"/>
                  </w:rPr>
                </w:pPr>
                <w:r w:rsidRPr="00B80369">
                  <w:rPr>
                    <w:b/>
                    <w:color w:val="33A1AB" w:themeColor="accent2"/>
                    <w:sz w:val="14"/>
                    <w:szCs w:val="14"/>
                  </w:rPr>
                  <w:t>2-Y DR</w:t>
                </w:r>
              </w:p>
            </w:tc>
            <w:tc>
              <w:tcPr>
                <w:tcW w:w="417" w:type="pct"/>
                <w:tcBorders>
                  <w:top w:val="single" w:sz="12" w:space="0" w:color="AFAFB4" w:themeColor="accent4"/>
                </w:tcBorders>
                <w:shd w:val="clear" w:color="auto" w:fill="FFFFFF" w:themeFill="background2"/>
                <w:vAlign w:val="center"/>
              </w:tcPr>
              <w:p w14:paraId="15921BFF" w14:textId="77777777" w:rsidR="00F00E2C" w:rsidRPr="00B80369" w:rsidRDefault="00F00E2C" w:rsidP="00B80369">
                <w:pPr>
                  <w:spacing w:before="0" w:line="240" w:lineRule="auto"/>
                  <w:jc w:val="center"/>
                  <w:rPr>
                    <w:b/>
                    <w:color w:val="33A1AB" w:themeColor="accent2"/>
                    <w:sz w:val="14"/>
                    <w:szCs w:val="14"/>
                  </w:rPr>
                </w:pPr>
                <w:r w:rsidRPr="00B80369">
                  <w:rPr>
                    <w:b/>
                    <w:color w:val="33A1AB" w:themeColor="accent2"/>
                    <w:sz w:val="14"/>
                    <w:szCs w:val="14"/>
                  </w:rPr>
                  <w:t>3-Y DR</w:t>
                </w:r>
              </w:p>
            </w:tc>
            <w:tc>
              <w:tcPr>
                <w:tcW w:w="417" w:type="pct"/>
                <w:tcBorders>
                  <w:top w:val="single" w:sz="12" w:space="0" w:color="AFAFB4" w:themeColor="accent4"/>
                </w:tcBorders>
                <w:shd w:val="clear" w:color="auto" w:fill="FFFFFF" w:themeFill="background2"/>
                <w:vAlign w:val="center"/>
              </w:tcPr>
              <w:p w14:paraId="2148C7E0" w14:textId="77777777" w:rsidR="00F00E2C" w:rsidRPr="00B80369" w:rsidRDefault="00F00E2C" w:rsidP="00B80369">
                <w:pPr>
                  <w:spacing w:before="0" w:line="240" w:lineRule="auto"/>
                  <w:jc w:val="center"/>
                  <w:rPr>
                    <w:b/>
                    <w:color w:val="33A1AB" w:themeColor="accent2"/>
                    <w:sz w:val="14"/>
                    <w:szCs w:val="14"/>
                  </w:rPr>
                </w:pPr>
                <w:r w:rsidRPr="00B80369">
                  <w:rPr>
                    <w:b/>
                    <w:color w:val="33A1AB" w:themeColor="accent2"/>
                    <w:sz w:val="14"/>
                    <w:szCs w:val="14"/>
                  </w:rPr>
                  <w:t>4-Y DR</w:t>
                </w:r>
              </w:p>
            </w:tc>
            <w:tc>
              <w:tcPr>
                <w:tcW w:w="413" w:type="pct"/>
                <w:tcBorders>
                  <w:top w:val="single" w:sz="12" w:space="0" w:color="AFAFB4" w:themeColor="accent4"/>
                </w:tcBorders>
                <w:shd w:val="clear" w:color="auto" w:fill="FFFFFF" w:themeFill="background2"/>
                <w:vAlign w:val="center"/>
              </w:tcPr>
              <w:p w14:paraId="0028A5BC" w14:textId="77777777" w:rsidR="00F00E2C" w:rsidRPr="00B80369" w:rsidRDefault="00F00E2C" w:rsidP="00B80369">
                <w:pPr>
                  <w:spacing w:before="0" w:line="240" w:lineRule="auto"/>
                  <w:jc w:val="center"/>
                  <w:rPr>
                    <w:b/>
                    <w:color w:val="33A1AB" w:themeColor="accent2"/>
                    <w:sz w:val="14"/>
                    <w:szCs w:val="14"/>
                  </w:rPr>
                </w:pPr>
                <w:r w:rsidRPr="00B80369">
                  <w:rPr>
                    <w:b/>
                    <w:color w:val="33A1AB" w:themeColor="accent2"/>
                    <w:sz w:val="14"/>
                    <w:szCs w:val="14"/>
                  </w:rPr>
                  <w:t>5-Y DR</w:t>
                </w:r>
              </w:p>
            </w:tc>
          </w:tr>
          <w:tr w:rsidR="001F5773" w:rsidRPr="00B80369" w14:paraId="1EF38CC2"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45D8391D" w14:textId="77777777" w:rsidR="001F5773" w:rsidRPr="00B80369" w:rsidRDefault="001F5773"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A1.1</w:t>
                </w:r>
              </w:p>
            </w:tc>
            <w:tc>
              <w:tcPr>
                <w:tcW w:w="491" w:type="pct"/>
                <w:shd w:val="clear" w:color="auto" w:fill="FFFFFF" w:themeFill="background2"/>
                <w:tcMar>
                  <w:top w:w="60" w:type="dxa"/>
                  <w:left w:w="114" w:type="dxa"/>
                  <w:bottom w:w="60" w:type="dxa"/>
                  <w:right w:w="114" w:type="dxa"/>
                </w:tcMar>
                <w:vAlign w:val="center"/>
              </w:tcPr>
              <w:p w14:paraId="1313E474" w14:textId="1649860B"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w:t>
                </w:r>
              </w:p>
            </w:tc>
            <w:tc>
              <w:tcPr>
                <w:tcW w:w="417" w:type="pct"/>
                <w:shd w:val="clear" w:color="auto" w:fill="FFFFFF" w:themeFill="background2"/>
                <w:tcMar>
                  <w:top w:w="60" w:type="dxa"/>
                  <w:left w:w="114" w:type="dxa"/>
                  <w:bottom w:w="60" w:type="dxa"/>
                  <w:right w:w="114" w:type="dxa"/>
                </w:tcMar>
                <w:vAlign w:val="center"/>
              </w:tcPr>
              <w:p w14:paraId="7D300496" w14:textId="1DA807C6"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362CF584" w14:textId="41FD640D"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75D388B7" w14:textId="59345B6E"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4F30C46C" w14:textId="7777777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1CEC4B76" w14:textId="7777777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3017BABF" w14:textId="4F6C7F6D" w:rsidR="001F5773" w:rsidRPr="00B80369" w:rsidRDefault="001F5773"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1963F2CD" w14:textId="30DD65F1"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2752BC" w:rsidRPr="00B80369">
                  <w:rPr>
                    <w:rFonts w:eastAsia="Times New Roman" w:cs="Segoe UI"/>
                    <w:sz w:val="14"/>
                    <w:szCs w:val="14"/>
                    <w:lang w:val="en-GB" w:eastAsia="it-IT"/>
                  </w:rPr>
                  <w:t>.</w:t>
                </w:r>
                <w:r w:rsidRPr="00B80369">
                  <w:rPr>
                    <w:rFonts w:eastAsia="Times New Roman" w:cs="Segoe UI"/>
                    <w:sz w:val="14"/>
                    <w:szCs w:val="14"/>
                    <w:lang w:val="en-GB" w:eastAsia="it-IT"/>
                  </w:rPr>
                  <w:t>00%</w:t>
                </w:r>
              </w:p>
            </w:tc>
            <w:tc>
              <w:tcPr>
                <w:tcW w:w="417" w:type="pct"/>
                <w:shd w:val="clear" w:color="auto" w:fill="FFFFFF" w:themeFill="background2"/>
                <w:vAlign w:val="center"/>
              </w:tcPr>
              <w:p w14:paraId="2A666BE7" w14:textId="1B58BE11"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3646570F" w14:textId="7777777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3" w:type="pct"/>
                <w:shd w:val="clear" w:color="auto" w:fill="FFFFFF" w:themeFill="background2"/>
                <w:vAlign w:val="center"/>
              </w:tcPr>
              <w:p w14:paraId="4386A1A2" w14:textId="77777777" w:rsidR="001F5773" w:rsidRPr="00B80369" w:rsidRDefault="001F5773"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1F5773" w:rsidRPr="00B80369" w14:paraId="66D99DDB"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006BBE34" w14:textId="77777777" w:rsidR="001F5773" w:rsidRPr="00B80369" w:rsidRDefault="001F5773"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A1.2</w:t>
                </w:r>
              </w:p>
            </w:tc>
            <w:tc>
              <w:tcPr>
                <w:tcW w:w="491" w:type="pct"/>
                <w:shd w:val="clear" w:color="auto" w:fill="FFFFFF" w:themeFill="background2"/>
                <w:tcMar>
                  <w:top w:w="60" w:type="dxa"/>
                  <w:left w:w="114" w:type="dxa"/>
                  <w:bottom w:w="60" w:type="dxa"/>
                  <w:right w:w="114" w:type="dxa"/>
                </w:tcMar>
                <w:vAlign w:val="center"/>
              </w:tcPr>
              <w:p w14:paraId="406C8E8F" w14:textId="523EFE1C"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14</w:t>
                </w:r>
              </w:p>
            </w:tc>
            <w:tc>
              <w:tcPr>
                <w:tcW w:w="417" w:type="pct"/>
                <w:shd w:val="clear" w:color="auto" w:fill="FFFFFF" w:themeFill="background2"/>
                <w:tcMar>
                  <w:top w:w="60" w:type="dxa"/>
                  <w:left w:w="114" w:type="dxa"/>
                  <w:bottom w:w="60" w:type="dxa"/>
                  <w:right w:w="114" w:type="dxa"/>
                </w:tcMar>
                <w:vAlign w:val="center"/>
              </w:tcPr>
              <w:p w14:paraId="1FA5CA3C" w14:textId="55A76770"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364C2D46" w14:textId="30F426A2"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2371A93A" w14:textId="48A45EF5"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5A75E4E5" w14:textId="7777777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77DB0253" w14:textId="7777777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27F521E4" w14:textId="10615E47" w:rsidR="001F5773" w:rsidRPr="00B80369" w:rsidRDefault="001F5773"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0221E580" w14:textId="6A14F71B"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2752BC" w:rsidRPr="00B80369">
                  <w:rPr>
                    <w:rFonts w:eastAsia="Times New Roman" w:cs="Segoe UI"/>
                    <w:sz w:val="14"/>
                    <w:szCs w:val="14"/>
                    <w:lang w:val="en-GB" w:eastAsia="it-IT"/>
                  </w:rPr>
                  <w:t>.</w:t>
                </w:r>
                <w:r w:rsidRPr="00B80369">
                  <w:rPr>
                    <w:rFonts w:eastAsia="Times New Roman" w:cs="Segoe UI"/>
                    <w:sz w:val="14"/>
                    <w:szCs w:val="14"/>
                    <w:lang w:val="en-GB" w:eastAsia="it-IT"/>
                  </w:rPr>
                  <w:t>00%</w:t>
                </w:r>
              </w:p>
            </w:tc>
            <w:tc>
              <w:tcPr>
                <w:tcW w:w="417" w:type="pct"/>
                <w:shd w:val="clear" w:color="auto" w:fill="FFFFFF" w:themeFill="background2"/>
                <w:vAlign w:val="center"/>
              </w:tcPr>
              <w:p w14:paraId="696DFF6B" w14:textId="368065DF"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3BEC9440" w14:textId="7777777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3" w:type="pct"/>
                <w:shd w:val="clear" w:color="auto" w:fill="FFFFFF" w:themeFill="background2"/>
                <w:vAlign w:val="center"/>
              </w:tcPr>
              <w:p w14:paraId="7E0026B3" w14:textId="77777777" w:rsidR="001F5773" w:rsidRPr="00B80369" w:rsidRDefault="001F5773"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1F5773" w:rsidRPr="00B80369" w14:paraId="63A78F9B"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4589CC13" w14:textId="77777777" w:rsidR="001F5773" w:rsidRPr="00B80369" w:rsidRDefault="001F5773"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A1.3</w:t>
                </w:r>
              </w:p>
            </w:tc>
            <w:tc>
              <w:tcPr>
                <w:tcW w:w="491" w:type="pct"/>
                <w:shd w:val="clear" w:color="auto" w:fill="FFFFFF" w:themeFill="background2"/>
                <w:tcMar>
                  <w:top w:w="60" w:type="dxa"/>
                  <w:left w:w="114" w:type="dxa"/>
                  <w:bottom w:w="60" w:type="dxa"/>
                  <w:right w:w="114" w:type="dxa"/>
                </w:tcMar>
                <w:vAlign w:val="center"/>
              </w:tcPr>
              <w:p w14:paraId="5266D5DC" w14:textId="123829C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68</w:t>
                </w:r>
              </w:p>
            </w:tc>
            <w:tc>
              <w:tcPr>
                <w:tcW w:w="417" w:type="pct"/>
                <w:shd w:val="clear" w:color="auto" w:fill="FFFFFF" w:themeFill="background2"/>
                <w:tcMar>
                  <w:top w:w="60" w:type="dxa"/>
                  <w:left w:w="114" w:type="dxa"/>
                  <w:bottom w:w="60" w:type="dxa"/>
                  <w:right w:w="114" w:type="dxa"/>
                </w:tcMar>
                <w:vAlign w:val="center"/>
              </w:tcPr>
              <w:p w14:paraId="4E273469" w14:textId="0FA774F6"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511271AA" w14:textId="217AE9E6"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4B9F7893" w14:textId="64DBA83B"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3FE175DF" w14:textId="7777777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4773B704" w14:textId="7777777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3D40E779" w14:textId="026A8FEE" w:rsidR="001F5773" w:rsidRPr="00B80369" w:rsidRDefault="001F5773"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7DFCF0AF" w14:textId="02E671A6"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2752BC" w:rsidRPr="00B80369">
                  <w:rPr>
                    <w:rFonts w:eastAsia="Times New Roman" w:cs="Segoe UI"/>
                    <w:sz w:val="14"/>
                    <w:szCs w:val="14"/>
                    <w:lang w:val="en-GB" w:eastAsia="it-IT"/>
                  </w:rPr>
                  <w:t>.</w:t>
                </w:r>
                <w:r w:rsidRPr="00B80369">
                  <w:rPr>
                    <w:rFonts w:eastAsia="Times New Roman" w:cs="Segoe UI"/>
                    <w:sz w:val="14"/>
                    <w:szCs w:val="14"/>
                    <w:lang w:val="en-GB" w:eastAsia="it-IT"/>
                  </w:rPr>
                  <w:t>00%</w:t>
                </w:r>
              </w:p>
            </w:tc>
            <w:tc>
              <w:tcPr>
                <w:tcW w:w="417" w:type="pct"/>
                <w:shd w:val="clear" w:color="auto" w:fill="FFFFFF" w:themeFill="background2"/>
                <w:vAlign w:val="center"/>
              </w:tcPr>
              <w:p w14:paraId="6BAA60B5" w14:textId="76D0F1BA"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024CF8C4" w14:textId="7777777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3" w:type="pct"/>
                <w:shd w:val="clear" w:color="auto" w:fill="FFFFFF" w:themeFill="background2"/>
                <w:vAlign w:val="center"/>
              </w:tcPr>
              <w:p w14:paraId="5DF0382A" w14:textId="77777777" w:rsidR="001F5773" w:rsidRPr="00B80369" w:rsidRDefault="001F5773"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1F5773" w:rsidRPr="00B80369" w14:paraId="10B20929"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2E3D10D1" w14:textId="77777777" w:rsidR="001F5773" w:rsidRPr="00B80369" w:rsidRDefault="001F5773"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A2.1</w:t>
                </w:r>
              </w:p>
            </w:tc>
            <w:tc>
              <w:tcPr>
                <w:tcW w:w="491" w:type="pct"/>
                <w:shd w:val="clear" w:color="auto" w:fill="FFFFFF" w:themeFill="background2"/>
                <w:tcMar>
                  <w:top w:w="60" w:type="dxa"/>
                  <w:left w:w="114" w:type="dxa"/>
                  <w:bottom w:w="60" w:type="dxa"/>
                  <w:right w:w="114" w:type="dxa"/>
                </w:tcMar>
                <w:vAlign w:val="center"/>
              </w:tcPr>
              <w:p w14:paraId="77BADDCA" w14:textId="263EC7A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177</w:t>
                </w:r>
              </w:p>
            </w:tc>
            <w:tc>
              <w:tcPr>
                <w:tcW w:w="417" w:type="pct"/>
                <w:shd w:val="clear" w:color="auto" w:fill="FFFFFF" w:themeFill="background2"/>
                <w:tcMar>
                  <w:top w:w="60" w:type="dxa"/>
                  <w:left w:w="114" w:type="dxa"/>
                  <w:bottom w:w="60" w:type="dxa"/>
                  <w:right w:w="114" w:type="dxa"/>
                </w:tcMar>
                <w:vAlign w:val="center"/>
              </w:tcPr>
              <w:p w14:paraId="56DB939B" w14:textId="517E13AE"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40BA79A6" w14:textId="036BD641"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4CD9B510" w14:textId="59D1C75C"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570405E5" w14:textId="7777777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50630F49" w14:textId="7777777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034E4F58" w14:textId="4D205189" w:rsidR="001F5773" w:rsidRPr="00B80369" w:rsidRDefault="001F5773"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6E46A50E" w14:textId="43C26189"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2752BC" w:rsidRPr="00B80369">
                  <w:rPr>
                    <w:rFonts w:eastAsia="Times New Roman" w:cs="Segoe UI"/>
                    <w:sz w:val="14"/>
                    <w:szCs w:val="14"/>
                    <w:lang w:val="en-GB" w:eastAsia="it-IT"/>
                  </w:rPr>
                  <w:t>.</w:t>
                </w:r>
                <w:r w:rsidRPr="00B80369">
                  <w:rPr>
                    <w:rFonts w:eastAsia="Times New Roman" w:cs="Segoe UI"/>
                    <w:sz w:val="14"/>
                    <w:szCs w:val="14"/>
                    <w:lang w:val="en-GB" w:eastAsia="it-IT"/>
                  </w:rPr>
                  <w:t>00%</w:t>
                </w:r>
              </w:p>
            </w:tc>
            <w:tc>
              <w:tcPr>
                <w:tcW w:w="417" w:type="pct"/>
                <w:shd w:val="clear" w:color="auto" w:fill="FFFFFF" w:themeFill="background2"/>
                <w:vAlign w:val="center"/>
              </w:tcPr>
              <w:p w14:paraId="2736EBDF" w14:textId="48D664FB"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01039611" w14:textId="7777777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3" w:type="pct"/>
                <w:shd w:val="clear" w:color="auto" w:fill="FFFFFF" w:themeFill="background2"/>
                <w:vAlign w:val="center"/>
              </w:tcPr>
              <w:p w14:paraId="01A0CBAB" w14:textId="77777777" w:rsidR="001F5773" w:rsidRPr="00B80369" w:rsidRDefault="001F5773"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1F5773" w:rsidRPr="00B80369" w14:paraId="5AD3E9E7"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1916250D" w14:textId="77777777" w:rsidR="001F5773" w:rsidRPr="00B80369" w:rsidRDefault="001F5773"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A2.2</w:t>
                </w:r>
              </w:p>
            </w:tc>
            <w:tc>
              <w:tcPr>
                <w:tcW w:w="491" w:type="pct"/>
                <w:shd w:val="clear" w:color="auto" w:fill="FFFFFF" w:themeFill="background2"/>
                <w:tcMar>
                  <w:top w:w="60" w:type="dxa"/>
                  <w:left w:w="114" w:type="dxa"/>
                  <w:bottom w:w="60" w:type="dxa"/>
                  <w:right w:w="114" w:type="dxa"/>
                </w:tcMar>
                <w:vAlign w:val="center"/>
              </w:tcPr>
              <w:p w14:paraId="019822EE" w14:textId="6CC5D506"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388</w:t>
                </w:r>
              </w:p>
            </w:tc>
            <w:tc>
              <w:tcPr>
                <w:tcW w:w="417" w:type="pct"/>
                <w:shd w:val="clear" w:color="auto" w:fill="FFFFFF" w:themeFill="background2"/>
                <w:tcMar>
                  <w:top w:w="60" w:type="dxa"/>
                  <w:left w:w="114" w:type="dxa"/>
                  <w:bottom w:w="60" w:type="dxa"/>
                  <w:right w:w="114" w:type="dxa"/>
                </w:tcMar>
                <w:vAlign w:val="center"/>
              </w:tcPr>
              <w:p w14:paraId="4480ACF6" w14:textId="7C8A26B6"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177826CF" w14:textId="5B0729D8"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77759AD4" w14:textId="5FD9EBC9"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75C1A9BA" w14:textId="7777777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2199485F" w14:textId="7777777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107A2B79" w14:textId="6BE4D7D3" w:rsidR="001F5773" w:rsidRPr="00B80369" w:rsidRDefault="001F5773"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417" w:type="pct"/>
                <w:shd w:val="clear" w:color="auto" w:fill="FFFFFF" w:themeFill="background2"/>
                <w:vAlign w:val="center"/>
              </w:tcPr>
              <w:p w14:paraId="39E274F5" w14:textId="00866598"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2752BC" w:rsidRPr="00B80369">
                  <w:rPr>
                    <w:rFonts w:eastAsia="Times New Roman" w:cs="Segoe UI"/>
                    <w:sz w:val="14"/>
                    <w:szCs w:val="14"/>
                    <w:lang w:val="en-GB" w:eastAsia="it-IT"/>
                  </w:rPr>
                  <w:t>.</w:t>
                </w:r>
                <w:r w:rsidRPr="00B80369">
                  <w:rPr>
                    <w:rFonts w:eastAsia="Times New Roman" w:cs="Segoe UI"/>
                    <w:sz w:val="14"/>
                    <w:szCs w:val="14"/>
                    <w:lang w:val="en-GB" w:eastAsia="it-IT"/>
                  </w:rPr>
                  <w:t>00%</w:t>
                </w:r>
              </w:p>
            </w:tc>
            <w:tc>
              <w:tcPr>
                <w:tcW w:w="417" w:type="pct"/>
                <w:shd w:val="clear" w:color="auto" w:fill="FFFFFF" w:themeFill="background2"/>
                <w:vAlign w:val="center"/>
              </w:tcPr>
              <w:p w14:paraId="3FADB717" w14:textId="63ECC720"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0655D044" w14:textId="7777777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3" w:type="pct"/>
                <w:shd w:val="clear" w:color="auto" w:fill="FFFFFF" w:themeFill="background2"/>
                <w:vAlign w:val="center"/>
              </w:tcPr>
              <w:p w14:paraId="25236B30" w14:textId="77777777" w:rsidR="001F5773" w:rsidRPr="00B80369" w:rsidRDefault="001F5773"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1F5773" w:rsidRPr="00B80369" w14:paraId="678D5034"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0EC1181D" w14:textId="77777777" w:rsidR="001F5773" w:rsidRPr="00B80369" w:rsidRDefault="001F5773"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A3.1</w:t>
                </w:r>
              </w:p>
            </w:tc>
            <w:tc>
              <w:tcPr>
                <w:tcW w:w="491" w:type="pct"/>
                <w:shd w:val="clear" w:color="auto" w:fill="FFFFFF" w:themeFill="background2"/>
                <w:tcMar>
                  <w:top w:w="60" w:type="dxa"/>
                  <w:left w:w="114" w:type="dxa"/>
                  <w:bottom w:w="60" w:type="dxa"/>
                  <w:right w:w="114" w:type="dxa"/>
                </w:tcMar>
                <w:vAlign w:val="center"/>
              </w:tcPr>
              <w:p w14:paraId="20C6D82B" w14:textId="7195507B"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w:t>
                </w:r>
                <w:r w:rsidR="00650F87" w:rsidRPr="00B80369">
                  <w:rPr>
                    <w:rFonts w:eastAsia="Times New Roman" w:cs="Segoe UI"/>
                    <w:sz w:val="14"/>
                    <w:szCs w:val="14"/>
                    <w:lang w:val="en-GB" w:eastAsia="it-IT"/>
                  </w:rPr>
                  <w:t>,</w:t>
                </w:r>
                <w:r w:rsidRPr="00B80369">
                  <w:rPr>
                    <w:rFonts w:eastAsia="Times New Roman" w:cs="Segoe UI"/>
                    <w:sz w:val="14"/>
                    <w:szCs w:val="14"/>
                    <w:lang w:val="en-GB" w:eastAsia="it-IT"/>
                  </w:rPr>
                  <w:t>730</w:t>
                </w:r>
              </w:p>
            </w:tc>
            <w:tc>
              <w:tcPr>
                <w:tcW w:w="417" w:type="pct"/>
                <w:shd w:val="clear" w:color="auto" w:fill="FFFFFF" w:themeFill="background2"/>
                <w:tcMar>
                  <w:top w:w="60" w:type="dxa"/>
                  <w:left w:w="114" w:type="dxa"/>
                  <w:bottom w:w="60" w:type="dxa"/>
                  <w:right w:w="114" w:type="dxa"/>
                </w:tcMar>
                <w:vAlign w:val="center"/>
              </w:tcPr>
              <w:p w14:paraId="075FB5FA" w14:textId="114E7A70"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w:t>
                </w:r>
              </w:p>
            </w:tc>
            <w:tc>
              <w:tcPr>
                <w:tcW w:w="417" w:type="pct"/>
                <w:shd w:val="clear" w:color="auto" w:fill="FFFFFF" w:themeFill="background2"/>
                <w:vAlign w:val="center"/>
              </w:tcPr>
              <w:p w14:paraId="7DD4EED0" w14:textId="3CDD2015"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w:t>
                </w:r>
              </w:p>
            </w:tc>
            <w:tc>
              <w:tcPr>
                <w:tcW w:w="417" w:type="pct"/>
                <w:shd w:val="clear" w:color="auto" w:fill="FFFFFF" w:themeFill="background2"/>
                <w:vAlign w:val="center"/>
              </w:tcPr>
              <w:p w14:paraId="6CDAAE33" w14:textId="46377648"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1C59D87C" w14:textId="7777777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3DD2CD90" w14:textId="7777777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5B24CFD9" w14:textId="4538AF71" w:rsidR="001F5773" w:rsidRPr="00B80369" w:rsidRDefault="001F5773"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0.06%</w:t>
                </w:r>
              </w:p>
            </w:tc>
            <w:tc>
              <w:tcPr>
                <w:tcW w:w="417" w:type="pct"/>
                <w:shd w:val="clear" w:color="auto" w:fill="FFFFFF" w:themeFill="background2"/>
                <w:vAlign w:val="center"/>
              </w:tcPr>
              <w:p w14:paraId="2E469D10" w14:textId="3A9BA20D"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2752BC" w:rsidRPr="00B80369">
                  <w:rPr>
                    <w:rFonts w:eastAsia="Times New Roman" w:cs="Segoe UI"/>
                    <w:sz w:val="14"/>
                    <w:szCs w:val="14"/>
                    <w:lang w:val="en-GB" w:eastAsia="it-IT"/>
                  </w:rPr>
                  <w:t>.</w:t>
                </w:r>
                <w:r w:rsidRPr="00B80369">
                  <w:rPr>
                    <w:rFonts w:eastAsia="Times New Roman" w:cs="Segoe UI"/>
                    <w:sz w:val="14"/>
                    <w:szCs w:val="14"/>
                    <w:lang w:val="en-GB" w:eastAsia="it-IT"/>
                  </w:rPr>
                  <w:t>12%</w:t>
                </w:r>
              </w:p>
            </w:tc>
            <w:tc>
              <w:tcPr>
                <w:tcW w:w="417" w:type="pct"/>
                <w:shd w:val="clear" w:color="auto" w:fill="FFFFFF" w:themeFill="background2"/>
                <w:vAlign w:val="center"/>
              </w:tcPr>
              <w:p w14:paraId="6604317F" w14:textId="0D9FFD94"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49EBC84D" w14:textId="7777777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3" w:type="pct"/>
                <w:shd w:val="clear" w:color="auto" w:fill="FFFFFF" w:themeFill="background2"/>
                <w:vAlign w:val="center"/>
              </w:tcPr>
              <w:p w14:paraId="757012C7" w14:textId="77777777" w:rsidR="001F5773" w:rsidRPr="00B80369" w:rsidRDefault="001F5773"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1F5773" w:rsidRPr="00B80369" w14:paraId="2677AE38"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334ADB18" w14:textId="77777777" w:rsidR="001F5773" w:rsidRPr="00B80369" w:rsidRDefault="001F5773"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B1.1</w:t>
                </w:r>
              </w:p>
            </w:tc>
            <w:tc>
              <w:tcPr>
                <w:tcW w:w="491" w:type="pct"/>
                <w:shd w:val="clear" w:color="auto" w:fill="FFFFFF" w:themeFill="background2"/>
                <w:tcMar>
                  <w:top w:w="60" w:type="dxa"/>
                  <w:left w:w="114" w:type="dxa"/>
                  <w:bottom w:w="60" w:type="dxa"/>
                  <w:right w:w="114" w:type="dxa"/>
                </w:tcMar>
                <w:vAlign w:val="center"/>
              </w:tcPr>
              <w:p w14:paraId="59C3F964" w14:textId="083D60FE"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w:t>
                </w:r>
                <w:r w:rsidR="00650F87" w:rsidRPr="00B80369">
                  <w:rPr>
                    <w:rFonts w:eastAsia="Times New Roman" w:cs="Segoe UI"/>
                    <w:sz w:val="14"/>
                    <w:szCs w:val="14"/>
                    <w:lang w:val="en-GB" w:eastAsia="it-IT"/>
                  </w:rPr>
                  <w:t>,</w:t>
                </w:r>
                <w:r w:rsidRPr="00B80369">
                  <w:rPr>
                    <w:rFonts w:eastAsia="Times New Roman" w:cs="Segoe UI"/>
                    <w:sz w:val="14"/>
                    <w:szCs w:val="14"/>
                    <w:lang w:val="en-GB" w:eastAsia="it-IT"/>
                  </w:rPr>
                  <w:t>211</w:t>
                </w:r>
              </w:p>
            </w:tc>
            <w:tc>
              <w:tcPr>
                <w:tcW w:w="417" w:type="pct"/>
                <w:shd w:val="clear" w:color="auto" w:fill="FFFFFF" w:themeFill="background2"/>
                <w:tcMar>
                  <w:top w:w="60" w:type="dxa"/>
                  <w:left w:w="114" w:type="dxa"/>
                  <w:bottom w:w="60" w:type="dxa"/>
                  <w:right w:w="114" w:type="dxa"/>
                </w:tcMar>
                <w:vAlign w:val="center"/>
              </w:tcPr>
              <w:p w14:paraId="4E434AB8" w14:textId="64D4F0EA"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w:t>
                </w:r>
              </w:p>
            </w:tc>
            <w:tc>
              <w:tcPr>
                <w:tcW w:w="417" w:type="pct"/>
                <w:shd w:val="clear" w:color="auto" w:fill="FFFFFF" w:themeFill="background2"/>
                <w:vAlign w:val="center"/>
              </w:tcPr>
              <w:p w14:paraId="06964313" w14:textId="0A248C9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w:t>
                </w:r>
              </w:p>
            </w:tc>
            <w:tc>
              <w:tcPr>
                <w:tcW w:w="417" w:type="pct"/>
                <w:shd w:val="clear" w:color="auto" w:fill="FFFFFF" w:themeFill="background2"/>
                <w:vAlign w:val="center"/>
              </w:tcPr>
              <w:p w14:paraId="4D97D54B" w14:textId="58C17016"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54DE6A39" w14:textId="7777777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739DED96" w14:textId="7777777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0CB08E61" w14:textId="2AAF4A35" w:rsidR="001F5773" w:rsidRPr="00B80369" w:rsidRDefault="001F5773"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0.05%</w:t>
                </w:r>
              </w:p>
            </w:tc>
            <w:tc>
              <w:tcPr>
                <w:tcW w:w="417" w:type="pct"/>
                <w:shd w:val="clear" w:color="auto" w:fill="FFFFFF" w:themeFill="background2"/>
                <w:vAlign w:val="center"/>
              </w:tcPr>
              <w:p w14:paraId="6C52CE84" w14:textId="68690D12"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2752BC" w:rsidRPr="00B80369">
                  <w:rPr>
                    <w:rFonts w:eastAsia="Times New Roman" w:cs="Segoe UI"/>
                    <w:sz w:val="14"/>
                    <w:szCs w:val="14"/>
                    <w:lang w:val="en-GB" w:eastAsia="it-IT"/>
                  </w:rPr>
                  <w:t>.</w:t>
                </w:r>
                <w:r w:rsidRPr="00B80369">
                  <w:rPr>
                    <w:rFonts w:eastAsia="Times New Roman" w:cs="Segoe UI"/>
                    <w:sz w:val="14"/>
                    <w:szCs w:val="14"/>
                    <w:lang w:val="en-GB" w:eastAsia="it-IT"/>
                  </w:rPr>
                  <w:t>27%</w:t>
                </w:r>
              </w:p>
            </w:tc>
            <w:tc>
              <w:tcPr>
                <w:tcW w:w="417" w:type="pct"/>
                <w:shd w:val="clear" w:color="auto" w:fill="FFFFFF" w:themeFill="background2"/>
                <w:vAlign w:val="center"/>
              </w:tcPr>
              <w:p w14:paraId="3FC98F65" w14:textId="4DCFE045"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328EEFD5" w14:textId="7777777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3" w:type="pct"/>
                <w:shd w:val="clear" w:color="auto" w:fill="FFFFFF" w:themeFill="background2"/>
                <w:vAlign w:val="center"/>
              </w:tcPr>
              <w:p w14:paraId="30938590" w14:textId="77777777" w:rsidR="001F5773" w:rsidRPr="00B80369" w:rsidRDefault="001F5773"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1F5773" w:rsidRPr="00B80369" w14:paraId="52308DE0"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58636A11" w14:textId="77777777" w:rsidR="001F5773" w:rsidRPr="00B80369" w:rsidRDefault="001F5773"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B1.2</w:t>
                </w:r>
              </w:p>
            </w:tc>
            <w:tc>
              <w:tcPr>
                <w:tcW w:w="491" w:type="pct"/>
                <w:shd w:val="clear" w:color="auto" w:fill="FFFFFF" w:themeFill="background2"/>
                <w:tcMar>
                  <w:top w:w="60" w:type="dxa"/>
                  <w:left w:w="114" w:type="dxa"/>
                  <w:bottom w:w="60" w:type="dxa"/>
                  <w:right w:w="114" w:type="dxa"/>
                </w:tcMar>
                <w:vAlign w:val="center"/>
              </w:tcPr>
              <w:p w14:paraId="78E8F234" w14:textId="35BEAFBD"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w:t>
                </w:r>
                <w:r w:rsidR="00650F87" w:rsidRPr="00B80369">
                  <w:rPr>
                    <w:rFonts w:eastAsia="Times New Roman" w:cs="Segoe UI"/>
                    <w:sz w:val="14"/>
                    <w:szCs w:val="14"/>
                    <w:lang w:val="en-GB" w:eastAsia="it-IT"/>
                  </w:rPr>
                  <w:t>,</w:t>
                </w:r>
                <w:r w:rsidRPr="00B80369">
                  <w:rPr>
                    <w:rFonts w:eastAsia="Times New Roman" w:cs="Segoe UI"/>
                    <w:sz w:val="14"/>
                    <w:szCs w:val="14"/>
                    <w:lang w:val="en-GB" w:eastAsia="it-IT"/>
                  </w:rPr>
                  <w:t>066</w:t>
                </w:r>
              </w:p>
            </w:tc>
            <w:tc>
              <w:tcPr>
                <w:tcW w:w="417" w:type="pct"/>
                <w:shd w:val="clear" w:color="auto" w:fill="FFFFFF" w:themeFill="background2"/>
                <w:tcMar>
                  <w:top w:w="60" w:type="dxa"/>
                  <w:left w:w="114" w:type="dxa"/>
                  <w:bottom w:w="60" w:type="dxa"/>
                  <w:right w:w="114" w:type="dxa"/>
                </w:tcMar>
                <w:vAlign w:val="center"/>
              </w:tcPr>
              <w:p w14:paraId="1BA0A18A" w14:textId="0CED77C0"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w:t>
                </w:r>
              </w:p>
            </w:tc>
            <w:tc>
              <w:tcPr>
                <w:tcW w:w="417" w:type="pct"/>
                <w:shd w:val="clear" w:color="auto" w:fill="FFFFFF" w:themeFill="background2"/>
                <w:vAlign w:val="center"/>
              </w:tcPr>
              <w:p w14:paraId="7C61ED4B" w14:textId="373230DB"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w:t>
                </w:r>
              </w:p>
            </w:tc>
            <w:tc>
              <w:tcPr>
                <w:tcW w:w="417" w:type="pct"/>
                <w:shd w:val="clear" w:color="auto" w:fill="FFFFFF" w:themeFill="background2"/>
                <w:vAlign w:val="center"/>
              </w:tcPr>
              <w:p w14:paraId="53D93EFF" w14:textId="0FF5E438"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50529414" w14:textId="7777777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0B079C22" w14:textId="7777777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3DFD882A" w14:textId="21BEAA06" w:rsidR="001F5773" w:rsidRPr="00B80369" w:rsidRDefault="001F5773"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0.07%</w:t>
                </w:r>
              </w:p>
            </w:tc>
            <w:tc>
              <w:tcPr>
                <w:tcW w:w="417" w:type="pct"/>
                <w:shd w:val="clear" w:color="auto" w:fill="FFFFFF" w:themeFill="background2"/>
                <w:vAlign w:val="center"/>
              </w:tcPr>
              <w:p w14:paraId="425D757F" w14:textId="7F603513"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2752BC" w:rsidRPr="00B80369">
                  <w:rPr>
                    <w:rFonts w:eastAsia="Times New Roman" w:cs="Segoe UI"/>
                    <w:sz w:val="14"/>
                    <w:szCs w:val="14"/>
                    <w:lang w:val="en-GB" w:eastAsia="it-IT"/>
                  </w:rPr>
                  <w:t>.</w:t>
                </w:r>
                <w:r w:rsidRPr="00B80369">
                  <w:rPr>
                    <w:rFonts w:eastAsia="Times New Roman" w:cs="Segoe UI"/>
                    <w:sz w:val="14"/>
                    <w:szCs w:val="14"/>
                    <w:lang w:val="en-GB" w:eastAsia="it-IT"/>
                  </w:rPr>
                  <w:t>20%</w:t>
                </w:r>
              </w:p>
            </w:tc>
            <w:tc>
              <w:tcPr>
                <w:tcW w:w="417" w:type="pct"/>
                <w:shd w:val="clear" w:color="auto" w:fill="FFFFFF" w:themeFill="background2"/>
                <w:vAlign w:val="center"/>
              </w:tcPr>
              <w:p w14:paraId="1671527F" w14:textId="3ADB982D"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14767EF2" w14:textId="7777777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3" w:type="pct"/>
                <w:shd w:val="clear" w:color="auto" w:fill="FFFFFF" w:themeFill="background2"/>
                <w:vAlign w:val="center"/>
              </w:tcPr>
              <w:p w14:paraId="20F0D538" w14:textId="77777777" w:rsidR="001F5773" w:rsidRPr="00B80369" w:rsidRDefault="001F5773"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1F5773" w:rsidRPr="00B80369" w14:paraId="5E9DCBCD"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2BBF9D9F" w14:textId="77777777" w:rsidR="001F5773" w:rsidRPr="00B80369" w:rsidRDefault="001F5773"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B2.1</w:t>
                </w:r>
              </w:p>
            </w:tc>
            <w:tc>
              <w:tcPr>
                <w:tcW w:w="491" w:type="pct"/>
                <w:shd w:val="clear" w:color="auto" w:fill="FFFFFF" w:themeFill="background2"/>
                <w:tcMar>
                  <w:top w:w="60" w:type="dxa"/>
                  <w:left w:w="114" w:type="dxa"/>
                  <w:bottom w:w="60" w:type="dxa"/>
                  <w:right w:w="114" w:type="dxa"/>
                </w:tcMar>
                <w:vAlign w:val="center"/>
              </w:tcPr>
              <w:p w14:paraId="710EAF08" w14:textId="6F68B9BA"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w:t>
                </w:r>
                <w:r w:rsidR="00650F87" w:rsidRPr="00B80369">
                  <w:rPr>
                    <w:rFonts w:eastAsia="Times New Roman" w:cs="Segoe UI"/>
                    <w:sz w:val="14"/>
                    <w:szCs w:val="14"/>
                    <w:lang w:val="en-GB" w:eastAsia="it-IT"/>
                  </w:rPr>
                  <w:t>,</w:t>
                </w:r>
                <w:r w:rsidRPr="00B80369">
                  <w:rPr>
                    <w:rFonts w:eastAsia="Times New Roman" w:cs="Segoe UI"/>
                    <w:sz w:val="14"/>
                    <w:szCs w:val="14"/>
                    <w:lang w:val="en-GB" w:eastAsia="it-IT"/>
                  </w:rPr>
                  <w:t>825</w:t>
                </w:r>
              </w:p>
            </w:tc>
            <w:tc>
              <w:tcPr>
                <w:tcW w:w="417" w:type="pct"/>
                <w:shd w:val="clear" w:color="auto" w:fill="FFFFFF" w:themeFill="background2"/>
                <w:tcMar>
                  <w:top w:w="60" w:type="dxa"/>
                  <w:left w:w="114" w:type="dxa"/>
                  <w:bottom w:w="60" w:type="dxa"/>
                  <w:right w:w="114" w:type="dxa"/>
                </w:tcMar>
                <w:vAlign w:val="center"/>
              </w:tcPr>
              <w:p w14:paraId="5B5DB0AD" w14:textId="643B6648"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w:t>
                </w:r>
              </w:p>
            </w:tc>
            <w:tc>
              <w:tcPr>
                <w:tcW w:w="417" w:type="pct"/>
                <w:shd w:val="clear" w:color="auto" w:fill="FFFFFF" w:themeFill="background2"/>
                <w:vAlign w:val="center"/>
              </w:tcPr>
              <w:p w14:paraId="344FD6E8" w14:textId="1B891DA6"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28</w:t>
                </w:r>
              </w:p>
            </w:tc>
            <w:tc>
              <w:tcPr>
                <w:tcW w:w="417" w:type="pct"/>
                <w:shd w:val="clear" w:color="auto" w:fill="FFFFFF" w:themeFill="background2"/>
                <w:vAlign w:val="center"/>
              </w:tcPr>
              <w:p w14:paraId="75F457FF" w14:textId="67410538"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39E0CA0C" w14:textId="7777777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7FB4044C" w14:textId="7777777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3815E4ED" w14:textId="2A8D68B2" w:rsidR="001F5773" w:rsidRPr="00B80369" w:rsidRDefault="001F5773"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0.18%</w:t>
                </w:r>
              </w:p>
            </w:tc>
            <w:tc>
              <w:tcPr>
                <w:tcW w:w="417" w:type="pct"/>
                <w:shd w:val="clear" w:color="auto" w:fill="FFFFFF" w:themeFill="background2"/>
                <w:vAlign w:val="center"/>
              </w:tcPr>
              <w:p w14:paraId="3AFC21C1" w14:textId="5B7D348B"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2752BC" w:rsidRPr="00B80369">
                  <w:rPr>
                    <w:rFonts w:eastAsia="Times New Roman" w:cs="Segoe UI"/>
                    <w:sz w:val="14"/>
                    <w:szCs w:val="14"/>
                    <w:lang w:val="en-GB" w:eastAsia="it-IT"/>
                  </w:rPr>
                  <w:t>.</w:t>
                </w:r>
                <w:r w:rsidRPr="00B80369">
                  <w:rPr>
                    <w:rFonts w:eastAsia="Times New Roman" w:cs="Segoe UI"/>
                    <w:sz w:val="14"/>
                    <w:szCs w:val="14"/>
                    <w:lang w:val="en-GB" w:eastAsia="it-IT"/>
                  </w:rPr>
                  <w:t>73%</w:t>
                </w:r>
              </w:p>
            </w:tc>
            <w:tc>
              <w:tcPr>
                <w:tcW w:w="417" w:type="pct"/>
                <w:shd w:val="clear" w:color="auto" w:fill="FFFFFF" w:themeFill="background2"/>
                <w:vAlign w:val="center"/>
              </w:tcPr>
              <w:p w14:paraId="75A7B1CA" w14:textId="1569B969"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3D5C99EE" w14:textId="7777777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3" w:type="pct"/>
                <w:shd w:val="clear" w:color="auto" w:fill="FFFFFF" w:themeFill="background2"/>
                <w:vAlign w:val="center"/>
              </w:tcPr>
              <w:p w14:paraId="248A0991" w14:textId="77777777" w:rsidR="001F5773" w:rsidRPr="00B80369" w:rsidRDefault="001F5773" w:rsidP="00B80369">
                <w:pPr>
                  <w:spacing w:before="0" w:line="240" w:lineRule="auto"/>
                  <w:jc w:val="center"/>
                  <w:rPr>
                    <w:b/>
                    <w:color w:val="33A1AB" w:themeColor="accent2"/>
                    <w:sz w:val="14"/>
                    <w:szCs w:val="14"/>
                  </w:rPr>
                </w:pPr>
                <w:r w:rsidRPr="00B80369">
                  <w:rPr>
                    <w:b/>
                    <w:color w:val="33A1AB" w:themeColor="accent2"/>
                    <w:sz w:val="14"/>
                    <w:szCs w:val="14"/>
                  </w:rPr>
                  <w:t>-</w:t>
                </w:r>
              </w:p>
            </w:tc>
          </w:tr>
          <w:tr w:rsidR="001F5773" w:rsidRPr="00B80369" w14:paraId="7A5D202E"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66A0664A" w14:textId="77777777" w:rsidR="001F5773" w:rsidRPr="00B80369" w:rsidRDefault="001F5773"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B2.2</w:t>
                </w:r>
              </w:p>
            </w:tc>
            <w:tc>
              <w:tcPr>
                <w:tcW w:w="491" w:type="pct"/>
                <w:shd w:val="clear" w:color="auto" w:fill="FFFFFF" w:themeFill="background2"/>
                <w:tcMar>
                  <w:top w:w="60" w:type="dxa"/>
                  <w:left w:w="114" w:type="dxa"/>
                  <w:bottom w:w="60" w:type="dxa"/>
                  <w:right w:w="114" w:type="dxa"/>
                </w:tcMar>
                <w:vAlign w:val="center"/>
              </w:tcPr>
              <w:p w14:paraId="32811786" w14:textId="1FAA0D22"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w:t>
                </w:r>
                <w:r w:rsidR="00650F87" w:rsidRPr="00B80369">
                  <w:rPr>
                    <w:rFonts w:eastAsia="Times New Roman" w:cs="Segoe UI"/>
                    <w:sz w:val="14"/>
                    <w:szCs w:val="14"/>
                    <w:lang w:val="en-GB" w:eastAsia="it-IT"/>
                  </w:rPr>
                  <w:t>,</w:t>
                </w:r>
                <w:r w:rsidRPr="00B80369">
                  <w:rPr>
                    <w:rFonts w:eastAsia="Times New Roman" w:cs="Segoe UI"/>
                    <w:sz w:val="14"/>
                    <w:szCs w:val="14"/>
                    <w:lang w:val="en-GB" w:eastAsia="it-IT"/>
                  </w:rPr>
                  <w:t>761</w:t>
                </w:r>
              </w:p>
            </w:tc>
            <w:tc>
              <w:tcPr>
                <w:tcW w:w="417" w:type="pct"/>
                <w:shd w:val="clear" w:color="auto" w:fill="FFFFFF" w:themeFill="background2"/>
                <w:tcMar>
                  <w:top w:w="60" w:type="dxa"/>
                  <w:left w:w="114" w:type="dxa"/>
                  <w:bottom w:w="60" w:type="dxa"/>
                  <w:right w:w="114" w:type="dxa"/>
                </w:tcMar>
                <w:vAlign w:val="center"/>
              </w:tcPr>
              <w:p w14:paraId="1D704613" w14:textId="1C11B3A1"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15</w:t>
                </w:r>
              </w:p>
            </w:tc>
            <w:tc>
              <w:tcPr>
                <w:tcW w:w="417" w:type="pct"/>
                <w:shd w:val="clear" w:color="auto" w:fill="FFFFFF" w:themeFill="background2"/>
                <w:vAlign w:val="center"/>
              </w:tcPr>
              <w:p w14:paraId="773D0AEF" w14:textId="764325D8"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50</w:t>
                </w:r>
              </w:p>
            </w:tc>
            <w:tc>
              <w:tcPr>
                <w:tcW w:w="417" w:type="pct"/>
                <w:shd w:val="clear" w:color="auto" w:fill="FFFFFF" w:themeFill="background2"/>
                <w:vAlign w:val="center"/>
              </w:tcPr>
              <w:p w14:paraId="7BD97053" w14:textId="44721D1F"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5FB729F2" w14:textId="7777777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10D10441" w14:textId="7777777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3D9CF533" w14:textId="0DF63734" w:rsidR="001F5773" w:rsidRPr="00B80369" w:rsidRDefault="001F5773"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0.54%</w:t>
                </w:r>
              </w:p>
            </w:tc>
            <w:tc>
              <w:tcPr>
                <w:tcW w:w="417" w:type="pct"/>
                <w:shd w:val="clear" w:color="auto" w:fill="FFFFFF" w:themeFill="background2"/>
                <w:vAlign w:val="center"/>
              </w:tcPr>
              <w:p w14:paraId="49777939" w14:textId="063DA608"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w:t>
                </w:r>
                <w:r w:rsidR="002752BC" w:rsidRPr="00B80369">
                  <w:rPr>
                    <w:rFonts w:eastAsia="Times New Roman" w:cs="Segoe UI"/>
                    <w:sz w:val="14"/>
                    <w:szCs w:val="14"/>
                    <w:lang w:val="en-GB" w:eastAsia="it-IT"/>
                  </w:rPr>
                  <w:t>.</w:t>
                </w:r>
                <w:r w:rsidRPr="00B80369">
                  <w:rPr>
                    <w:rFonts w:eastAsia="Times New Roman" w:cs="Segoe UI"/>
                    <w:sz w:val="14"/>
                    <w:szCs w:val="14"/>
                    <w:lang w:val="en-GB" w:eastAsia="it-IT"/>
                  </w:rPr>
                  <w:t>81%</w:t>
                </w:r>
              </w:p>
            </w:tc>
            <w:tc>
              <w:tcPr>
                <w:tcW w:w="417" w:type="pct"/>
                <w:shd w:val="clear" w:color="auto" w:fill="FFFFFF" w:themeFill="background2"/>
                <w:vAlign w:val="center"/>
              </w:tcPr>
              <w:p w14:paraId="0772556E" w14:textId="13FABA6D"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484408A5" w14:textId="7777777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3" w:type="pct"/>
                <w:shd w:val="clear" w:color="auto" w:fill="FFFFFF" w:themeFill="background2"/>
                <w:vAlign w:val="center"/>
              </w:tcPr>
              <w:p w14:paraId="750C77CE" w14:textId="77777777" w:rsidR="001F5773" w:rsidRPr="00B80369" w:rsidRDefault="001F5773"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1F5773" w:rsidRPr="00B80369" w14:paraId="50EF07F8"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61A878C6" w14:textId="77777777" w:rsidR="001F5773" w:rsidRPr="00B80369" w:rsidRDefault="001F5773"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C1.1</w:t>
                </w:r>
              </w:p>
            </w:tc>
            <w:tc>
              <w:tcPr>
                <w:tcW w:w="491" w:type="pct"/>
                <w:shd w:val="clear" w:color="auto" w:fill="FFFFFF" w:themeFill="background2"/>
                <w:tcMar>
                  <w:top w:w="60" w:type="dxa"/>
                  <w:left w:w="114" w:type="dxa"/>
                  <w:bottom w:w="60" w:type="dxa"/>
                  <w:right w:w="114" w:type="dxa"/>
                </w:tcMar>
                <w:vAlign w:val="center"/>
              </w:tcPr>
              <w:p w14:paraId="172E2BB5" w14:textId="59C68EDE"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w:t>
                </w:r>
                <w:r w:rsidR="00650F87" w:rsidRPr="00B80369">
                  <w:rPr>
                    <w:rFonts w:eastAsia="Times New Roman" w:cs="Segoe UI"/>
                    <w:sz w:val="14"/>
                    <w:szCs w:val="14"/>
                    <w:lang w:val="en-GB" w:eastAsia="it-IT"/>
                  </w:rPr>
                  <w:t>,</w:t>
                </w:r>
                <w:r w:rsidRPr="00B80369">
                  <w:rPr>
                    <w:rFonts w:eastAsia="Times New Roman" w:cs="Segoe UI"/>
                    <w:sz w:val="14"/>
                    <w:szCs w:val="14"/>
                    <w:lang w:val="en-GB" w:eastAsia="it-IT"/>
                  </w:rPr>
                  <w:t>400</w:t>
                </w:r>
              </w:p>
            </w:tc>
            <w:tc>
              <w:tcPr>
                <w:tcW w:w="417" w:type="pct"/>
                <w:shd w:val="clear" w:color="auto" w:fill="FFFFFF" w:themeFill="background2"/>
                <w:tcMar>
                  <w:top w:w="60" w:type="dxa"/>
                  <w:left w:w="114" w:type="dxa"/>
                  <w:bottom w:w="60" w:type="dxa"/>
                  <w:right w:w="114" w:type="dxa"/>
                </w:tcMar>
                <w:vAlign w:val="center"/>
              </w:tcPr>
              <w:p w14:paraId="614F882F" w14:textId="1A580038"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14</w:t>
                </w:r>
              </w:p>
            </w:tc>
            <w:tc>
              <w:tcPr>
                <w:tcW w:w="417" w:type="pct"/>
                <w:shd w:val="clear" w:color="auto" w:fill="FFFFFF" w:themeFill="background2"/>
                <w:vAlign w:val="center"/>
              </w:tcPr>
              <w:p w14:paraId="43284D37" w14:textId="090FC6AF"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38</w:t>
                </w:r>
              </w:p>
            </w:tc>
            <w:tc>
              <w:tcPr>
                <w:tcW w:w="417" w:type="pct"/>
                <w:shd w:val="clear" w:color="auto" w:fill="FFFFFF" w:themeFill="background2"/>
                <w:vAlign w:val="center"/>
              </w:tcPr>
              <w:p w14:paraId="7C26FE29" w14:textId="68D3F7B0"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7EF15A29" w14:textId="7777777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0C1CCD0F" w14:textId="7777777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47F37D29" w14:textId="39B084C2" w:rsidR="001F5773" w:rsidRPr="00B80369" w:rsidRDefault="001F5773"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1.00%</w:t>
                </w:r>
              </w:p>
            </w:tc>
            <w:tc>
              <w:tcPr>
                <w:tcW w:w="417" w:type="pct"/>
                <w:shd w:val="clear" w:color="auto" w:fill="FFFFFF" w:themeFill="background2"/>
                <w:vAlign w:val="center"/>
              </w:tcPr>
              <w:p w14:paraId="63155706" w14:textId="42ABEC00"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w:t>
                </w:r>
                <w:r w:rsidR="002752BC" w:rsidRPr="00B80369">
                  <w:rPr>
                    <w:rFonts w:eastAsia="Times New Roman" w:cs="Segoe UI"/>
                    <w:sz w:val="14"/>
                    <w:szCs w:val="14"/>
                    <w:lang w:val="en-GB" w:eastAsia="it-IT"/>
                  </w:rPr>
                  <w:t>.</w:t>
                </w:r>
                <w:r w:rsidRPr="00B80369">
                  <w:rPr>
                    <w:rFonts w:eastAsia="Times New Roman" w:cs="Segoe UI"/>
                    <w:sz w:val="14"/>
                    <w:szCs w:val="14"/>
                    <w:lang w:val="en-GB" w:eastAsia="it-IT"/>
                  </w:rPr>
                  <w:t>71%</w:t>
                </w:r>
              </w:p>
            </w:tc>
            <w:tc>
              <w:tcPr>
                <w:tcW w:w="417" w:type="pct"/>
                <w:shd w:val="clear" w:color="auto" w:fill="FFFFFF" w:themeFill="background2"/>
                <w:vAlign w:val="center"/>
              </w:tcPr>
              <w:p w14:paraId="44B865CF" w14:textId="14CEB3CD"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71268DDD" w14:textId="7777777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3" w:type="pct"/>
                <w:shd w:val="clear" w:color="auto" w:fill="FFFFFF" w:themeFill="background2"/>
                <w:vAlign w:val="center"/>
              </w:tcPr>
              <w:p w14:paraId="6F1D450D" w14:textId="77777777" w:rsidR="001F5773" w:rsidRPr="00B80369" w:rsidRDefault="001F5773"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1F5773" w:rsidRPr="00B80369" w14:paraId="7365630D"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7D11A5DC" w14:textId="77777777" w:rsidR="001F5773" w:rsidRPr="00B80369" w:rsidRDefault="001F5773"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C1.2</w:t>
                </w:r>
              </w:p>
            </w:tc>
            <w:tc>
              <w:tcPr>
                <w:tcW w:w="491" w:type="pct"/>
                <w:shd w:val="clear" w:color="auto" w:fill="FFFFFF" w:themeFill="background2"/>
                <w:tcMar>
                  <w:top w:w="60" w:type="dxa"/>
                  <w:left w:w="114" w:type="dxa"/>
                  <w:bottom w:w="60" w:type="dxa"/>
                  <w:right w:w="114" w:type="dxa"/>
                </w:tcMar>
                <w:vAlign w:val="center"/>
              </w:tcPr>
              <w:p w14:paraId="2914D0ED" w14:textId="3D0D28C1"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470</w:t>
                </w:r>
              </w:p>
            </w:tc>
            <w:tc>
              <w:tcPr>
                <w:tcW w:w="417" w:type="pct"/>
                <w:shd w:val="clear" w:color="auto" w:fill="FFFFFF" w:themeFill="background2"/>
                <w:tcMar>
                  <w:top w:w="60" w:type="dxa"/>
                  <w:left w:w="114" w:type="dxa"/>
                  <w:bottom w:w="60" w:type="dxa"/>
                  <w:right w:w="114" w:type="dxa"/>
                </w:tcMar>
                <w:vAlign w:val="center"/>
              </w:tcPr>
              <w:p w14:paraId="1E9FCC12" w14:textId="3CE147BC"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w:t>
                </w:r>
              </w:p>
            </w:tc>
            <w:tc>
              <w:tcPr>
                <w:tcW w:w="417" w:type="pct"/>
                <w:shd w:val="clear" w:color="auto" w:fill="FFFFFF" w:themeFill="background2"/>
                <w:vAlign w:val="center"/>
              </w:tcPr>
              <w:p w14:paraId="73649C50" w14:textId="3D45DAC0"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16</w:t>
                </w:r>
              </w:p>
            </w:tc>
            <w:tc>
              <w:tcPr>
                <w:tcW w:w="417" w:type="pct"/>
                <w:shd w:val="clear" w:color="auto" w:fill="FFFFFF" w:themeFill="background2"/>
                <w:vAlign w:val="center"/>
              </w:tcPr>
              <w:p w14:paraId="75CD97BB" w14:textId="12669EFD"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6B42C5B6" w14:textId="7777777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7BA7BCCB" w14:textId="7777777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6D02A451" w14:textId="43E1C92A" w:rsidR="001F5773" w:rsidRPr="00B80369" w:rsidRDefault="001F5773"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1.06%</w:t>
                </w:r>
              </w:p>
            </w:tc>
            <w:tc>
              <w:tcPr>
                <w:tcW w:w="417" w:type="pct"/>
                <w:shd w:val="clear" w:color="auto" w:fill="FFFFFF" w:themeFill="background2"/>
                <w:vAlign w:val="center"/>
              </w:tcPr>
              <w:p w14:paraId="196698E9" w14:textId="2ED386F9"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w:t>
                </w:r>
                <w:r w:rsidR="002752BC" w:rsidRPr="00B80369">
                  <w:rPr>
                    <w:rFonts w:eastAsia="Times New Roman" w:cs="Segoe UI"/>
                    <w:sz w:val="14"/>
                    <w:szCs w:val="14"/>
                    <w:lang w:val="en-GB" w:eastAsia="it-IT"/>
                  </w:rPr>
                  <w:t>.</w:t>
                </w:r>
                <w:r w:rsidRPr="00B80369">
                  <w:rPr>
                    <w:rFonts w:eastAsia="Times New Roman" w:cs="Segoe UI"/>
                    <w:sz w:val="14"/>
                    <w:szCs w:val="14"/>
                    <w:lang w:val="en-GB" w:eastAsia="it-IT"/>
                  </w:rPr>
                  <w:t>40%</w:t>
                </w:r>
              </w:p>
            </w:tc>
            <w:tc>
              <w:tcPr>
                <w:tcW w:w="417" w:type="pct"/>
                <w:shd w:val="clear" w:color="auto" w:fill="FFFFFF" w:themeFill="background2"/>
                <w:vAlign w:val="center"/>
              </w:tcPr>
              <w:p w14:paraId="1004E243" w14:textId="58D48EE5"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2668DFFC" w14:textId="7777777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3" w:type="pct"/>
                <w:shd w:val="clear" w:color="auto" w:fill="FFFFFF" w:themeFill="background2"/>
                <w:vAlign w:val="center"/>
              </w:tcPr>
              <w:p w14:paraId="20659081" w14:textId="77777777" w:rsidR="001F5773" w:rsidRPr="00B80369" w:rsidRDefault="001F5773"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1F5773" w:rsidRPr="00B80369" w14:paraId="63F31E98"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1395E0C9" w14:textId="77777777" w:rsidR="001F5773" w:rsidRPr="00B80369" w:rsidRDefault="001F5773"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C2.1</w:t>
                </w:r>
              </w:p>
            </w:tc>
            <w:tc>
              <w:tcPr>
                <w:tcW w:w="491" w:type="pct"/>
                <w:shd w:val="clear" w:color="auto" w:fill="FFFFFF" w:themeFill="background2"/>
                <w:tcMar>
                  <w:top w:w="60" w:type="dxa"/>
                  <w:left w:w="114" w:type="dxa"/>
                  <w:bottom w:w="60" w:type="dxa"/>
                  <w:right w:w="114" w:type="dxa"/>
                </w:tcMar>
                <w:vAlign w:val="center"/>
              </w:tcPr>
              <w:p w14:paraId="77DD4A9E" w14:textId="2989C60C"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167</w:t>
                </w:r>
              </w:p>
            </w:tc>
            <w:tc>
              <w:tcPr>
                <w:tcW w:w="417" w:type="pct"/>
                <w:shd w:val="clear" w:color="auto" w:fill="FFFFFF" w:themeFill="background2"/>
                <w:tcMar>
                  <w:top w:w="60" w:type="dxa"/>
                  <w:left w:w="114" w:type="dxa"/>
                  <w:bottom w:w="60" w:type="dxa"/>
                  <w:right w:w="114" w:type="dxa"/>
                </w:tcMar>
                <w:vAlign w:val="center"/>
              </w:tcPr>
              <w:p w14:paraId="7F849A29" w14:textId="257F908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24</w:t>
                </w:r>
              </w:p>
            </w:tc>
            <w:tc>
              <w:tcPr>
                <w:tcW w:w="417" w:type="pct"/>
                <w:shd w:val="clear" w:color="auto" w:fill="FFFFFF" w:themeFill="background2"/>
                <w:vAlign w:val="center"/>
              </w:tcPr>
              <w:p w14:paraId="1D1B2662" w14:textId="3BE5D3EA"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31</w:t>
                </w:r>
              </w:p>
            </w:tc>
            <w:tc>
              <w:tcPr>
                <w:tcW w:w="417" w:type="pct"/>
                <w:shd w:val="clear" w:color="auto" w:fill="FFFFFF" w:themeFill="background2"/>
                <w:vAlign w:val="center"/>
              </w:tcPr>
              <w:p w14:paraId="359C5173" w14:textId="05EE0DBB"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48ED6612" w14:textId="7777777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56718A58" w14:textId="7777777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5CD52896" w14:textId="47EF1D0F" w:rsidR="001F5773" w:rsidRPr="00B80369" w:rsidRDefault="001F5773"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14.37%</w:t>
                </w:r>
              </w:p>
            </w:tc>
            <w:tc>
              <w:tcPr>
                <w:tcW w:w="417" w:type="pct"/>
                <w:shd w:val="clear" w:color="auto" w:fill="FFFFFF" w:themeFill="background2"/>
                <w:vAlign w:val="center"/>
              </w:tcPr>
              <w:p w14:paraId="7882DB6E" w14:textId="5325D498"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18</w:t>
                </w:r>
                <w:r w:rsidR="002752BC" w:rsidRPr="00B80369">
                  <w:rPr>
                    <w:rFonts w:eastAsia="Times New Roman" w:cs="Segoe UI"/>
                    <w:sz w:val="14"/>
                    <w:szCs w:val="14"/>
                    <w:lang w:val="en-GB" w:eastAsia="it-IT"/>
                  </w:rPr>
                  <w:t>.</w:t>
                </w:r>
                <w:r w:rsidRPr="00B80369">
                  <w:rPr>
                    <w:rFonts w:eastAsia="Times New Roman" w:cs="Segoe UI"/>
                    <w:sz w:val="14"/>
                    <w:szCs w:val="14"/>
                    <w:lang w:val="en-GB" w:eastAsia="it-IT"/>
                  </w:rPr>
                  <w:t>56%</w:t>
                </w:r>
              </w:p>
            </w:tc>
            <w:tc>
              <w:tcPr>
                <w:tcW w:w="417" w:type="pct"/>
                <w:shd w:val="clear" w:color="auto" w:fill="FFFFFF" w:themeFill="background2"/>
                <w:vAlign w:val="center"/>
              </w:tcPr>
              <w:p w14:paraId="4F28FC1A" w14:textId="6D7AD5B5"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725C5612" w14:textId="7777777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3" w:type="pct"/>
                <w:shd w:val="clear" w:color="auto" w:fill="FFFFFF" w:themeFill="background2"/>
                <w:vAlign w:val="center"/>
              </w:tcPr>
              <w:p w14:paraId="5B5EEE91" w14:textId="77777777" w:rsidR="001F5773" w:rsidRPr="00B80369" w:rsidRDefault="001F5773"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1F5773" w:rsidRPr="00B80369" w14:paraId="10A979C9" w14:textId="77777777" w:rsidTr="00AC7D4E">
            <w:trPr>
              <w:trHeight w:val="227"/>
            </w:trPr>
            <w:tc>
              <w:tcPr>
                <w:tcW w:w="343" w:type="pct"/>
                <w:shd w:val="clear" w:color="auto" w:fill="FFFFFF" w:themeFill="background2"/>
                <w:tcMar>
                  <w:top w:w="60" w:type="dxa"/>
                  <w:left w:w="114" w:type="dxa"/>
                  <w:bottom w:w="60" w:type="dxa"/>
                  <w:right w:w="114" w:type="dxa"/>
                </w:tcMar>
                <w:vAlign w:val="center"/>
              </w:tcPr>
              <w:p w14:paraId="00E998F8" w14:textId="77777777" w:rsidR="001F5773" w:rsidRPr="00B80369" w:rsidRDefault="001F5773" w:rsidP="00B80369">
                <w:pPr>
                  <w:spacing w:before="0" w:line="240" w:lineRule="auto"/>
                  <w:jc w:val="center"/>
                  <w:rPr>
                    <w:rFonts w:cs="Segoe UI"/>
                    <w:b/>
                    <w:bCs/>
                    <w:sz w:val="14"/>
                    <w:szCs w:val="14"/>
                    <w:lang w:eastAsia="it-IT"/>
                  </w:rPr>
                </w:pPr>
                <w:r w:rsidRPr="00B80369">
                  <w:rPr>
                    <w:rFonts w:cs="Segoe UI"/>
                    <w:b/>
                    <w:bCs/>
                    <w:sz w:val="14"/>
                    <w:szCs w:val="14"/>
                    <w:lang w:eastAsia="it-IT"/>
                  </w:rPr>
                  <w:t>TOTAL</w:t>
                </w:r>
              </w:p>
            </w:tc>
            <w:tc>
              <w:tcPr>
                <w:tcW w:w="491" w:type="pct"/>
                <w:shd w:val="clear" w:color="auto" w:fill="FFFFFF" w:themeFill="background2"/>
                <w:tcMar>
                  <w:top w:w="60" w:type="dxa"/>
                  <w:left w:w="114" w:type="dxa"/>
                  <w:bottom w:w="60" w:type="dxa"/>
                  <w:right w:w="114" w:type="dxa"/>
                </w:tcMar>
                <w:vAlign w:val="center"/>
              </w:tcPr>
              <w:p w14:paraId="1C9E1D37" w14:textId="69AE378D"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b/>
                    <w:bCs/>
                    <w:sz w:val="14"/>
                    <w:szCs w:val="14"/>
                    <w:lang w:val="en-GB" w:eastAsia="it-IT"/>
                  </w:rPr>
                  <w:t>16</w:t>
                </w:r>
                <w:r w:rsidR="002D297D" w:rsidRPr="00B80369">
                  <w:rPr>
                    <w:rFonts w:eastAsia="Times New Roman" w:cs="Segoe UI"/>
                    <w:b/>
                    <w:bCs/>
                    <w:sz w:val="14"/>
                    <w:szCs w:val="14"/>
                    <w:lang w:val="en-GB" w:eastAsia="it-IT"/>
                  </w:rPr>
                  <w:t>,</w:t>
                </w:r>
                <w:r w:rsidRPr="00B80369">
                  <w:rPr>
                    <w:rFonts w:eastAsia="Times New Roman" w:cs="Segoe UI"/>
                    <w:b/>
                    <w:bCs/>
                    <w:sz w:val="14"/>
                    <w:szCs w:val="14"/>
                    <w:lang w:val="en-GB" w:eastAsia="it-IT"/>
                  </w:rPr>
                  <w:t>283</w:t>
                </w:r>
              </w:p>
            </w:tc>
            <w:tc>
              <w:tcPr>
                <w:tcW w:w="417" w:type="pct"/>
                <w:shd w:val="clear" w:color="auto" w:fill="FFFFFF" w:themeFill="background2"/>
                <w:tcMar>
                  <w:top w:w="60" w:type="dxa"/>
                  <w:left w:w="114" w:type="dxa"/>
                  <w:bottom w:w="60" w:type="dxa"/>
                  <w:right w:w="114" w:type="dxa"/>
                </w:tcMar>
                <w:vAlign w:val="center"/>
              </w:tcPr>
              <w:p w14:paraId="78D38685" w14:textId="35339854"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b/>
                    <w:bCs/>
                    <w:sz w:val="14"/>
                    <w:szCs w:val="14"/>
                    <w:lang w:val="en-GB" w:eastAsia="it-IT"/>
                  </w:rPr>
                  <w:t>69</w:t>
                </w:r>
              </w:p>
            </w:tc>
            <w:tc>
              <w:tcPr>
                <w:tcW w:w="417" w:type="pct"/>
                <w:shd w:val="clear" w:color="auto" w:fill="FFFFFF" w:themeFill="background2"/>
                <w:vAlign w:val="center"/>
              </w:tcPr>
              <w:p w14:paraId="65DC82DB" w14:textId="7AFF7B84" w:rsidR="001F5773" w:rsidRPr="00B80369" w:rsidRDefault="001F5773"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177</w:t>
                </w:r>
              </w:p>
            </w:tc>
            <w:tc>
              <w:tcPr>
                <w:tcW w:w="417" w:type="pct"/>
                <w:shd w:val="clear" w:color="auto" w:fill="FFFFFF" w:themeFill="background2"/>
                <w:vAlign w:val="center"/>
              </w:tcPr>
              <w:p w14:paraId="5794E865" w14:textId="18916CCB" w:rsidR="001F5773" w:rsidRPr="00B80369" w:rsidRDefault="001F5773"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c>
              <w:tcPr>
                <w:tcW w:w="417" w:type="pct"/>
                <w:shd w:val="clear" w:color="auto" w:fill="FFFFFF" w:themeFill="background2"/>
                <w:vAlign w:val="center"/>
              </w:tcPr>
              <w:p w14:paraId="06A4468F" w14:textId="77777777" w:rsidR="001F5773" w:rsidRPr="00B80369" w:rsidRDefault="001F5773"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c>
              <w:tcPr>
                <w:tcW w:w="417" w:type="pct"/>
                <w:shd w:val="clear" w:color="auto" w:fill="FFFFFF" w:themeFill="background2"/>
                <w:vAlign w:val="center"/>
              </w:tcPr>
              <w:p w14:paraId="67338396" w14:textId="77777777" w:rsidR="001F5773" w:rsidRPr="00B80369" w:rsidRDefault="001F5773"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3E4BEEB4" w14:textId="547C1687" w:rsidR="001F5773" w:rsidRPr="00B80369" w:rsidRDefault="001F5773"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0.42%</w:t>
                </w:r>
              </w:p>
            </w:tc>
            <w:tc>
              <w:tcPr>
                <w:tcW w:w="417" w:type="pct"/>
                <w:shd w:val="clear" w:color="auto" w:fill="FFFFFF" w:themeFill="background2"/>
                <w:vAlign w:val="center"/>
              </w:tcPr>
              <w:p w14:paraId="021147BC" w14:textId="26D29772" w:rsidR="001F5773" w:rsidRPr="00B80369" w:rsidRDefault="001F5773"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1</w:t>
                </w:r>
                <w:r w:rsidR="002752BC" w:rsidRPr="00B80369">
                  <w:rPr>
                    <w:rFonts w:eastAsia="Times New Roman" w:cs="Segoe UI"/>
                    <w:b/>
                    <w:bCs/>
                    <w:sz w:val="14"/>
                    <w:szCs w:val="14"/>
                    <w:lang w:val="en-GB" w:eastAsia="it-IT"/>
                  </w:rPr>
                  <w:t>.</w:t>
                </w:r>
                <w:r w:rsidRPr="00B80369">
                  <w:rPr>
                    <w:rFonts w:eastAsia="Times New Roman" w:cs="Segoe UI"/>
                    <w:b/>
                    <w:bCs/>
                    <w:sz w:val="14"/>
                    <w:szCs w:val="14"/>
                    <w:lang w:val="en-GB" w:eastAsia="it-IT"/>
                  </w:rPr>
                  <w:t>09%</w:t>
                </w:r>
              </w:p>
            </w:tc>
            <w:tc>
              <w:tcPr>
                <w:tcW w:w="417" w:type="pct"/>
                <w:shd w:val="clear" w:color="auto" w:fill="FFFFFF" w:themeFill="background2"/>
                <w:vAlign w:val="center"/>
              </w:tcPr>
              <w:p w14:paraId="6BF9B0B1" w14:textId="03F6F43C" w:rsidR="001F5773" w:rsidRPr="00B80369" w:rsidRDefault="001F5773"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c>
              <w:tcPr>
                <w:tcW w:w="417" w:type="pct"/>
                <w:shd w:val="clear" w:color="auto" w:fill="FFFFFF" w:themeFill="background2"/>
                <w:vAlign w:val="center"/>
              </w:tcPr>
              <w:p w14:paraId="64FC5563" w14:textId="77777777" w:rsidR="001F5773" w:rsidRPr="00B80369" w:rsidRDefault="001F5773"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c>
              <w:tcPr>
                <w:tcW w:w="413" w:type="pct"/>
                <w:shd w:val="clear" w:color="auto" w:fill="FFFFFF" w:themeFill="background2"/>
                <w:vAlign w:val="center"/>
              </w:tcPr>
              <w:p w14:paraId="3F6494B3" w14:textId="77777777" w:rsidR="001F5773" w:rsidRPr="00B80369" w:rsidRDefault="001F5773"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bl>
        <w:p w14:paraId="2DA29FBA" w14:textId="77777777" w:rsidR="004101BF" w:rsidRDefault="004101BF" w:rsidP="004101BF">
          <w:pPr>
            <w:rPr>
              <w:rFonts w:cs="Segoe UI"/>
              <w:lang w:val="en-GB"/>
            </w:rPr>
          </w:pPr>
        </w:p>
        <w:p w14:paraId="20606109" w14:textId="5FB54F11" w:rsidR="00022C82" w:rsidRPr="00022C82" w:rsidRDefault="00022C82" w:rsidP="00022C82">
          <w:pPr>
            <w:pStyle w:val="Didascalia"/>
            <w:rPr>
              <w:rFonts w:ascii="Segoe UI" w:hAnsi="Segoe UI" w:cs="Segoe UI"/>
              <w:i/>
              <w:sz w:val="14"/>
              <w:lang w:val="en-GB"/>
            </w:rPr>
          </w:pPr>
          <w:bookmarkStart w:id="153" w:name="_Toc166675685"/>
          <w:bookmarkStart w:id="154" w:name="_Toc167131812"/>
          <w:r w:rsidRPr="006A286E">
            <w:rPr>
              <w:rFonts w:ascii="Segoe UI" w:hAnsi="Segoe UI" w:cs="Segoe UI"/>
              <w:i/>
              <w:sz w:val="14"/>
              <w:lang w:val="en-GB"/>
            </w:rPr>
            <w:t xml:space="preserve">Exhibit </w:t>
          </w:r>
          <w:r w:rsidRPr="006A286E">
            <w:rPr>
              <w:rFonts w:ascii="Segoe UI" w:hAnsi="Segoe UI" w:cs="Segoe UI"/>
              <w:i/>
              <w:sz w:val="14"/>
              <w:lang w:val="en-GB"/>
            </w:rPr>
            <w:fldChar w:fldCharType="begin"/>
          </w:r>
          <w:r w:rsidRPr="006A286E">
            <w:rPr>
              <w:rFonts w:ascii="Segoe UI" w:hAnsi="Segoe UI" w:cs="Segoe UI"/>
              <w:i/>
              <w:sz w:val="14"/>
              <w:lang w:val="en-GB"/>
            </w:rPr>
            <w:instrText xml:space="preserve"> SEQ Exhibit \* ARABIC </w:instrText>
          </w:r>
          <w:r w:rsidRPr="006A286E">
            <w:rPr>
              <w:rFonts w:ascii="Segoe UI" w:hAnsi="Segoe UI" w:cs="Segoe UI"/>
              <w:i/>
              <w:sz w:val="14"/>
              <w:lang w:val="en-GB"/>
            </w:rPr>
            <w:fldChar w:fldCharType="separate"/>
          </w:r>
          <w:r w:rsidR="009857B6">
            <w:rPr>
              <w:rFonts w:ascii="Segoe UI" w:hAnsi="Segoe UI" w:cs="Segoe UI"/>
              <w:i/>
              <w:noProof/>
              <w:sz w:val="14"/>
              <w:lang w:val="en-GB"/>
            </w:rPr>
            <w:t>44</w:t>
          </w:r>
          <w:r w:rsidRPr="006A286E">
            <w:rPr>
              <w:rFonts w:ascii="Segoe UI" w:hAnsi="Segoe UI" w:cs="Segoe UI"/>
              <w:i/>
              <w:sz w:val="14"/>
              <w:lang w:val="en-GB"/>
            </w:rPr>
            <w:fldChar w:fldCharType="end"/>
          </w:r>
          <w:r w:rsidRPr="006A286E">
            <w:rPr>
              <w:rFonts w:ascii="Segoe UI" w:hAnsi="Segoe UI" w:cs="Segoe UI"/>
              <w:i/>
              <w:sz w:val="14"/>
              <w:lang w:val="en-GB"/>
            </w:rPr>
            <w:t>: Static pool as of 31</w:t>
          </w:r>
          <w:r w:rsidRPr="00A6159A">
            <w:rPr>
              <w:rFonts w:ascii="Segoe UI" w:hAnsi="Segoe UI" w:cs="Segoe UI"/>
              <w:i/>
              <w:sz w:val="14"/>
              <w:vertAlign w:val="superscript"/>
              <w:lang w:val="en-GB"/>
            </w:rPr>
            <w:t>st</w:t>
          </w:r>
          <w:r w:rsidRPr="006A286E">
            <w:rPr>
              <w:rFonts w:ascii="Segoe UI" w:hAnsi="Segoe UI" w:cs="Segoe UI"/>
              <w:i/>
              <w:sz w:val="14"/>
              <w:lang w:val="en-GB"/>
            </w:rPr>
            <w:t xml:space="preserve"> December 20</w:t>
          </w:r>
          <w:r>
            <w:rPr>
              <w:rFonts w:ascii="Segoe UI" w:hAnsi="Segoe UI" w:cs="Segoe UI"/>
              <w:i/>
              <w:sz w:val="14"/>
              <w:lang w:val="en-GB"/>
            </w:rPr>
            <w:t>22</w:t>
          </w:r>
          <w:bookmarkEnd w:id="153"/>
          <w:bookmarkEnd w:id="154"/>
        </w:p>
        <w:tbl>
          <w:tblPr>
            <w:tblW w:w="5000" w:type="pct"/>
            <w:tblBorders>
              <w:top w:val="single" w:sz="4" w:space="0" w:color="AFAFB4" w:themeColor="accent4"/>
              <w:bottom w:val="single" w:sz="4" w:space="0" w:color="AFAFB4" w:themeColor="accent4"/>
              <w:insideH w:val="single" w:sz="4" w:space="0" w:color="AFAFB4" w:themeColor="accent4"/>
            </w:tblBorders>
            <w:shd w:val="clear" w:color="auto" w:fill="FFFFFF" w:themeFill="background2"/>
            <w:tblCellMar>
              <w:left w:w="0" w:type="dxa"/>
              <w:right w:w="0" w:type="dxa"/>
            </w:tblCellMar>
            <w:tblLook w:val="0620" w:firstRow="1" w:lastRow="0" w:firstColumn="0" w:lastColumn="0" w:noHBand="1" w:noVBand="1"/>
            <w:tblDescription w:val="{&quot;Ott&quot;:{&quot;FirstRow&quot;:{&quot;BackgroundColor&quot;:{&quot;Key&quot;:&quot;Light2&quot;},&quot;Font&quot;:{&quot;Name&quot;:&quot;Source Sans Pro&quot;,&quot;Size&quot;:14.0,&quot;Bold&quot;:false,&quot;Italic&quot;:false,&quot;Color&quot;:{&quot;Key&quot;:&quot;Dark2&quot;}},&quot;ExcelCellFormatting&quot;:&quot;General&quot;,&quot;Alignment&quot;:{&quot;Horizontal&quot;:&quot;Left&quot;,&quot;Vertical&quot;:&quot;Bottom&quot;},&quot;Borders&quot;:{&quot;Vertical&quot;:{&quot;Visible&quot;:false},&quot;Left&quot;:{&quot;Visible&quot;:false},&quot;Top&quot;:{&quot;Visible&quot;:false},&quot;Right&quot;:{&quot;Visible&quot;:false},&quot;Bottom&quot;:{&quot;Color&quot;:{&quot;Key&quot;:&quot;Accent4&quot;},&quot;BorderWeight&quot;:&quot;Pt1_5&quot;,&quot;Type&quot;:&quot;Solid&quot;,&quot;Visible&quot;:true}}},&quot;FitRowHeightPp&quot;:true,&quot;ZeroMarginsWord&quot;:true,&quot;BackgroundColor&quot;:{&quot;Key&quot;:&quot;Light2&quot;},&quot;Font&quot;:{&quot;Name&quot;:&quot;Source Sans Pro&quot;,&quot;Size&quot;:11.0,&quot;Bold&quot;:false,&quot;Italic&quot;:false,&quot;Color&quot;:{&quot;Key&quot;:&quot;Dark2&quot;}},&quot;LineSpacing&quot;:{&quot;Rule&quot;:&quot;Single&quot;},&quot;Alignment&quot;:{&quot;Horizontal&quot;:&quot;Left&quot;,&quot;Vertical&quot;:&quot;Top&quot;},&quot;Margin&quot;:{&quot;Left&quot;:5.7,&quot;Top&quot;:3.0,&quot;Right&quot;:5.7,&quot;Bottom&quot;:3.0},&quot;Borders&quot;:{&quot;Vertical&quot;:{&quot;Visible&quot;:false},&quot;Horizontal&quot;:{&quot;Color&quot;:{&quot;Key&quot;:&quot;Accent4&quot;},&quot;BorderWeight&quot;:&quot;Pt0_5&quot;,&quot;Type&quot;:&quot;Solid&quot;,&quot;Visible&quot;:true}},&quot;ParagraphSpacing&quot;:{&quot;SpaceBefore&quot;:2.0,&quot;SpaceAfter&quot;:2.0},&quot;ExcelWrapText&quot;:true},&quot;Ccs&quot;:{&quot;DarkBlue&quot;:&quot;0, 20, 55&quot;,&quot;Turquoise&quot;:&quot;0, 164, 230&quot;,&quot;Red&quot;:&quot;214, 70, 65&quot;,&quot;LightGrey&quot;:&quot;174, 174, 180&quot;,&quot;BlueGrey&quot;:&quot;77, 91, 115&quot;,&quot;IceBlue&quot;:&quot;178, 184, 195&quot;,&quot;Grey&quot;:&quot;145, 147, 153&quot;,&quot;Background&quot;:&quot;0, 0, 0, 0&quot;,&quot;White&quot;:&quot;White&quot;,&quot;Accent1&quot;:&quot;1, 1, 1, 1&quot;,&quot;Accent2&quot;:&quot;1, 1, 1, 2&quot;,&quot;Accent3&quot;:&quot;1, 1, 1, 3&quot;,&quot;Accent4&quot;:&quot;1, 1, 1, 4&quot;,&quot;Accent5&quot;:&quot;1, 1, 1, 5&quot;,&quot;Accent6&quot;:&quot;1, 1, 1, 6&quot;,&quot;Dark1&quot;:&quot;1, 1, 1, 7&quot;,&quot;Dark2&quot;:&quot;1, 1, 1, 9&quot;,&quot;Light1&quot;:&quot;1, 1, 1, 8&quot;,&quot;Light2&quot;:&quot;1, 1, 1, 10&quot;},&quot;Cop&quot;:{&quot;FirstRow&quot;:true,&quot;LastRow&quot;:false,&quot;FirstColumn&quot;:false,&quot;LastColumn&quot;:false,&quot;BandedRows&quot;:false,&quot;BandedColumns&quot;:false},&quot;Aaf&quot;:false}"/>
          </w:tblPr>
          <w:tblGrid>
            <w:gridCol w:w="710"/>
            <w:gridCol w:w="1016"/>
            <w:gridCol w:w="863"/>
            <w:gridCol w:w="863"/>
            <w:gridCol w:w="863"/>
            <w:gridCol w:w="863"/>
            <w:gridCol w:w="863"/>
            <w:gridCol w:w="863"/>
            <w:gridCol w:w="863"/>
            <w:gridCol w:w="863"/>
            <w:gridCol w:w="863"/>
            <w:gridCol w:w="855"/>
          </w:tblGrid>
          <w:tr w:rsidR="00707524" w:rsidRPr="00B80369" w14:paraId="1566DF52" w14:textId="77777777" w:rsidTr="00AC7D4E">
            <w:trPr>
              <w:trHeight w:val="227"/>
              <w:tblHeader/>
            </w:trPr>
            <w:tc>
              <w:tcPr>
                <w:tcW w:w="343" w:type="pct"/>
                <w:vMerge w:val="restar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4826C5E9" w14:textId="77777777"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Rating</w:t>
                </w:r>
              </w:p>
            </w:tc>
            <w:tc>
              <w:tcPr>
                <w:tcW w:w="491"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128352A4" w14:textId="77777777"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Static pool</w:t>
                </w:r>
              </w:p>
            </w:tc>
            <w:tc>
              <w:tcPr>
                <w:tcW w:w="2085" w:type="pct"/>
                <w:gridSpan w:val="5"/>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53060CA2" w14:textId="766515BD"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Observed defaults by years since rating issuance</w:t>
                </w:r>
              </w:p>
            </w:tc>
            <w:tc>
              <w:tcPr>
                <w:tcW w:w="2081" w:type="pct"/>
                <w:gridSpan w:val="5"/>
                <w:tcBorders>
                  <w:top w:val="single" w:sz="12" w:space="0" w:color="AFAFB4" w:themeColor="accent4"/>
                </w:tcBorders>
                <w:shd w:val="clear" w:color="auto" w:fill="FFFFFF" w:themeFill="background2"/>
                <w:vAlign w:val="center"/>
              </w:tcPr>
              <w:p w14:paraId="2A1F7F64" w14:textId="77777777" w:rsidR="00707524" w:rsidRPr="00B80369" w:rsidRDefault="00707524" w:rsidP="00B80369">
                <w:pPr>
                  <w:spacing w:before="0" w:line="240" w:lineRule="auto"/>
                  <w:jc w:val="center"/>
                  <w:rPr>
                    <w:b/>
                    <w:color w:val="33A1AB" w:themeColor="accent2"/>
                    <w:sz w:val="14"/>
                    <w:szCs w:val="14"/>
                  </w:rPr>
                </w:pPr>
                <w:r w:rsidRPr="00B80369">
                  <w:rPr>
                    <w:b/>
                    <w:color w:val="33A1AB" w:themeColor="accent2"/>
                    <w:sz w:val="14"/>
                    <w:szCs w:val="14"/>
                  </w:rPr>
                  <w:t>Percentage of cumulative default rates</w:t>
                </w:r>
              </w:p>
            </w:tc>
          </w:tr>
          <w:tr w:rsidR="00022C82" w:rsidRPr="00B80369" w14:paraId="4EA49EE4" w14:textId="77777777" w:rsidTr="00AC7D4E">
            <w:trPr>
              <w:trHeight w:val="227"/>
              <w:tblHeader/>
            </w:trPr>
            <w:tc>
              <w:tcPr>
                <w:tcW w:w="343" w:type="pct"/>
                <w:vMerge/>
                <w:shd w:val="clear" w:color="auto" w:fill="FFFFFF" w:themeFill="background2"/>
                <w:tcMar>
                  <w:top w:w="60" w:type="dxa"/>
                  <w:left w:w="114" w:type="dxa"/>
                  <w:bottom w:w="60" w:type="dxa"/>
                  <w:right w:w="114" w:type="dxa"/>
                </w:tcMar>
                <w:vAlign w:val="center"/>
              </w:tcPr>
              <w:p w14:paraId="269204EA" w14:textId="77777777" w:rsidR="00022C82" w:rsidRPr="00B80369" w:rsidRDefault="00022C82" w:rsidP="00B80369">
                <w:pPr>
                  <w:spacing w:before="0" w:line="240" w:lineRule="auto"/>
                  <w:jc w:val="center"/>
                  <w:rPr>
                    <w:b/>
                    <w:color w:val="33A1AB" w:themeColor="accent2"/>
                    <w:sz w:val="14"/>
                    <w:szCs w:val="14"/>
                  </w:rPr>
                </w:pPr>
              </w:p>
            </w:tc>
            <w:tc>
              <w:tcPr>
                <w:tcW w:w="491"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4AD33A5B" w14:textId="5F8BBAA2" w:rsidR="00022C82" w:rsidRPr="00B80369" w:rsidRDefault="00022C82" w:rsidP="00B80369">
                <w:pPr>
                  <w:spacing w:before="0" w:line="240" w:lineRule="auto"/>
                  <w:jc w:val="center"/>
                  <w:rPr>
                    <w:b/>
                    <w:color w:val="33A1AB" w:themeColor="accent2"/>
                    <w:sz w:val="14"/>
                    <w:szCs w:val="14"/>
                  </w:rPr>
                </w:pPr>
                <w:r w:rsidRPr="00B80369">
                  <w:rPr>
                    <w:b/>
                    <w:color w:val="33A1AB" w:themeColor="accent2"/>
                    <w:sz w:val="14"/>
                    <w:szCs w:val="14"/>
                  </w:rPr>
                  <w:t>31 Dec 2022</w:t>
                </w:r>
              </w:p>
            </w:tc>
            <w:tc>
              <w:tcPr>
                <w:tcW w:w="417"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24729B7D" w14:textId="77777777" w:rsidR="00022C82" w:rsidRPr="00B80369" w:rsidRDefault="00022C82" w:rsidP="00B80369">
                <w:pPr>
                  <w:spacing w:before="0" w:line="240" w:lineRule="auto"/>
                  <w:jc w:val="center"/>
                  <w:rPr>
                    <w:b/>
                    <w:color w:val="33A1AB" w:themeColor="accent2"/>
                    <w:sz w:val="14"/>
                    <w:szCs w:val="14"/>
                  </w:rPr>
                </w:pPr>
                <w:r w:rsidRPr="00B80369">
                  <w:rPr>
                    <w:b/>
                    <w:color w:val="33A1AB" w:themeColor="accent2"/>
                    <w:sz w:val="14"/>
                    <w:szCs w:val="14"/>
                  </w:rPr>
                  <w:t>1-Y DR</w:t>
                </w:r>
              </w:p>
            </w:tc>
            <w:tc>
              <w:tcPr>
                <w:tcW w:w="417" w:type="pct"/>
                <w:tcBorders>
                  <w:top w:val="single" w:sz="12" w:space="0" w:color="AFAFB4" w:themeColor="accent4"/>
                </w:tcBorders>
                <w:shd w:val="clear" w:color="auto" w:fill="FFFFFF" w:themeFill="background2"/>
                <w:vAlign w:val="center"/>
              </w:tcPr>
              <w:p w14:paraId="5BC3C980" w14:textId="77777777" w:rsidR="00022C82" w:rsidRPr="00B80369" w:rsidRDefault="00022C82" w:rsidP="00B80369">
                <w:pPr>
                  <w:spacing w:before="0" w:line="240" w:lineRule="auto"/>
                  <w:jc w:val="center"/>
                  <w:rPr>
                    <w:b/>
                    <w:color w:val="33A1AB" w:themeColor="accent2"/>
                    <w:sz w:val="14"/>
                    <w:szCs w:val="14"/>
                  </w:rPr>
                </w:pPr>
                <w:r w:rsidRPr="00B80369">
                  <w:rPr>
                    <w:b/>
                    <w:color w:val="33A1AB" w:themeColor="accent2"/>
                    <w:sz w:val="14"/>
                    <w:szCs w:val="14"/>
                  </w:rPr>
                  <w:t>2-Y DR</w:t>
                </w:r>
              </w:p>
            </w:tc>
            <w:tc>
              <w:tcPr>
                <w:tcW w:w="417" w:type="pct"/>
                <w:tcBorders>
                  <w:top w:val="single" w:sz="12" w:space="0" w:color="AFAFB4" w:themeColor="accent4"/>
                </w:tcBorders>
                <w:shd w:val="clear" w:color="auto" w:fill="FFFFFF" w:themeFill="background2"/>
                <w:vAlign w:val="center"/>
              </w:tcPr>
              <w:p w14:paraId="01160B18" w14:textId="77777777" w:rsidR="00022C82" w:rsidRPr="00B80369" w:rsidRDefault="00022C82" w:rsidP="00B80369">
                <w:pPr>
                  <w:spacing w:before="0" w:line="240" w:lineRule="auto"/>
                  <w:jc w:val="center"/>
                  <w:rPr>
                    <w:b/>
                    <w:color w:val="33A1AB" w:themeColor="accent2"/>
                    <w:sz w:val="14"/>
                    <w:szCs w:val="14"/>
                  </w:rPr>
                </w:pPr>
                <w:r w:rsidRPr="00B80369">
                  <w:rPr>
                    <w:b/>
                    <w:color w:val="33A1AB" w:themeColor="accent2"/>
                    <w:sz w:val="14"/>
                    <w:szCs w:val="14"/>
                  </w:rPr>
                  <w:t>3-Y DR</w:t>
                </w:r>
              </w:p>
            </w:tc>
            <w:tc>
              <w:tcPr>
                <w:tcW w:w="417" w:type="pct"/>
                <w:tcBorders>
                  <w:top w:val="single" w:sz="12" w:space="0" w:color="AFAFB4" w:themeColor="accent4"/>
                </w:tcBorders>
                <w:shd w:val="clear" w:color="auto" w:fill="FFFFFF" w:themeFill="background2"/>
                <w:vAlign w:val="center"/>
              </w:tcPr>
              <w:p w14:paraId="45B45828" w14:textId="77777777" w:rsidR="00022C82" w:rsidRPr="00B80369" w:rsidRDefault="00022C82" w:rsidP="00B80369">
                <w:pPr>
                  <w:spacing w:before="0" w:line="240" w:lineRule="auto"/>
                  <w:jc w:val="center"/>
                  <w:rPr>
                    <w:b/>
                    <w:color w:val="33A1AB" w:themeColor="accent2"/>
                    <w:sz w:val="14"/>
                    <w:szCs w:val="14"/>
                  </w:rPr>
                </w:pPr>
                <w:r w:rsidRPr="00B80369">
                  <w:rPr>
                    <w:b/>
                    <w:color w:val="33A1AB" w:themeColor="accent2"/>
                    <w:sz w:val="14"/>
                    <w:szCs w:val="14"/>
                  </w:rPr>
                  <w:t>4-Y DR</w:t>
                </w:r>
              </w:p>
            </w:tc>
            <w:tc>
              <w:tcPr>
                <w:tcW w:w="417" w:type="pct"/>
                <w:tcBorders>
                  <w:top w:val="single" w:sz="12" w:space="0" w:color="AFAFB4" w:themeColor="accent4"/>
                </w:tcBorders>
                <w:shd w:val="clear" w:color="auto" w:fill="FFFFFF" w:themeFill="background2"/>
                <w:vAlign w:val="center"/>
              </w:tcPr>
              <w:p w14:paraId="32A6D877" w14:textId="77777777" w:rsidR="00022C82" w:rsidRPr="00B80369" w:rsidRDefault="00022C82" w:rsidP="00B80369">
                <w:pPr>
                  <w:spacing w:before="0" w:line="240" w:lineRule="auto"/>
                  <w:jc w:val="center"/>
                  <w:rPr>
                    <w:b/>
                    <w:color w:val="33A1AB" w:themeColor="accent2"/>
                    <w:sz w:val="14"/>
                    <w:szCs w:val="14"/>
                  </w:rPr>
                </w:pPr>
                <w:r w:rsidRPr="00B80369">
                  <w:rPr>
                    <w:b/>
                    <w:color w:val="33A1AB" w:themeColor="accent2"/>
                    <w:sz w:val="14"/>
                    <w:szCs w:val="14"/>
                  </w:rPr>
                  <w:t>5-Y DR</w:t>
                </w:r>
              </w:p>
            </w:tc>
            <w:tc>
              <w:tcPr>
                <w:tcW w:w="417" w:type="pct"/>
                <w:tcBorders>
                  <w:top w:val="single" w:sz="12" w:space="0" w:color="AFAFB4" w:themeColor="accent4"/>
                </w:tcBorders>
                <w:shd w:val="clear" w:color="auto" w:fill="FFFFFF" w:themeFill="background2"/>
                <w:vAlign w:val="center"/>
              </w:tcPr>
              <w:p w14:paraId="45CB1BAE" w14:textId="77777777" w:rsidR="00022C82" w:rsidRPr="00B80369" w:rsidRDefault="00022C82" w:rsidP="00B80369">
                <w:pPr>
                  <w:spacing w:before="0" w:line="240" w:lineRule="auto"/>
                  <w:jc w:val="center"/>
                  <w:rPr>
                    <w:b/>
                    <w:color w:val="33A1AB" w:themeColor="accent2"/>
                    <w:sz w:val="14"/>
                    <w:szCs w:val="14"/>
                  </w:rPr>
                </w:pPr>
                <w:r w:rsidRPr="00B80369">
                  <w:rPr>
                    <w:b/>
                    <w:color w:val="33A1AB" w:themeColor="accent2"/>
                    <w:sz w:val="14"/>
                    <w:szCs w:val="14"/>
                  </w:rPr>
                  <w:t>1-Y DR</w:t>
                </w:r>
              </w:p>
            </w:tc>
            <w:tc>
              <w:tcPr>
                <w:tcW w:w="417" w:type="pct"/>
                <w:tcBorders>
                  <w:top w:val="single" w:sz="12" w:space="0" w:color="AFAFB4" w:themeColor="accent4"/>
                </w:tcBorders>
                <w:shd w:val="clear" w:color="auto" w:fill="FFFFFF" w:themeFill="background2"/>
                <w:vAlign w:val="center"/>
              </w:tcPr>
              <w:p w14:paraId="1BF1C2DF" w14:textId="77777777" w:rsidR="00022C82" w:rsidRPr="00B80369" w:rsidRDefault="00022C82" w:rsidP="00B80369">
                <w:pPr>
                  <w:spacing w:before="0" w:line="240" w:lineRule="auto"/>
                  <w:jc w:val="center"/>
                  <w:rPr>
                    <w:b/>
                    <w:color w:val="33A1AB" w:themeColor="accent2"/>
                    <w:sz w:val="14"/>
                    <w:szCs w:val="14"/>
                  </w:rPr>
                </w:pPr>
                <w:r w:rsidRPr="00B80369">
                  <w:rPr>
                    <w:b/>
                    <w:color w:val="33A1AB" w:themeColor="accent2"/>
                    <w:sz w:val="14"/>
                    <w:szCs w:val="14"/>
                  </w:rPr>
                  <w:t>2-Y DR</w:t>
                </w:r>
              </w:p>
            </w:tc>
            <w:tc>
              <w:tcPr>
                <w:tcW w:w="417" w:type="pct"/>
                <w:tcBorders>
                  <w:top w:val="single" w:sz="12" w:space="0" w:color="AFAFB4" w:themeColor="accent4"/>
                </w:tcBorders>
                <w:shd w:val="clear" w:color="auto" w:fill="FFFFFF" w:themeFill="background2"/>
                <w:vAlign w:val="center"/>
              </w:tcPr>
              <w:p w14:paraId="24CDA4A1" w14:textId="77777777" w:rsidR="00022C82" w:rsidRPr="00B80369" w:rsidRDefault="00022C82" w:rsidP="00B80369">
                <w:pPr>
                  <w:spacing w:before="0" w:line="240" w:lineRule="auto"/>
                  <w:jc w:val="center"/>
                  <w:rPr>
                    <w:b/>
                    <w:color w:val="33A1AB" w:themeColor="accent2"/>
                    <w:sz w:val="14"/>
                    <w:szCs w:val="14"/>
                  </w:rPr>
                </w:pPr>
                <w:r w:rsidRPr="00B80369">
                  <w:rPr>
                    <w:b/>
                    <w:color w:val="33A1AB" w:themeColor="accent2"/>
                    <w:sz w:val="14"/>
                    <w:szCs w:val="14"/>
                  </w:rPr>
                  <w:t>3-Y DR</w:t>
                </w:r>
              </w:p>
            </w:tc>
            <w:tc>
              <w:tcPr>
                <w:tcW w:w="417" w:type="pct"/>
                <w:tcBorders>
                  <w:top w:val="single" w:sz="12" w:space="0" w:color="AFAFB4" w:themeColor="accent4"/>
                </w:tcBorders>
                <w:shd w:val="clear" w:color="auto" w:fill="FFFFFF" w:themeFill="background2"/>
                <w:vAlign w:val="center"/>
              </w:tcPr>
              <w:p w14:paraId="00317023" w14:textId="77777777" w:rsidR="00022C82" w:rsidRPr="00B80369" w:rsidRDefault="00022C82" w:rsidP="00B80369">
                <w:pPr>
                  <w:spacing w:before="0" w:line="240" w:lineRule="auto"/>
                  <w:jc w:val="center"/>
                  <w:rPr>
                    <w:b/>
                    <w:color w:val="33A1AB" w:themeColor="accent2"/>
                    <w:sz w:val="14"/>
                    <w:szCs w:val="14"/>
                  </w:rPr>
                </w:pPr>
                <w:r w:rsidRPr="00B80369">
                  <w:rPr>
                    <w:b/>
                    <w:color w:val="33A1AB" w:themeColor="accent2"/>
                    <w:sz w:val="14"/>
                    <w:szCs w:val="14"/>
                  </w:rPr>
                  <w:t>4-Y DR</w:t>
                </w:r>
              </w:p>
            </w:tc>
            <w:tc>
              <w:tcPr>
                <w:tcW w:w="413" w:type="pct"/>
                <w:tcBorders>
                  <w:top w:val="single" w:sz="12" w:space="0" w:color="AFAFB4" w:themeColor="accent4"/>
                </w:tcBorders>
                <w:shd w:val="clear" w:color="auto" w:fill="FFFFFF" w:themeFill="background2"/>
                <w:vAlign w:val="center"/>
              </w:tcPr>
              <w:p w14:paraId="03A7924F" w14:textId="77777777" w:rsidR="00022C82" w:rsidRPr="00B80369" w:rsidRDefault="00022C82" w:rsidP="00B80369">
                <w:pPr>
                  <w:spacing w:before="0" w:line="240" w:lineRule="auto"/>
                  <w:jc w:val="center"/>
                  <w:rPr>
                    <w:b/>
                    <w:color w:val="33A1AB" w:themeColor="accent2"/>
                    <w:sz w:val="14"/>
                    <w:szCs w:val="14"/>
                  </w:rPr>
                </w:pPr>
                <w:r w:rsidRPr="00B80369">
                  <w:rPr>
                    <w:b/>
                    <w:color w:val="33A1AB" w:themeColor="accent2"/>
                    <w:sz w:val="14"/>
                    <w:szCs w:val="14"/>
                  </w:rPr>
                  <w:t>5-Y DR</w:t>
                </w:r>
              </w:p>
            </w:tc>
          </w:tr>
          <w:tr w:rsidR="00CD6D20" w:rsidRPr="00B80369" w14:paraId="63C0AD4A"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1C706FE7" w14:textId="77777777" w:rsidR="00CD6D20" w:rsidRPr="00B80369" w:rsidRDefault="00CD6D20"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A1.1</w:t>
                </w:r>
              </w:p>
            </w:tc>
            <w:tc>
              <w:tcPr>
                <w:tcW w:w="491" w:type="pct"/>
                <w:shd w:val="clear" w:color="auto" w:fill="FFFFFF" w:themeFill="background2"/>
                <w:tcMar>
                  <w:top w:w="60" w:type="dxa"/>
                  <w:left w:w="114" w:type="dxa"/>
                  <w:bottom w:w="60" w:type="dxa"/>
                  <w:right w:w="114" w:type="dxa"/>
                </w:tcMar>
                <w:vAlign w:val="center"/>
              </w:tcPr>
              <w:p w14:paraId="2081A0CD" w14:textId="692A9450"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8</w:t>
                </w:r>
              </w:p>
            </w:tc>
            <w:tc>
              <w:tcPr>
                <w:tcW w:w="417" w:type="pct"/>
                <w:shd w:val="clear" w:color="auto" w:fill="FFFFFF" w:themeFill="background2"/>
                <w:tcMar>
                  <w:top w:w="60" w:type="dxa"/>
                  <w:left w:w="114" w:type="dxa"/>
                  <w:bottom w:w="60" w:type="dxa"/>
                  <w:right w:w="114" w:type="dxa"/>
                </w:tcMar>
                <w:vAlign w:val="center"/>
              </w:tcPr>
              <w:p w14:paraId="28028E93" w14:textId="2BC504C3"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0524566D" w14:textId="2F1C0092"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5E144FD7"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4C47C671"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7894C6FF"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7EA31EB1" w14:textId="5BBD6491"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707524" w:rsidRPr="00B80369">
                  <w:rPr>
                    <w:rFonts w:eastAsia="Times New Roman" w:cs="Segoe UI"/>
                    <w:sz w:val="14"/>
                    <w:szCs w:val="14"/>
                    <w:lang w:val="en-GB" w:eastAsia="it-IT"/>
                  </w:rPr>
                  <w:t>.</w:t>
                </w:r>
                <w:r w:rsidRPr="00B80369">
                  <w:rPr>
                    <w:rFonts w:eastAsia="Times New Roman" w:cs="Segoe UI"/>
                    <w:sz w:val="14"/>
                    <w:szCs w:val="14"/>
                    <w:lang w:val="en-GB" w:eastAsia="it-IT"/>
                  </w:rPr>
                  <w:t>00%</w:t>
                </w:r>
              </w:p>
            </w:tc>
            <w:tc>
              <w:tcPr>
                <w:tcW w:w="417" w:type="pct"/>
                <w:shd w:val="clear" w:color="auto" w:fill="FFFFFF" w:themeFill="background2"/>
                <w:vAlign w:val="center"/>
              </w:tcPr>
              <w:p w14:paraId="52DD6875" w14:textId="59FBCB0C" w:rsidR="00CD6D20" w:rsidRPr="00B80369" w:rsidRDefault="002811B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12FD2999"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153184F0"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3" w:type="pct"/>
                <w:shd w:val="clear" w:color="auto" w:fill="FFFFFF" w:themeFill="background2"/>
                <w:vAlign w:val="center"/>
              </w:tcPr>
              <w:p w14:paraId="27C5A110" w14:textId="77777777" w:rsidR="00CD6D20" w:rsidRPr="00B80369" w:rsidRDefault="00CD6D20"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CD6D20" w:rsidRPr="00B80369" w14:paraId="31D7ABFA"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71C4DED9" w14:textId="77777777" w:rsidR="00CD6D20" w:rsidRPr="00B80369" w:rsidRDefault="00CD6D20"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A1.2</w:t>
                </w:r>
              </w:p>
            </w:tc>
            <w:tc>
              <w:tcPr>
                <w:tcW w:w="491" w:type="pct"/>
                <w:shd w:val="clear" w:color="auto" w:fill="FFFFFF" w:themeFill="background2"/>
                <w:tcMar>
                  <w:top w:w="60" w:type="dxa"/>
                  <w:left w:w="114" w:type="dxa"/>
                  <w:bottom w:w="60" w:type="dxa"/>
                  <w:right w:w="114" w:type="dxa"/>
                </w:tcMar>
                <w:vAlign w:val="center"/>
              </w:tcPr>
              <w:p w14:paraId="28A62B69" w14:textId="2188A71E"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14</w:t>
                </w:r>
              </w:p>
            </w:tc>
            <w:tc>
              <w:tcPr>
                <w:tcW w:w="417" w:type="pct"/>
                <w:shd w:val="clear" w:color="auto" w:fill="FFFFFF" w:themeFill="background2"/>
                <w:tcMar>
                  <w:top w:w="60" w:type="dxa"/>
                  <w:left w:w="114" w:type="dxa"/>
                  <w:bottom w:w="60" w:type="dxa"/>
                  <w:right w:w="114" w:type="dxa"/>
                </w:tcMar>
                <w:vAlign w:val="center"/>
              </w:tcPr>
              <w:p w14:paraId="09DC294C" w14:textId="40546D6E"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5E290D64" w14:textId="604EBDE0"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67F3ABCA"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0A1244E5"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79E9B6DE"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16194CE6" w14:textId="0F2A21E3"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707524" w:rsidRPr="00B80369">
                  <w:rPr>
                    <w:rFonts w:eastAsia="Times New Roman" w:cs="Segoe UI"/>
                    <w:sz w:val="14"/>
                    <w:szCs w:val="14"/>
                    <w:lang w:val="en-GB" w:eastAsia="it-IT"/>
                  </w:rPr>
                  <w:t>.</w:t>
                </w:r>
                <w:r w:rsidRPr="00B80369">
                  <w:rPr>
                    <w:rFonts w:eastAsia="Times New Roman" w:cs="Segoe UI"/>
                    <w:sz w:val="14"/>
                    <w:szCs w:val="14"/>
                    <w:lang w:val="en-GB" w:eastAsia="it-IT"/>
                  </w:rPr>
                  <w:t>00%</w:t>
                </w:r>
              </w:p>
            </w:tc>
            <w:tc>
              <w:tcPr>
                <w:tcW w:w="417" w:type="pct"/>
                <w:shd w:val="clear" w:color="auto" w:fill="FFFFFF" w:themeFill="background2"/>
                <w:vAlign w:val="center"/>
              </w:tcPr>
              <w:p w14:paraId="63A7DCE8" w14:textId="2BA96C3E" w:rsidR="00CD6D20" w:rsidRPr="00B80369" w:rsidRDefault="002811B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39D2A9D1"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61C9823A"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3" w:type="pct"/>
                <w:shd w:val="clear" w:color="auto" w:fill="FFFFFF" w:themeFill="background2"/>
                <w:vAlign w:val="center"/>
              </w:tcPr>
              <w:p w14:paraId="0A95D9F8" w14:textId="77777777" w:rsidR="00CD6D20" w:rsidRPr="00B80369" w:rsidRDefault="00CD6D20"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CD6D20" w:rsidRPr="00B80369" w14:paraId="14CB3E4F"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39ED6818" w14:textId="77777777" w:rsidR="00CD6D20" w:rsidRPr="00B80369" w:rsidRDefault="00CD6D20"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A1.3</w:t>
                </w:r>
              </w:p>
            </w:tc>
            <w:tc>
              <w:tcPr>
                <w:tcW w:w="491" w:type="pct"/>
                <w:shd w:val="clear" w:color="auto" w:fill="FFFFFF" w:themeFill="background2"/>
                <w:tcMar>
                  <w:top w:w="60" w:type="dxa"/>
                  <w:left w:w="114" w:type="dxa"/>
                  <w:bottom w:w="60" w:type="dxa"/>
                  <w:right w:w="114" w:type="dxa"/>
                </w:tcMar>
                <w:vAlign w:val="center"/>
              </w:tcPr>
              <w:p w14:paraId="63BF2520" w14:textId="127FEC83"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85</w:t>
                </w:r>
              </w:p>
            </w:tc>
            <w:tc>
              <w:tcPr>
                <w:tcW w:w="417" w:type="pct"/>
                <w:shd w:val="clear" w:color="auto" w:fill="FFFFFF" w:themeFill="background2"/>
                <w:tcMar>
                  <w:top w:w="60" w:type="dxa"/>
                  <w:left w:w="114" w:type="dxa"/>
                  <w:bottom w:w="60" w:type="dxa"/>
                  <w:right w:w="114" w:type="dxa"/>
                </w:tcMar>
                <w:vAlign w:val="center"/>
              </w:tcPr>
              <w:p w14:paraId="3700369C" w14:textId="01F6DE78"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1E3BCD6D" w14:textId="47D7163D"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77447E66"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19B20AEA"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5E597039"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283323E8" w14:textId="0CEF45C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707524" w:rsidRPr="00B80369">
                  <w:rPr>
                    <w:rFonts w:eastAsia="Times New Roman" w:cs="Segoe UI"/>
                    <w:sz w:val="14"/>
                    <w:szCs w:val="14"/>
                    <w:lang w:val="en-GB" w:eastAsia="it-IT"/>
                  </w:rPr>
                  <w:t>.</w:t>
                </w:r>
                <w:r w:rsidRPr="00B80369">
                  <w:rPr>
                    <w:rFonts w:eastAsia="Times New Roman" w:cs="Segoe UI"/>
                    <w:sz w:val="14"/>
                    <w:szCs w:val="14"/>
                    <w:lang w:val="en-GB" w:eastAsia="it-IT"/>
                  </w:rPr>
                  <w:t>00%</w:t>
                </w:r>
              </w:p>
            </w:tc>
            <w:tc>
              <w:tcPr>
                <w:tcW w:w="417" w:type="pct"/>
                <w:shd w:val="clear" w:color="auto" w:fill="FFFFFF" w:themeFill="background2"/>
                <w:vAlign w:val="center"/>
              </w:tcPr>
              <w:p w14:paraId="4CF55605" w14:textId="1DAA5B0C" w:rsidR="00CD6D20" w:rsidRPr="00B80369" w:rsidRDefault="002811B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7AF1D661"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2ABA3BE7"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3" w:type="pct"/>
                <w:shd w:val="clear" w:color="auto" w:fill="FFFFFF" w:themeFill="background2"/>
                <w:vAlign w:val="center"/>
              </w:tcPr>
              <w:p w14:paraId="4598DFB7" w14:textId="77777777" w:rsidR="00CD6D20" w:rsidRPr="00B80369" w:rsidRDefault="00CD6D20"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CD6D20" w:rsidRPr="00B80369" w14:paraId="65BB593B"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54221379" w14:textId="77777777" w:rsidR="00CD6D20" w:rsidRPr="00B80369" w:rsidRDefault="00CD6D20"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A2.1</w:t>
                </w:r>
              </w:p>
            </w:tc>
            <w:tc>
              <w:tcPr>
                <w:tcW w:w="491" w:type="pct"/>
                <w:shd w:val="clear" w:color="auto" w:fill="FFFFFF" w:themeFill="background2"/>
                <w:tcMar>
                  <w:top w:w="60" w:type="dxa"/>
                  <w:left w:w="114" w:type="dxa"/>
                  <w:bottom w:w="60" w:type="dxa"/>
                  <w:right w:w="114" w:type="dxa"/>
                </w:tcMar>
                <w:vAlign w:val="center"/>
              </w:tcPr>
              <w:p w14:paraId="3A51DA54" w14:textId="50A1236C"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161</w:t>
                </w:r>
              </w:p>
            </w:tc>
            <w:tc>
              <w:tcPr>
                <w:tcW w:w="417" w:type="pct"/>
                <w:shd w:val="clear" w:color="auto" w:fill="FFFFFF" w:themeFill="background2"/>
                <w:tcMar>
                  <w:top w:w="60" w:type="dxa"/>
                  <w:left w:w="114" w:type="dxa"/>
                  <w:bottom w:w="60" w:type="dxa"/>
                  <w:right w:w="114" w:type="dxa"/>
                </w:tcMar>
                <w:vAlign w:val="center"/>
              </w:tcPr>
              <w:p w14:paraId="7131AC64" w14:textId="76C15C56"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19AF7D67" w14:textId="217CF02A"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7C6AA2AB"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21EF7A8D"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7B3D3395"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75F0DC74" w14:textId="111AA166"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707524" w:rsidRPr="00B80369">
                  <w:rPr>
                    <w:rFonts w:eastAsia="Times New Roman" w:cs="Segoe UI"/>
                    <w:sz w:val="14"/>
                    <w:szCs w:val="14"/>
                    <w:lang w:val="en-GB" w:eastAsia="it-IT"/>
                  </w:rPr>
                  <w:t>.</w:t>
                </w:r>
                <w:r w:rsidRPr="00B80369">
                  <w:rPr>
                    <w:rFonts w:eastAsia="Times New Roman" w:cs="Segoe UI"/>
                    <w:sz w:val="14"/>
                    <w:szCs w:val="14"/>
                    <w:lang w:val="en-GB" w:eastAsia="it-IT"/>
                  </w:rPr>
                  <w:t>00%</w:t>
                </w:r>
              </w:p>
            </w:tc>
            <w:tc>
              <w:tcPr>
                <w:tcW w:w="417" w:type="pct"/>
                <w:shd w:val="clear" w:color="auto" w:fill="FFFFFF" w:themeFill="background2"/>
                <w:vAlign w:val="center"/>
              </w:tcPr>
              <w:p w14:paraId="34463BC3" w14:textId="2B738AA4" w:rsidR="00CD6D20" w:rsidRPr="00B80369" w:rsidRDefault="002811B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056F77CB"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205352F5"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3" w:type="pct"/>
                <w:shd w:val="clear" w:color="auto" w:fill="FFFFFF" w:themeFill="background2"/>
                <w:vAlign w:val="center"/>
              </w:tcPr>
              <w:p w14:paraId="37A23AED" w14:textId="77777777" w:rsidR="00CD6D20" w:rsidRPr="00B80369" w:rsidRDefault="00CD6D20"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CD6D20" w:rsidRPr="00B80369" w14:paraId="66425C87"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5F5B230B" w14:textId="77777777" w:rsidR="00CD6D20" w:rsidRPr="00B80369" w:rsidRDefault="00CD6D20"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A2.2</w:t>
                </w:r>
              </w:p>
            </w:tc>
            <w:tc>
              <w:tcPr>
                <w:tcW w:w="491" w:type="pct"/>
                <w:shd w:val="clear" w:color="auto" w:fill="FFFFFF" w:themeFill="background2"/>
                <w:tcMar>
                  <w:top w:w="60" w:type="dxa"/>
                  <w:left w:w="114" w:type="dxa"/>
                  <w:bottom w:w="60" w:type="dxa"/>
                  <w:right w:w="114" w:type="dxa"/>
                </w:tcMar>
                <w:vAlign w:val="center"/>
              </w:tcPr>
              <w:p w14:paraId="465C4B71" w14:textId="50D8CB29"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393</w:t>
                </w:r>
              </w:p>
            </w:tc>
            <w:tc>
              <w:tcPr>
                <w:tcW w:w="417" w:type="pct"/>
                <w:shd w:val="clear" w:color="auto" w:fill="FFFFFF" w:themeFill="background2"/>
                <w:tcMar>
                  <w:top w:w="60" w:type="dxa"/>
                  <w:left w:w="114" w:type="dxa"/>
                  <w:bottom w:w="60" w:type="dxa"/>
                  <w:right w:w="114" w:type="dxa"/>
                </w:tcMar>
                <w:vAlign w:val="center"/>
              </w:tcPr>
              <w:p w14:paraId="5DC6FDD9" w14:textId="730038AA"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p>
            </w:tc>
            <w:tc>
              <w:tcPr>
                <w:tcW w:w="417" w:type="pct"/>
                <w:shd w:val="clear" w:color="auto" w:fill="FFFFFF" w:themeFill="background2"/>
                <w:vAlign w:val="center"/>
              </w:tcPr>
              <w:p w14:paraId="360558D5" w14:textId="5116321B"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062DA58B"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203487E3"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1A4DC065"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33DAAD9F" w14:textId="51F7A263"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707524" w:rsidRPr="00B80369">
                  <w:rPr>
                    <w:rFonts w:eastAsia="Times New Roman" w:cs="Segoe UI"/>
                    <w:sz w:val="14"/>
                    <w:szCs w:val="14"/>
                    <w:lang w:val="en-GB" w:eastAsia="it-IT"/>
                  </w:rPr>
                  <w:t>.</w:t>
                </w:r>
                <w:r w:rsidRPr="00B80369">
                  <w:rPr>
                    <w:rFonts w:eastAsia="Times New Roman" w:cs="Segoe UI"/>
                    <w:sz w:val="14"/>
                    <w:szCs w:val="14"/>
                    <w:lang w:val="en-GB" w:eastAsia="it-IT"/>
                  </w:rPr>
                  <w:t>00%</w:t>
                </w:r>
              </w:p>
            </w:tc>
            <w:tc>
              <w:tcPr>
                <w:tcW w:w="417" w:type="pct"/>
                <w:shd w:val="clear" w:color="auto" w:fill="FFFFFF" w:themeFill="background2"/>
                <w:vAlign w:val="center"/>
              </w:tcPr>
              <w:p w14:paraId="674378D0" w14:textId="0A9A80A9" w:rsidR="00CD6D20" w:rsidRPr="00B80369" w:rsidRDefault="002811B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227EAB6A"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7082D1E7"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3" w:type="pct"/>
                <w:shd w:val="clear" w:color="auto" w:fill="FFFFFF" w:themeFill="background2"/>
                <w:vAlign w:val="center"/>
              </w:tcPr>
              <w:p w14:paraId="65BB874C" w14:textId="77777777" w:rsidR="00CD6D20" w:rsidRPr="00B80369" w:rsidRDefault="00CD6D20"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CD6D20" w:rsidRPr="00B80369" w14:paraId="18EACDD6"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1AE492CB" w14:textId="77777777" w:rsidR="00CD6D20" w:rsidRPr="00B80369" w:rsidRDefault="00CD6D20"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A3.1</w:t>
                </w:r>
              </w:p>
            </w:tc>
            <w:tc>
              <w:tcPr>
                <w:tcW w:w="491" w:type="pct"/>
                <w:shd w:val="clear" w:color="auto" w:fill="FFFFFF" w:themeFill="background2"/>
                <w:tcMar>
                  <w:top w:w="60" w:type="dxa"/>
                  <w:left w:w="114" w:type="dxa"/>
                  <w:bottom w:w="60" w:type="dxa"/>
                  <w:right w:w="114" w:type="dxa"/>
                </w:tcMar>
                <w:vAlign w:val="center"/>
              </w:tcPr>
              <w:p w14:paraId="4DE030DD" w14:textId="736787EC"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1,903</w:t>
                </w:r>
              </w:p>
            </w:tc>
            <w:tc>
              <w:tcPr>
                <w:tcW w:w="417" w:type="pct"/>
                <w:shd w:val="clear" w:color="auto" w:fill="FFFFFF" w:themeFill="background2"/>
                <w:tcMar>
                  <w:top w:w="60" w:type="dxa"/>
                  <w:left w:w="114" w:type="dxa"/>
                  <w:bottom w:w="60" w:type="dxa"/>
                  <w:right w:w="114" w:type="dxa"/>
                </w:tcMar>
                <w:vAlign w:val="center"/>
              </w:tcPr>
              <w:p w14:paraId="2CBF7430" w14:textId="6A8AD86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w:t>
                </w:r>
              </w:p>
            </w:tc>
            <w:tc>
              <w:tcPr>
                <w:tcW w:w="417" w:type="pct"/>
                <w:shd w:val="clear" w:color="auto" w:fill="FFFFFF" w:themeFill="background2"/>
                <w:vAlign w:val="center"/>
              </w:tcPr>
              <w:p w14:paraId="47D9307A" w14:textId="5B8D0E26"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72258665"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24A1B4DF"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6AA4A34E"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4919CE70" w14:textId="1DBDA42E"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707524" w:rsidRPr="00B80369">
                  <w:rPr>
                    <w:rFonts w:eastAsia="Times New Roman" w:cs="Segoe UI"/>
                    <w:sz w:val="14"/>
                    <w:szCs w:val="14"/>
                    <w:lang w:val="en-GB" w:eastAsia="it-IT"/>
                  </w:rPr>
                  <w:t>.</w:t>
                </w:r>
                <w:r w:rsidRPr="00B80369">
                  <w:rPr>
                    <w:rFonts w:eastAsia="Times New Roman" w:cs="Segoe UI"/>
                    <w:sz w:val="14"/>
                    <w:szCs w:val="14"/>
                    <w:lang w:val="en-GB" w:eastAsia="it-IT"/>
                  </w:rPr>
                  <w:t>05%</w:t>
                </w:r>
              </w:p>
            </w:tc>
            <w:tc>
              <w:tcPr>
                <w:tcW w:w="417" w:type="pct"/>
                <w:shd w:val="clear" w:color="auto" w:fill="FFFFFF" w:themeFill="background2"/>
                <w:vAlign w:val="center"/>
              </w:tcPr>
              <w:p w14:paraId="7E117620" w14:textId="64468705" w:rsidR="00CD6D20" w:rsidRPr="00B80369" w:rsidRDefault="002811B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7EEDA8DA"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7E739D84"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3" w:type="pct"/>
                <w:shd w:val="clear" w:color="auto" w:fill="FFFFFF" w:themeFill="background2"/>
                <w:vAlign w:val="center"/>
              </w:tcPr>
              <w:p w14:paraId="346EC791" w14:textId="77777777" w:rsidR="00CD6D20" w:rsidRPr="00B80369" w:rsidRDefault="00CD6D20"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CD6D20" w:rsidRPr="00B80369" w14:paraId="1B365938"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02E73B26" w14:textId="77777777" w:rsidR="00CD6D20" w:rsidRPr="00B80369" w:rsidRDefault="00CD6D20"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B1.1</w:t>
                </w:r>
              </w:p>
            </w:tc>
            <w:tc>
              <w:tcPr>
                <w:tcW w:w="491" w:type="pct"/>
                <w:shd w:val="clear" w:color="auto" w:fill="FFFFFF" w:themeFill="background2"/>
                <w:tcMar>
                  <w:top w:w="60" w:type="dxa"/>
                  <w:left w:w="114" w:type="dxa"/>
                  <w:bottom w:w="60" w:type="dxa"/>
                  <w:right w:w="114" w:type="dxa"/>
                </w:tcMar>
                <w:vAlign w:val="center"/>
              </w:tcPr>
              <w:p w14:paraId="7BD4E151" w14:textId="66CA212C"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2,179</w:t>
                </w:r>
              </w:p>
            </w:tc>
            <w:tc>
              <w:tcPr>
                <w:tcW w:w="417" w:type="pct"/>
                <w:shd w:val="clear" w:color="auto" w:fill="FFFFFF" w:themeFill="background2"/>
                <w:tcMar>
                  <w:top w:w="60" w:type="dxa"/>
                  <w:left w:w="114" w:type="dxa"/>
                  <w:bottom w:w="60" w:type="dxa"/>
                  <w:right w:w="114" w:type="dxa"/>
                </w:tcMar>
                <w:vAlign w:val="center"/>
              </w:tcPr>
              <w:p w14:paraId="30D4C954" w14:textId="6B9CD0FD"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w:t>
                </w:r>
              </w:p>
            </w:tc>
            <w:tc>
              <w:tcPr>
                <w:tcW w:w="417" w:type="pct"/>
                <w:shd w:val="clear" w:color="auto" w:fill="FFFFFF" w:themeFill="background2"/>
                <w:vAlign w:val="center"/>
              </w:tcPr>
              <w:p w14:paraId="6E3C7175" w14:textId="4D64A790"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1FD97C75"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75885E28"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0B911394"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57A8CFBC" w14:textId="1525D7CC"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707524" w:rsidRPr="00B80369">
                  <w:rPr>
                    <w:rFonts w:eastAsia="Times New Roman" w:cs="Segoe UI"/>
                    <w:sz w:val="14"/>
                    <w:szCs w:val="14"/>
                    <w:lang w:val="en-GB" w:eastAsia="it-IT"/>
                  </w:rPr>
                  <w:t>.</w:t>
                </w:r>
                <w:r w:rsidRPr="00B80369">
                  <w:rPr>
                    <w:rFonts w:eastAsia="Times New Roman" w:cs="Segoe UI"/>
                    <w:sz w:val="14"/>
                    <w:szCs w:val="14"/>
                    <w:lang w:val="en-GB" w:eastAsia="it-IT"/>
                  </w:rPr>
                  <w:t>09%</w:t>
                </w:r>
              </w:p>
            </w:tc>
            <w:tc>
              <w:tcPr>
                <w:tcW w:w="417" w:type="pct"/>
                <w:shd w:val="clear" w:color="auto" w:fill="FFFFFF" w:themeFill="background2"/>
                <w:vAlign w:val="center"/>
              </w:tcPr>
              <w:p w14:paraId="02363744" w14:textId="00B6AA6E" w:rsidR="00CD6D20" w:rsidRPr="00B80369" w:rsidRDefault="002811B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74F2E89E"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25D2E918"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3" w:type="pct"/>
                <w:shd w:val="clear" w:color="auto" w:fill="FFFFFF" w:themeFill="background2"/>
                <w:vAlign w:val="center"/>
              </w:tcPr>
              <w:p w14:paraId="2744F34B" w14:textId="77777777" w:rsidR="00CD6D20" w:rsidRPr="00B80369" w:rsidRDefault="00CD6D20"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CD6D20" w:rsidRPr="00B80369" w14:paraId="6B789EFA"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0F096C13" w14:textId="77777777" w:rsidR="00CD6D20" w:rsidRPr="00B80369" w:rsidRDefault="00CD6D20"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B1.2</w:t>
                </w:r>
              </w:p>
            </w:tc>
            <w:tc>
              <w:tcPr>
                <w:tcW w:w="491" w:type="pct"/>
                <w:shd w:val="clear" w:color="auto" w:fill="FFFFFF" w:themeFill="background2"/>
                <w:tcMar>
                  <w:top w:w="60" w:type="dxa"/>
                  <w:left w:w="114" w:type="dxa"/>
                  <w:bottom w:w="60" w:type="dxa"/>
                  <w:right w:w="114" w:type="dxa"/>
                </w:tcMar>
                <w:vAlign w:val="center"/>
              </w:tcPr>
              <w:p w14:paraId="7783C740" w14:textId="202C83D4"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3,408</w:t>
                </w:r>
              </w:p>
            </w:tc>
            <w:tc>
              <w:tcPr>
                <w:tcW w:w="417" w:type="pct"/>
                <w:shd w:val="clear" w:color="auto" w:fill="FFFFFF" w:themeFill="background2"/>
                <w:tcMar>
                  <w:top w:w="60" w:type="dxa"/>
                  <w:left w:w="114" w:type="dxa"/>
                  <w:bottom w:w="60" w:type="dxa"/>
                  <w:right w:w="114" w:type="dxa"/>
                </w:tcMar>
                <w:vAlign w:val="center"/>
              </w:tcPr>
              <w:p w14:paraId="157FE4DA" w14:textId="7A0A777D"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w:t>
                </w:r>
              </w:p>
            </w:tc>
            <w:tc>
              <w:tcPr>
                <w:tcW w:w="417" w:type="pct"/>
                <w:shd w:val="clear" w:color="auto" w:fill="FFFFFF" w:themeFill="background2"/>
                <w:vAlign w:val="center"/>
              </w:tcPr>
              <w:p w14:paraId="667B49BF" w14:textId="297D1E66"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22C91A53"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1803B83F"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61C01769"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214EFEC6" w14:textId="5B72D62D"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707524" w:rsidRPr="00B80369">
                  <w:rPr>
                    <w:rFonts w:eastAsia="Times New Roman" w:cs="Segoe UI"/>
                    <w:sz w:val="14"/>
                    <w:szCs w:val="14"/>
                    <w:lang w:val="en-GB" w:eastAsia="it-IT"/>
                  </w:rPr>
                  <w:t>.</w:t>
                </w:r>
                <w:r w:rsidRPr="00B80369">
                  <w:rPr>
                    <w:rFonts w:eastAsia="Times New Roman" w:cs="Segoe UI"/>
                    <w:sz w:val="14"/>
                    <w:szCs w:val="14"/>
                    <w:lang w:val="en-GB" w:eastAsia="it-IT"/>
                  </w:rPr>
                  <w:t>12%</w:t>
                </w:r>
              </w:p>
            </w:tc>
            <w:tc>
              <w:tcPr>
                <w:tcW w:w="417" w:type="pct"/>
                <w:shd w:val="clear" w:color="auto" w:fill="FFFFFF" w:themeFill="background2"/>
                <w:vAlign w:val="center"/>
              </w:tcPr>
              <w:p w14:paraId="6E90AD6C" w14:textId="7AB4E8BE" w:rsidR="00CD6D20" w:rsidRPr="00B80369" w:rsidRDefault="002811B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3F59EA9E"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778A75E7"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3" w:type="pct"/>
                <w:shd w:val="clear" w:color="auto" w:fill="FFFFFF" w:themeFill="background2"/>
                <w:vAlign w:val="center"/>
              </w:tcPr>
              <w:p w14:paraId="15DA1C33" w14:textId="77777777" w:rsidR="00CD6D20" w:rsidRPr="00B80369" w:rsidRDefault="00CD6D20"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CD6D20" w:rsidRPr="00B80369" w14:paraId="2E48C363"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0D77BD7B" w14:textId="77777777" w:rsidR="00CD6D20" w:rsidRPr="00B80369" w:rsidRDefault="00CD6D20"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B2.1</w:t>
                </w:r>
              </w:p>
            </w:tc>
            <w:tc>
              <w:tcPr>
                <w:tcW w:w="491" w:type="pct"/>
                <w:shd w:val="clear" w:color="auto" w:fill="FFFFFF" w:themeFill="background2"/>
                <w:tcMar>
                  <w:top w:w="60" w:type="dxa"/>
                  <w:left w:w="114" w:type="dxa"/>
                  <w:bottom w:w="60" w:type="dxa"/>
                  <w:right w:w="114" w:type="dxa"/>
                </w:tcMar>
                <w:vAlign w:val="center"/>
              </w:tcPr>
              <w:p w14:paraId="45ACD773" w14:textId="74BA0A5D"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4,319</w:t>
                </w:r>
              </w:p>
            </w:tc>
            <w:tc>
              <w:tcPr>
                <w:tcW w:w="417" w:type="pct"/>
                <w:shd w:val="clear" w:color="auto" w:fill="FFFFFF" w:themeFill="background2"/>
                <w:tcMar>
                  <w:top w:w="60" w:type="dxa"/>
                  <w:left w:w="114" w:type="dxa"/>
                  <w:bottom w:w="60" w:type="dxa"/>
                  <w:right w:w="114" w:type="dxa"/>
                </w:tcMar>
                <w:vAlign w:val="center"/>
              </w:tcPr>
              <w:p w14:paraId="12D2205C" w14:textId="7E96E0BB"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14</w:t>
                </w:r>
              </w:p>
            </w:tc>
            <w:tc>
              <w:tcPr>
                <w:tcW w:w="417" w:type="pct"/>
                <w:shd w:val="clear" w:color="auto" w:fill="FFFFFF" w:themeFill="background2"/>
                <w:vAlign w:val="center"/>
              </w:tcPr>
              <w:p w14:paraId="22302B23" w14:textId="4003F5CA"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2CF39CA8"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18CDA2B0"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23E7029F"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705C4894" w14:textId="1D179101"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707524" w:rsidRPr="00B80369">
                  <w:rPr>
                    <w:rFonts w:eastAsia="Times New Roman" w:cs="Segoe UI"/>
                    <w:sz w:val="14"/>
                    <w:szCs w:val="14"/>
                    <w:lang w:val="en-GB" w:eastAsia="it-IT"/>
                  </w:rPr>
                  <w:t>.</w:t>
                </w:r>
                <w:r w:rsidRPr="00B80369">
                  <w:rPr>
                    <w:rFonts w:eastAsia="Times New Roman" w:cs="Segoe UI"/>
                    <w:sz w:val="14"/>
                    <w:szCs w:val="14"/>
                    <w:lang w:val="en-GB" w:eastAsia="it-IT"/>
                  </w:rPr>
                  <w:t>32%</w:t>
                </w:r>
              </w:p>
            </w:tc>
            <w:tc>
              <w:tcPr>
                <w:tcW w:w="417" w:type="pct"/>
                <w:shd w:val="clear" w:color="auto" w:fill="FFFFFF" w:themeFill="background2"/>
                <w:vAlign w:val="center"/>
              </w:tcPr>
              <w:p w14:paraId="1F594629" w14:textId="0951B65E" w:rsidR="00CD6D20" w:rsidRPr="00B80369" w:rsidRDefault="002811B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3EE5580E"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7F6FDDA9"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3" w:type="pct"/>
                <w:shd w:val="clear" w:color="auto" w:fill="FFFFFF" w:themeFill="background2"/>
                <w:vAlign w:val="center"/>
              </w:tcPr>
              <w:p w14:paraId="01978EAA" w14:textId="77777777" w:rsidR="00CD6D20" w:rsidRPr="00B80369" w:rsidRDefault="00CD6D20" w:rsidP="00B80369">
                <w:pPr>
                  <w:spacing w:before="0" w:line="240" w:lineRule="auto"/>
                  <w:jc w:val="center"/>
                  <w:rPr>
                    <w:b/>
                    <w:color w:val="33A1AB" w:themeColor="accent2"/>
                    <w:sz w:val="14"/>
                    <w:szCs w:val="14"/>
                  </w:rPr>
                </w:pPr>
                <w:r w:rsidRPr="00B80369">
                  <w:rPr>
                    <w:b/>
                    <w:color w:val="33A1AB" w:themeColor="accent2"/>
                    <w:sz w:val="14"/>
                    <w:szCs w:val="14"/>
                  </w:rPr>
                  <w:t>-</w:t>
                </w:r>
              </w:p>
            </w:tc>
          </w:tr>
          <w:tr w:rsidR="00CD6D20" w:rsidRPr="00B80369" w14:paraId="6518E373"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387C6636" w14:textId="77777777" w:rsidR="00CD6D20" w:rsidRPr="00B80369" w:rsidRDefault="00CD6D20"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B2.2</w:t>
                </w:r>
              </w:p>
            </w:tc>
            <w:tc>
              <w:tcPr>
                <w:tcW w:w="491" w:type="pct"/>
                <w:shd w:val="clear" w:color="auto" w:fill="FFFFFF" w:themeFill="background2"/>
                <w:tcMar>
                  <w:top w:w="60" w:type="dxa"/>
                  <w:left w:w="114" w:type="dxa"/>
                  <w:bottom w:w="60" w:type="dxa"/>
                  <w:right w:w="114" w:type="dxa"/>
                </w:tcMar>
                <w:vAlign w:val="center"/>
              </w:tcPr>
              <w:p w14:paraId="176A0245" w14:textId="442FB185"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2,721</w:t>
                </w:r>
              </w:p>
            </w:tc>
            <w:tc>
              <w:tcPr>
                <w:tcW w:w="417" w:type="pct"/>
                <w:shd w:val="clear" w:color="auto" w:fill="FFFFFF" w:themeFill="background2"/>
                <w:tcMar>
                  <w:top w:w="60" w:type="dxa"/>
                  <w:left w:w="114" w:type="dxa"/>
                  <w:bottom w:w="60" w:type="dxa"/>
                  <w:right w:w="114" w:type="dxa"/>
                </w:tcMar>
                <w:vAlign w:val="center"/>
              </w:tcPr>
              <w:p w14:paraId="58E5C85D" w14:textId="7D385C8B"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30</w:t>
                </w:r>
              </w:p>
            </w:tc>
            <w:tc>
              <w:tcPr>
                <w:tcW w:w="417" w:type="pct"/>
                <w:shd w:val="clear" w:color="auto" w:fill="FFFFFF" w:themeFill="background2"/>
                <w:vAlign w:val="center"/>
              </w:tcPr>
              <w:p w14:paraId="02447394" w14:textId="72F90BD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17129570"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3EFBA4A9"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56E8B000"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37B4CA37" w14:textId="43C3F5F8"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w:t>
                </w:r>
                <w:r w:rsidR="00707524" w:rsidRPr="00B80369">
                  <w:rPr>
                    <w:rFonts w:eastAsia="Times New Roman" w:cs="Segoe UI"/>
                    <w:sz w:val="14"/>
                    <w:szCs w:val="14"/>
                    <w:lang w:val="en-GB" w:eastAsia="it-IT"/>
                  </w:rPr>
                  <w:t>.</w:t>
                </w:r>
                <w:r w:rsidRPr="00B80369">
                  <w:rPr>
                    <w:rFonts w:eastAsia="Times New Roman" w:cs="Segoe UI"/>
                    <w:sz w:val="14"/>
                    <w:szCs w:val="14"/>
                    <w:lang w:val="en-GB" w:eastAsia="it-IT"/>
                  </w:rPr>
                  <w:t>10%</w:t>
                </w:r>
              </w:p>
            </w:tc>
            <w:tc>
              <w:tcPr>
                <w:tcW w:w="417" w:type="pct"/>
                <w:shd w:val="clear" w:color="auto" w:fill="FFFFFF" w:themeFill="background2"/>
                <w:vAlign w:val="center"/>
              </w:tcPr>
              <w:p w14:paraId="2DBE6E22" w14:textId="1ECDDE09" w:rsidR="00CD6D20" w:rsidRPr="00B80369" w:rsidRDefault="002811B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7D93D322"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2B17B5D1"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3" w:type="pct"/>
                <w:shd w:val="clear" w:color="auto" w:fill="FFFFFF" w:themeFill="background2"/>
                <w:vAlign w:val="center"/>
              </w:tcPr>
              <w:p w14:paraId="47A6CD25" w14:textId="77777777" w:rsidR="00CD6D20" w:rsidRPr="00B80369" w:rsidRDefault="00CD6D20"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CD6D20" w:rsidRPr="00B80369" w14:paraId="1AA4D4DB"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06DA98E9" w14:textId="77777777" w:rsidR="00CD6D20" w:rsidRPr="00B80369" w:rsidRDefault="00CD6D20"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C1.1</w:t>
                </w:r>
              </w:p>
            </w:tc>
            <w:tc>
              <w:tcPr>
                <w:tcW w:w="491" w:type="pct"/>
                <w:shd w:val="clear" w:color="auto" w:fill="FFFFFF" w:themeFill="background2"/>
                <w:tcMar>
                  <w:top w:w="60" w:type="dxa"/>
                  <w:left w:w="114" w:type="dxa"/>
                  <w:bottom w:w="60" w:type="dxa"/>
                  <w:right w:w="114" w:type="dxa"/>
                </w:tcMar>
                <w:vAlign w:val="center"/>
              </w:tcPr>
              <w:p w14:paraId="0B28C5DD" w14:textId="1DBBAEDA"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1,135</w:t>
                </w:r>
              </w:p>
            </w:tc>
            <w:tc>
              <w:tcPr>
                <w:tcW w:w="417" w:type="pct"/>
                <w:shd w:val="clear" w:color="auto" w:fill="FFFFFF" w:themeFill="background2"/>
                <w:tcMar>
                  <w:top w:w="60" w:type="dxa"/>
                  <w:left w:w="114" w:type="dxa"/>
                  <w:bottom w:w="60" w:type="dxa"/>
                  <w:right w:w="114" w:type="dxa"/>
                </w:tcMar>
                <w:vAlign w:val="center"/>
              </w:tcPr>
              <w:p w14:paraId="363B7100" w14:textId="76432F03"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20</w:t>
                </w:r>
              </w:p>
            </w:tc>
            <w:tc>
              <w:tcPr>
                <w:tcW w:w="417" w:type="pct"/>
                <w:shd w:val="clear" w:color="auto" w:fill="FFFFFF" w:themeFill="background2"/>
                <w:vAlign w:val="center"/>
              </w:tcPr>
              <w:p w14:paraId="216ACBF1" w14:textId="57481F8E"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191EA635"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47DB07EF"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38CC3D02"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0E4D3FC2" w14:textId="119338A4"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w:t>
                </w:r>
                <w:r w:rsidR="00707524" w:rsidRPr="00B80369">
                  <w:rPr>
                    <w:rFonts w:eastAsia="Times New Roman" w:cs="Segoe UI"/>
                    <w:sz w:val="14"/>
                    <w:szCs w:val="14"/>
                    <w:lang w:val="en-GB" w:eastAsia="it-IT"/>
                  </w:rPr>
                  <w:t>.</w:t>
                </w:r>
                <w:r w:rsidRPr="00B80369">
                  <w:rPr>
                    <w:rFonts w:eastAsia="Times New Roman" w:cs="Segoe UI"/>
                    <w:sz w:val="14"/>
                    <w:szCs w:val="14"/>
                    <w:lang w:val="en-GB" w:eastAsia="it-IT"/>
                  </w:rPr>
                  <w:t>76%</w:t>
                </w:r>
              </w:p>
            </w:tc>
            <w:tc>
              <w:tcPr>
                <w:tcW w:w="417" w:type="pct"/>
                <w:shd w:val="clear" w:color="auto" w:fill="FFFFFF" w:themeFill="background2"/>
                <w:vAlign w:val="center"/>
              </w:tcPr>
              <w:p w14:paraId="4493BAA3" w14:textId="5ACBC759" w:rsidR="00CD6D20" w:rsidRPr="00B80369" w:rsidRDefault="002811B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726BCBCA"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2C75F6A6"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3" w:type="pct"/>
                <w:shd w:val="clear" w:color="auto" w:fill="FFFFFF" w:themeFill="background2"/>
                <w:vAlign w:val="center"/>
              </w:tcPr>
              <w:p w14:paraId="4484184B" w14:textId="77777777" w:rsidR="00CD6D20" w:rsidRPr="00B80369" w:rsidRDefault="00CD6D20"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CD6D20" w:rsidRPr="00B80369" w14:paraId="7F67793E"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4086A6B5" w14:textId="77777777" w:rsidR="00CD6D20" w:rsidRPr="00B80369" w:rsidRDefault="00CD6D20"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C1.2</w:t>
                </w:r>
              </w:p>
            </w:tc>
            <w:tc>
              <w:tcPr>
                <w:tcW w:w="491" w:type="pct"/>
                <w:shd w:val="clear" w:color="auto" w:fill="FFFFFF" w:themeFill="background2"/>
                <w:tcMar>
                  <w:top w:w="60" w:type="dxa"/>
                  <w:left w:w="114" w:type="dxa"/>
                  <w:bottom w:w="60" w:type="dxa"/>
                  <w:right w:w="114" w:type="dxa"/>
                </w:tcMar>
                <w:vAlign w:val="center"/>
              </w:tcPr>
              <w:p w14:paraId="08B63CBB" w14:textId="58938453"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341</w:t>
                </w:r>
              </w:p>
            </w:tc>
            <w:tc>
              <w:tcPr>
                <w:tcW w:w="417" w:type="pct"/>
                <w:shd w:val="clear" w:color="auto" w:fill="FFFFFF" w:themeFill="background2"/>
                <w:tcMar>
                  <w:top w:w="60" w:type="dxa"/>
                  <w:left w:w="114" w:type="dxa"/>
                  <w:bottom w:w="60" w:type="dxa"/>
                  <w:right w:w="114" w:type="dxa"/>
                </w:tcMar>
                <w:vAlign w:val="center"/>
              </w:tcPr>
              <w:p w14:paraId="524496A4" w14:textId="0A6F834C"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12</w:t>
                </w:r>
              </w:p>
            </w:tc>
            <w:tc>
              <w:tcPr>
                <w:tcW w:w="417" w:type="pct"/>
                <w:shd w:val="clear" w:color="auto" w:fill="FFFFFF" w:themeFill="background2"/>
                <w:vAlign w:val="center"/>
              </w:tcPr>
              <w:p w14:paraId="2C540113" w14:textId="04EF6C85"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2DB9F42B"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51D8ED49"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0A13F74B"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3B02AFB2" w14:textId="471256BD"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w:t>
                </w:r>
                <w:r w:rsidR="00707524" w:rsidRPr="00B80369">
                  <w:rPr>
                    <w:rFonts w:eastAsia="Times New Roman" w:cs="Segoe UI"/>
                    <w:sz w:val="14"/>
                    <w:szCs w:val="14"/>
                    <w:lang w:val="en-GB" w:eastAsia="it-IT"/>
                  </w:rPr>
                  <w:t>.</w:t>
                </w:r>
                <w:r w:rsidRPr="00B80369">
                  <w:rPr>
                    <w:rFonts w:eastAsia="Times New Roman" w:cs="Segoe UI"/>
                    <w:sz w:val="14"/>
                    <w:szCs w:val="14"/>
                    <w:lang w:val="en-GB" w:eastAsia="it-IT"/>
                  </w:rPr>
                  <w:t>52%</w:t>
                </w:r>
              </w:p>
            </w:tc>
            <w:tc>
              <w:tcPr>
                <w:tcW w:w="417" w:type="pct"/>
                <w:shd w:val="clear" w:color="auto" w:fill="FFFFFF" w:themeFill="background2"/>
                <w:vAlign w:val="center"/>
              </w:tcPr>
              <w:p w14:paraId="711B0306" w14:textId="56AB977E" w:rsidR="00CD6D20" w:rsidRPr="00B80369" w:rsidRDefault="002811B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344FE255"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77AAB91B"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3" w:type="pct"/>
                <w:shd w:val="clear" w:color="auto" w:fill="FFFFFF" w:themeFill="background2"/>
                <w:vAlign w:val="center"/>
              </w:tcPr>
              <w:p w14:paraId="6B8C4607" w14:textId="77777777" w:rsidR="00CD6D20" w:rsidRPr="00B80369" w:rsidRDefault="00CD6D20"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CD6D20" w:rsidRPr="00B80369" w14:paraId="2207A16D" w14:textId="77777777" w:rsidTr="0007107A">
            <w:trPr>
              <w:trHeight w:val="227"/>
            </w:trPr>
            <w:tc>
              <w:tcPr>
                <w:tcW w:w="343" w:type="pct"/>
                <w:shd w:val="clear" w:color="auto" w:fill="FFFFFF" w:themeFill="background2"/>
                <w:tcMar>
                  <w:top w:w="60" w:type="dxa"/>
                  <w:left w:w="114" w:type="dxa"/>
                  <w:bottom w:w="60" w:type="dxa"/>
                  <w:right w:w="114" w:type="dxa"/>
                </w:tcMar>
                <w:vAlign w:val="center"/>
              </w:tcPr>
              <w:p w14:paraId="3FA345B8" w14:textId="77777777" w:rsidR="00CD6D20" w:rsidRPr="00B80369" w:rsidRDefault="00CD6D20"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C2.1</w:t>
                </w:r>
              </w:p>
            </w:tc>
            <w:tc>
              <w:tcPr>
                <w:tcW w:w="491" w:type="pct"/>
                <w:shd w:val="clear" w:color="auto" w:fill="FFFFFF" w:themeFill="background2"/>
                <w:tcMar>
                  <w:top w:w="60" w:type="dxa"/>
                  <w:left w:w="114" w:type="dxa"/>
                  <w:bottom w:w="60" w:type="dxa"/>
                  <w:right w:w="114" w:type="dxa"/>
                </w:tcMar>
                <w:vAlign w:val="center"/>
              </w:tcPr>
              <w:p w14:paraId="75B689F8" w14:textId="2E48463C"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78</w:t>
                </w:r>
              </w:p>
            </w:tc>
            <w:tc>
              <w:tcPr>
                <w:tcW w:w="417" w:type="pct"/>
                <w:shd w:val="clear" w:color="auto" w:fill="FFFFFF" w:themeFill="background2"/>
                <w:tcMar>
                  <w:top w:w="60" w:type="dxa"/>
                  <w:left w:w="114" w:type="dxa"/>
                  <w:bottom w:w="60" w:type="dxa"/>
                  <w:right w:w="114" w:type="dxa"/>
                </w:tcMar>
                <w:vAlign w:val="center"/>
              </w:tcPr>
              <w:p w14:paraId="76D7DF09" w14:textId="730CC22A"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21</w:t>
                </w:r>
              </w:p>
            </w:tc>
            <w:tc>
              <w:tcPr>
                <w:tcW w:w="417" w:type="pct"/>
                <w:shd w:val="clear" w:color="auto" w:fill="FFFFFF" w:themeFill="background2"/>
                <w:vAlign w:val="center"/>
              </w:tcPr>
              <w:p w14:paraId="5294447E" w14:textId="7022ED4D"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1D148917"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37DBFFBD"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0DEEBAF9"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1A87969C" w14:textId="15BD0AF8"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26</w:t>
                </w:r>
                <w:r w:rsidR="00707524" w:rsidRPr="00B80369">
                  <w:rPr>
                    <w:rFonts w:eastAsia="Times New Roman" w:cs="Segoe UI"/>
                    <w:sz w:val="14"/>
                    <w:szCs w:val="14"/>
                    <w:lang w:val="en-GB" w:eastAsia="it-IT"/>
                  </w:rPr>
                  <w:t>.</w:t>
                </w:r>
                <w:r w:rsidRPr="00B80369">
                  <w:rPr>
                    <w:rFonts w:eastAsia="Times New Roman" w:cs="Segoe UI"/>
                    <w:sz w:val="14"/>
                    <w:szCs w:val="14"/>
                    <w:lang w:val="en-GB" w:eastAsia="it-IT"/>
                  </w:rPr>
                  <w:t>92%</w:t>
                </w:r>
              </w:p>
            </w:tc>
            <w:tc>
              <w:tcPr>
                <w:tcW w:w="417" w:type="pct"/>
                <w:shd w:val="clear" w:color="auto" w:fill="FFFFFF" w:themeFill="background2"/>
                <w:vAlign w:val="center"/>
              </w:tcPr>
              <w:p w14:paraId="5EA9A255" w14:textId="0FDFA7C6" w:rsidR="00CD6D20" w:rsidRPr="00B80369" w:rsidRDefault="002811BE"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2CC5718B"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2DA1B318"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3" w:type="pct"/>
                <w:shd w:val="clear" w:color="auto" w:fill="FFFFFF" w:themeFill="background2"/>
                <w:vAlign w:val="center"/>
              </w:tcPr>
              <w:p w14:paraId="2F607224" w14:textId="77777777" w:rsidR="00CD6D20" w:rsidRPr="00B80369" w:rsidRDefault="00CD6D20"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r w:rsidR="00CD6D20" w:rsidRPr="00B80369" w14:paraId="71A91FD0" w14:textId="77777777" w:rsidTr="00AC7D4E">
            <w:trPr>
              <w:trHeight w:val="227"/>
            </w:trPr>
            <w:tc>
              <w:tcPr>
                <w:tcW w:w="343" w:type="pct"/>
                <w:shd w:val="clear" w:color="auto" w:fill="FFFFFF" w:themeFill="background2"/>
                <w:tcMar>
                  <w:top w:w="60" w:type="dxa"/>
                  <w:left w:w="114" w:type="dxa"/>
                  <w:bottom w:w="60" w:type="dxa"/>
                  <w:right w:w="114" w:type="dxa"/>
                </w:tcMar>
                <w:vAlign w:val="center"/>
              </w:tcPr>
              <w:p w14:paraId="19C89DFA" w14:textId="77777777" w:rsidR="00CD6D20" w:rsidRPr="00B80369" w:rsidRDefault="00CD6D20" w:rsidP="00B80369">
                <w:pPr>
                  <w:spacing w:before="0" w:line="240" w:lineRule="auto"/>
                  <w:jc w:val="center"/>
                  <w:rPr>
                    <w:rFonts w:cs="Segoe UI"/>
                    <w:b/>
                    <w:bCs/>
                    <w:sz w:val="14"/>
                    <w:szCs w:val="14"/>
                    <w:lang w:eastAsia="it-IT"/>
                  </w:rPr>
                </w:pPr>
                <w:r w:rsidRPr="00B80369">
                  <w:rPr>
                    <w:rFonts w:cs="Segoe UI"/>
                    <w:b/>
                    <w:bCs/>
                    <w:sz w:val="14"/>
                    <w:szCs w:val="14"/>
                    <w:lang w:eastAsia="it-IT"/>
                  </w:rPr>
                  <w:t>TOTAL</w:t>
                </w:r>
              </w:p>
            </w:tc>
            <w:tc>
              <w:tcPr>
                <w:tcW w:w="491" w:type="pct"/>
                <w:shd w:val="clear" w:color="auto" w:fill="FFFFFF" w:themeFill="background2"/>
                <w:tcMar>
                  <w:top w:w="60" w:type="dxa"/>
                  <w:left w:w="114" w:type="dxa"/>
                  <w:bottom w:w="60" w:type="dxa"/>
                  <w:right w:w="114" w:type="dxa"/>
                </w:tcMar>
                <w:vAlign w:val="center"/>
              </w:tcPr>
              <w:p w14:paraId="40614F52" w14:textId="36E58212" w:rsidR="00CD6D20" w:rsidRPr="00B80369" w:rsidRDefault="00CD6D20"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16,745</w:t>
                </w:r>
              </w:p>
            </w:tc>
            <w:tc>
              <w:tcPr>
                <w:tcW w:w="417" w:type="pct"/>
                <w:shd w:val="clear" w:color="auto" w:fill="FFFFFF" w:themeFill="background2"/>
                <w:tcMar>
                  <w:top w:w="60" w:type="dxa"/>
                  <w:left w:w="114" w:type="dxa"/>
                  <w:bottom w:w="60" w:type="dxa"/>
                  <w:right w:w="114" w:type="dxa"/>
                </w:tcMar>
                <w:vAlign w:val="center"/>
              </w:tcPr>
              <w:p w14:paraId="702CCBE9" w14:textId="4B81B101" w:rsidR="00CD6D20" w:rsidRPr="00B80369" w:rsidRDefault="00CD6D20"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104</w:t>
                </w:r>
              </w:p>
            </w:tc>
            <w:tc>
              <w:tcPr>
                <w:tcW w:w="417" w:type="pct"/>
                <w:shd w:val="clear" w:color="auto" w:fill="FFFFFF" w:themeFill="background2"/>
                <w:vAlign w:val="center"/>
              </w:tcPr>
              <w:p w14:paraId="0197A2A8" w14:textId="06F68BA7" w:rsidR="00CD6D20" w:rsidRPr="00B80369" w:rsidRDefault="00CD6D20"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c>
              <w:tcPr>
                <w:tcW w:w="417" w:type="pct"/>
                <w:shd w:val="clear" w:color="auto" w:fill="FFFFFF" w:themeFill="background2"/>
                <w:vAlign w:val="center"/>
              </w:tcPr>
              <w:p w14:paraId="3147C7FF" w14:textId="77777777" w:rsidR="00CD6D20" w:rsidRPr="00B80369" w:rsidRDefault="00CD6D20"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c>
              <w:tcPr>
                <w:tcW w:w="417" w:type="pct"/>
                <w:shd w:val="clear" w:color="auto" w:fill="FFFFFF" w:themeFill="background2"/>
                <w:vAlign w:val="center"/>
              </w:tcPr>
              <w:p w14:paraId="29D0479F" w14:textId="77777777" w:rsidR="00CD6D20" w:rsidRPr="00B80369" w:rsidRDefault="00CD6D20"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c>
              <w:tcPr>
                <w:tcW w:w="417" w:type="pct"/>
                <w:shd w:val="clear" w:color="auto" w:fill="FFFFFF" w:themeFill="background2"/>
                <w:vAlign w:val="center"/>
              </w:tcPr>
              <w:p w14:paraId="365876C4" w14:textId="77777777" w:rsidR="00CD6D20" w:rsidRPr="00B80369" w:rsidRDefault="00CD6D20"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417" w:type="pct"/>
                <w:shd w:val="clear" w:color="auto" w:fill="FFFFFF" w:themeFill="background2"/>
                <w:vAlign w:val="center"/>
              </w:tcPr>
              <w:p w14:paraId="7AD110C8" w14:textId="7C8C024F" w:rsidR="00CD6D20" w:rsidRPr="00B80369" w:rsidRDefault="00CD6D20"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0</w:t>
                </w:r>
                <w:r w:rsidR="00707524" w:rsidRPr="00B80369">
                  <w:rPr>
                    <w:rFonts w:eastAsia="Times New Roman" w:cs="Segoe UI"/>
                    <w:b/>
                    <w:bCs/>
                    <w:sz w:val="14"/>
                    <w:szCs w:val="14"/>
                    <w:lang w:val="en-GB" w:eastAsia="it-IT"/>
                  </w:rPr>
                  <w:t>.</w:t>
                </w:r>
                <w:r w:rsidRPr="00B80369">
                  <w:rPr>
                    <w:rFonts w:eastAsia="Times New Roman" w:cs="Segoe UI"/>
                    <w:b/>
                    <w:bCs/>
                    <w:sz w:val="14"/>
                    <w:szCs w:val="14"/>
                    <w:lang w:val="en-GB" w:eastAsia="it-IT"/>
                  </w:rPr>
                  <w:t>62%</w:t>
                </w:r>
              </w:p>
            </w:tc>
            <w:tc>
              <w:tcPr>
                <w:tcW w:w="417" w:type="pct"/>
                <w:shd w:val="clear" w:color="auto" w:fill="FFFFFF" w:themeFill="background2"/>
                <w:vAlign w:val="center"/>
              </w:tcPr>
              <w:p w14:paraId="417DCD6E" w14:textId="12341918" w:rsidR="00CD6D20" w:rsidRPr="00B80369" w:rsidRDefault="002811BE"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c>
              <w:tcPr>
                <w:tcW w:w="417" w:type="pct"/>
                <w:shd w:val="clear" w:color="auto" w:fill="FFFFFF" w:themeFill="background2"/>
                <w:vAlign w:val="center"/>
              </w:tcPr>
              <w:p w14:paraId="123EC9B5" w14:textId="77777777" w:rsidR="00CD6D20" w:rsidRPr="00B80369" w:rsidRDefault="00CD6D20"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c>
              <w:tcPr>
                <w:tcW w:w="417" w:type="pct"/>
                <w:shd w:val="clear" w:color="auto" w:fill="FFFFFF" w:themeFill="background2"/>
                <w:vAlign w:val="center"/>
              </w:tcPr>
              <w:p w14:paraId="0DCCE8F1" w14:textId="77777777" w:rsidR="00CD6D20" w:rsidRPr="00B80369" w:rsidRDefault="00CD6D20"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c>
              <w:tcPr>
                <w:tcW w:w="413" w:type="pct"/>
                <w:shd w:val="clear" w:color="auto" w:fill="FFFFFF" w:themeFill="background2"/>
                <w:vAlign w:val="center"/>
              </w:tcPr>
              <w:p w14:paraId="09112445" w14:textId="77777777" w:rsidR="00CD6D20" w:rsidRPr="00B80369" w:rsidRDefault="00CD6D20"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w:t>
                </w:r>
              </w:p>
            </w:tc>
          </w:tr>
        </w:tbl>
        <w:p w14:paraId="52D67BF5" w14:textId="28EAEE44" w:rsidR="004101BF" w:rsidRPr="0032337D" w:rsidRDefault="004101BF" w:rsidP="004101BF">
          <w:pPr>
            <w:rPr>
              <w:rFonts w:cs="Segoe UI"/>
              <w:lang w:val="en-GB"/>
            </w:rPr>
          </w:pPr>
          <w:r w:rsidRPr="0032337D">
            <w:rPr>
              <w:rFonts w:cs="Segoe UI"/>
              <w:lang w:val="en-GB"/>
            </w:rPr>
            <w:lastRenderedPageBreak/>
            <w:t xml:space="preserve">The tables below summarise the </w:t>
          </w:r>
          <w:proofErr w:type="gramStart"/>
          <w:r w:rsidR="009E50F2">
            <w:rPr>
              <w:rFonts w:cs="Segoe UI"/>
              <w:lang w:val="en-GB"/>
            </w:rPr>
            <w:t>afore</w:t>
          </w:r>
          <w:r w:rsidRPr="0032337D">
            <w:rPr>
              <w:rFonts w:cs="Segoe UI"/>
              <w:lang w:val="en-GB"/>
            </w:rPr>
            <w:t>mentioned results</w:t>
          </w:r>
          <w:proofErr w:type="gramEnd"/>
          <w:r w:rsidRPr="0032337D">
            <w:rPr>
              <w:rFonts w:cs="Segoe UI"/>
              <w:lang w:val="en-GB"/>
            </w:rPr>
            <w:t xml:space="preserve"> by time horizon, </w:t>
          </w:r>
          <w:r w:rsidR="009438AB">
            <w:rPr>
              <w:rFonts w:cs="Segoe UI"/>
              <w:lang w:val="en-GB"/>
            </w:rPr>
            <w:t>with</w:t>
          </w:r>
          <w:r w:rsidRPr="0032337D">
            <w:rPr>
              <w:rFonts w:cs="Segoe UI"/>
              <w:lang w:val="en-GB"/>
            </w:rPr>
            <w:t xml:space="preserve"> the aim of enabling an easy comparative analysis.</w:t>
          </w:r>
        </w:p>
        <w:p w14:paraId="7E631C03" w14:textId="3BBF9174" w:rsidR="00841705" w:rsidRDefault="004101BF" w:rsidP="002852E6">
          <w:pPr>
            <w:pStyle w:val="Didascalia"/>
            <w:rPr>
              <w:lang w:val="en-GB"/>
            </w:rPr>
          </w:pPr>
          <w:bookmarkStart w:id="155" w:name="_Toc130806345"/>
          <w:bookmarkStart w:id="156" w:name="_Toc166675686"/>
          <w:bookmarkStart w:id="157" w:name="_Toc167131813"/>
          <w:r w:rsidRPr="0032337D">
            <w:rPr>
              <w:rFonts w:ascii="Segoe UI" w:hAnsi="Segoe UI" w:cs="Segoe UI"/>
              <w:i/>
              <w:sz w:val="14"/>
              <w:lang w:val="en-GB"/>
            </w:rPr>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45</w:t>
          </w:r>
          <w:r>
            <w:rPr>
              <w:rFonts w:ascii="Segoe UI" w:hAnsi="Segoe UI" w:cs="Segoe UI"/>
              <w:i/>
              <w:sz w:val="14"/>
              <w:lang w:val="en-GB"/>
            </w:rPr>
            <w:fldChar w:fldCharType="end"/>
          </w:r>
          <w:r w:rsidRPr="0032337D">
            <w:rPr>
              <w:rFonts w:ascii="Segoe UI" w:hAnsi="Segoe UI" w:cs="Segoe UI"/>
              <w:i/>
              <w:sz w:val="14"/>
              <w:lang w:val="en-GB"/>
            </w:rPr>
            <w:t>: 1-Y default rates</w:t>
          </w:r>
          <w:bookmarkEnd w:id="155"/>
          <w:bookmarkEnd w:id="156"/>
          <w:bookmarkEnd w:id="157"/>
        </w:p>
        <w:tbl>
          <w:tblPr>
            <w:tblW w:w="5000" w:type="pct"/>
            <w:tblBorders>
              <w:top w:val="single" w:sz="4" w:space="0" w:color="AFAFB4" w:themeColor="accent4"/>
              <w:bottom w:val="single" w:sz="4" w:space="0" w:color="AFAFB4" w:themeColor="accent4"/>
              <w:insideH w:val="single" w:sz="4" w:space="0" w:color="AFAFB4" w:themeColor="accent4"/>
            </w:tblBorders>
            <w:shd w:val="clear" w:color="auto" w:fill="FFFFFF" w:themeFill="background2"/>
            <w:tblCellMar>
              <w:left w:w="0" w:type="dxa"/>
              <w:right w:w="0" w:type="dxa"/>
            </w:tblCellMar>
            <w:tblLook w:val="0620" w:firstRow="1" w:lastRow="0" w:firstColumn="0" w:lastColumn="0" w:noHBand="1" w:noVBand="1"/>
            <w:tblDescription w:val="{&quot;Ott&quot;:{&quot;FirstRow&quot;:{&quot;BackgroundColor&quot;:{&quot;Key&quot;:&quot;Light2&quot;},&quot;Font&quot;:{&quot;Name&quot;:&quot;Source Sans Pro&quot;,&quot;Size&quot;:14.0,&quot;Bold&quot;:false,&quot;Italic&quot;:false,&quot;Color&quot;:{&quot;Key&quot;:&quot;Dark2&quot;}},&quot;ExcelCellFormatting&quot;:&quot;General&quot;,&quot;Alignment&quot;:{&quot;Horizontal&quot;:&quot;Left&quot;,&quot;Vertical&quot;:&quot;Bottom&quot;},&quot;Borders&quot;:{&quot;Vertical&quot;:{&quot;Visible&quot;:false},&quot;Left&quot;:{&quot;Visible&quot;:false},&quot;Top&quot;:{&quot;Visible&quot;:false},&quot;Right&quot;:{&quot;Visible&quot;:false},&quot;Bottom&quot;:{&quot;Color&quot;:{&quot;Key&quot;:&quot;Accent4&quot;},&quot;BorderWeight&quot;:&quot;Pt1_5&quot;,&quot;Type&quot;:&quot;Solid&quot;,&quot;Visible&quot;:true}}},&quot;FitRowHeightPp&quot;:true,&quot;ZeroMarginsWord&quot;:true,&quot;BackgroundColor&quot;:{&quot;Key&quot;:&quot;Light2&quot;},&quot;Font&quot;:{&quot;Name&quot;:&quot;Source Sans Pro&quot;,&quot;Size&quot;:11.0,&quot;Bold&quot;:false,&quot;Italic&quot;:false,&quot;Color&quot;:{&quot;Key&quot;:&quot;Dark2&quot;}},&quot;LineSpacing&quot;:{&quot;Rule&quot;:&quot;Single&quot;},&quot;Alignment&quot;:{&quot;Horizontal&quot;:&quot;Left&quot;,&quot;Vertical&quot;:&quot;Top&quot;},&quot;Margin&quot;:{&quot;Left&quot;:5.7,&quot;Top&quot;:3.0,&quot;Right&quot;:5.7,&quot;Bottom&quot;:3.0},&quot;Borders&quot;:{&quot;Vertical&quot;:{&quot;Visible&quot;:false},&quot;Horizontal&quot;:{&quot;Color&quot;:{&quot;Key&quot;:&quot;Accent4&quot;},&quot;BorderWeight&quot;:&quot;Pt0_5&quot;,&quot;Type&quot;:&quot;Solid&quot;,&quot;Visible&quot;:true}},&quot;ParagraphSpacing&quot;:{&quot;SpaceBefore&quot;:2.0,&quot;SpaceAfter&quot;:2.0},&quot;ExcelWrapText&quot;:true},&quot;Ccs&quot;:{&quot;DarkBlue&quot;:&quot;0, 20, 55&quot;,&quot;Turquoise&quot;:&quot;0, 164, 230&quot;,&quot;Red&quot;:&quot;214, 70, 65&quot;,&quot;LightGrey&quot;:&quot;174, 174, 180&quot;,&quot;BlueGrey&quot;:&quot;77, 91, 115&quot;,&quot;IceBlue&quot;:&quot;178, 184, 195&quot;,&quot;Grey&quot;:&quot;145, 147, 153&quot;,&quot;Background&quot;:&quot;0, 0, 0, 0&quot;,&quot;White&quot;:&quot;White&quot;,&quot;Accent1&quot;:&quot;1, 1, 1, 1&quot;,&quot;Accent2&quot;:&quot;1, 1, 1, 2&quot;,&quot;Accent3&quot;:&quot;1, 1, 1, 3&quot;,&quot;Accent4&quot;:&quot;1, 1, 1, 4&quot;,&quot;Accent5&quot;:&quot;1, 1, 1, 5&quot;,&quot;Accent6&quot;:&quot;1, 1, 1, 6&quot;,&quot;Dark1&quot;:&quot;1, 1, 1, 7&quot;,&quot;Dark2&quot;:&quot;1, 1, 1, 9&quot;,&quot;Light1&quot;:&quot;1, 1, 1, 8&quot;,&quot;Light2&quot;:&quot;1, 1, 1, 10&quot;},&quot;Cop&quot;:{&quot;FirstRow&quot;:true,&quot;LastRow&quot;:false,&quot;FirstColumn&quot;:false,&quot;LastColumn&quot;:false,&quot;BandedRows&quot;:false,&quot;BandedColumns&quot;:false},&quot;Aaf&quot;:false}"/>
          </w:tblPr>
          <w:tblGrid>
            <w:gridCol w:w="635"/>
            <w:gridCol w:w="738"/>
            <w:gridCol w:w="820"/>
            <w:gridCol w:w="623"/>
            <w:gridCol w:w="623"/>
            <w:gridCol w:w="623"/>
            <w:gridCol w:w="623"/>
            <w:gridCol w:w="623"/>
            <w:gridCol w:w="625"/>
            <w:gridCol w:w="625"/>
            <w:gridCol w:w="625"/>
            <w:gridCol w:w="623"/>
            <w:gridCol w:w="623"/>
            <w:gridCol w:w="623"/>
            <w:gridCol w:w="623"/>
            <w:gridCol w:w="673"/>
          </w:tblGrid>
          <w:tr w:rsidR="005A50C9" w:rsidRPr="00B80369" w14:paraId="4F161A89" w14:textId="3E57EA87" w:rsidTr="00214B1F">
            <w:trPr>
              <w:trHeight w:val="227"/>
              <w:tblHeader/>
            </w:trPr>
            <w:tc>
              <w:tcPr>
                <w:tcW w:w="307" w:type="pct"/>
                <w:vMerge w:val="restar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1684CF88" w14:textId="77777777" w:rsidR="005A50C9" w:rsidRPr="00B80369" w:rsidRDefault="005A50C9" w:rsidP="00B80369">
                <w:pPr>
                  <w:spacing w:before="0" w:line="240" w:lineRule="auto"/>
                  <w:jc w:val="center"/>
                  <w:rPr>
                    <w:b/>
                    <w:color w:val="33A1AB" w:themeColor="accent2"/>
                    <w:sz w:val="14"/>
                    <w:szCs w:val="14"/>
                  </w:rPr>
                </w:pPr>
                <w:r w:rsidRPr="00B80369">
                  <w:rPr>
                    <w:b/>
                    <w:color w:val="33A1AB" w:themeColor="accent2"/>
                    <w:sz w:val="14"/>
                    <w:szCs w:val="14"/>
                  </w:rPr>
                  <w:t>Rating</w:t>
                </w:r>
              </w:p>
            </w:tc>
            <w:tc>
              <w:tcPr>
                <w:tcW w:w="4693" w:type="pct"/>
                <w:gridSpan w:val="15"/>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747625A4" w14:textId="4D1005BE" w:rsidR="005A50C9" w:rsidRPr="00B80369" w:rsidRDefault="005A50C9" w:rsidP="00B80369">
                <w:pPr>
                  <w:spacing w:before="0" w:line="240" w:lineRule="auto"/>
                  <w:jc w:val="center"/>
                  <w:rPr>
                    <w:b/>
                    <w:color w:val="33A1AB" w:themeColor="accent2"/>
                    <w:sz w:val="14"/>
                    <w:szCs w:val="14"/>
                  </w:rPr>
                </w:pPr>
                <w:r w:rsidRPr="00B80369">
                  <w:rPr>
                    <w:b/>
                    <w:color w:val="33A1AB" w:themeColor="accent2"/>
                    <w:sz w:val="14"/>
                    <w:szCs w:val="14"/>
                  </w:rPr>
                  <w:t>1-Y DEFAULT RATES</w:t>
                </w:r>
              </w:p>
            </w:tc>
          </w:tr>
          <w:tr w:rsidR="005A50C9" w:rsidRPr="00B80369" w14:paraId="7A2277B9" w14:textId="3A561953" w:rsidTr="00214B1F">
            <w:trPr>
              <w:trHeight w:val="227"/>
              <w:tblHeader/>
            </w:trPr>
            <w:tc>
              <w:tcPr>
                <w:tcW w:w="307" w:type="pct"/>
                <w:vMerge/>
                <w:shd w:val="clear" w:color="auto" w:fill="FFFFFF" w:themeFill="background2"/>
                <w:tcMar>
                  <w:top w:w="60" w:type="dxa"/>
                  <w:left w:w="114" w:type="dxa"/>
                  <w:bottom w:w="60" w:type="dxa"/>
                  <w:right w:w="114" w:type="dxa"/>
                </w:tcMar>
                <w:vAlign w:val="center"/>
              </w:tcPr>
              <w:p w14:paraId="1E04C91F" w14:textId="77777777" w:rsidR="005A50C9" w:rsidRPr="00B80369" w:rsidRDefault="005A50C9" w:rsidP="00B80369">
                <w:pPr>
                  <w:spacing w:before="0" w:line="240" w:lineRule="auto"/>
                  <w:jc w:val="center"/>
                  <w:rPr>
                    <w:b/>
                    <w:color w:val="33A1AB" w:themeColor="accent2"/>
                    <w:sz w:val="14"/>
                    <w:szCs w:val="14"/>
                  </w:rPr>
                </w:pPr>
              </w:p>
            </w:tc>
            <w:tc>
              <w:tcPr>
                <w:tcW w:w="357"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38A46B73" w14:textId="7FEDE5DA" w:rsidR="005A50C9" w:rsidRPr="00B80369" w:rsidRDefault="005A50C9" w:rsidP="00B80369">
                <w:pPr>
                  <w:spacing w:before="0" w:line="240" w:lineRule="auto"/>
                  <w:jc w:val="center"/>
                  <w:rPr>
                    <w:b/>
                    <w:color w:val="33A1AB" w:themeColor="accent2"/>
                    <w:sz w:val="14"/>
                    <w:szCs w:val="14"/>
                  </w:rPr>
                </w:pPr>
                <w:r w:rsidRPr="00B80369">
                  <w:rPr>
                    <w:b/>
                    <w:color w:val="33A1AB" w:themeColor="accent2"/>
                    <w:sz w:val="14"/>
                    <w:szCs w:val="14"/>
                  </w:rPr>
                  <w:t>31 Dec 2008</w:t>
                </w:r>
              </w:p>
            </w:tc>
            <w:tc>
              <w:tcPr>
                <w:tcW w:w="396"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16BAF5AB" w14:textId="2F0C1C88" w:rsidR="005A50C9" w:rsidRPr="00B80369" w:rsidRDefault="005A50C9" w:rsidP="00B80369">
                <w:pPr>
                  <w:spacing w:before="0" w:line="240" w:lineRule="auto"/>
                  <w:jc w:val="center"/>
                  <w:rPr>
                    <w:b/>
                    <w:color w:val="33A1AB" w:themeColor="accent2"/>
                    <w:sz w:val="14"/>
                    <w:szCs w:val="14"/>
                  </w:rPr>
                </w:pPr>
                <w:r w:rsidRPr="00B80369">
                  <w:rPr>
                    <w:b/>
                    <w:color w:val="33A1AB" w:themeColor="accent2"/>
                    <w:sz w:val="14"/>
                    <w:szCs w:val="14"/>
                  </w:rPr>
                  <w:t>31 Dec 2009</w:t>
                </w:r>
              </w:p>
            </w:tc>
            <w:tc>
              <w:tcPr>
                <w:tcW w:w="301" w:type="pct"/>
                <w:tcBorders>
                  <w:top w:val="single" w:sz="12" w:space="0" w:color="AFAFB4" w:themeColor="accent4"/>
                </w:tcBorders>
                <w:shd w:val="clear" w:color="auto" w:fill="FFFFFF" w:themeFill="background2"/>
                <w:vAlign w:val="center"/>
              </w:tcPr>
              <w:p w14:paraId="1D6F6143" w14:textId="2598016C" w:rsidR="005A50C9" w:rsidRPr="00B80369" w:rsidRDefault="005A50C9" w:rsidP="00B80369">
                <w:pPr>
                  <w:spacing w:before="0" w:line="240" w:lineRule="auto"/>
                  <w:jc w:val="center"/>
                  <w:rPr>
                    <w:b/>
                    <w:color w:val="33A1AB" w:themeColor="accent2"/>
                    <w:sz w:val="14"/>
                    <w:szCs w:val="14"/>
                  </w:rPr>
                </w:pPr>
                <w:r w:rsidRPr="00B80369">
                  <w:rPr>
                    <w:b/>
                    <w:color w:val="33A1AB" w:themeColor="accent2"/>
                    <w:sz w:val="14"/>
                    <w:szCs w:val="14"/>
                  </w:rPr>
                  <w:t>31 Dec 2010</w:t>
                </w:r>
              </w:p>
            </w:tc>
            <w:tc>
              <w:tcPr>
                <w:tcW w:w="301" w:type="pct"/>
                <w:tcBorders>
                  <w:top w:val="single" w:sz="12" w:space="0" w:color="AFAFB4" w:themeColor="accent4"/>
                </w:tcBorders>
                <w:shd w:val="clear" w:color="auto" w:fill="FFFFFF" w:themeFill="background2"/>
                <w:vAlign w:val="center"/>
              </w:tcPr>
              <w:p w14:paraId="54F30D66" w14:textId="3AA9B665" w:rsidR="005A50C9" w:rsidRPr="00B80369" w:rsidRDefault="005A50C9" w:rsidP="00B80369">
                <w:pPr>
                  <w:spacing w:before="0" w:line="240" w:lineRule="auto"/>
                  <w:jc w:val="center"/>
                  <w:rPr>
                    <w:b/>
                    <w:color w:val="33A1AB" w:themeColor="accent2"/>
                    <w:sz w:val="14"/>
                    <w:szCs w:val="14"/>
                  </w:rPr>
                </w:pPr>
                <w:r w:rsidRPr="00B80369">
                  <w:rPr>
                    <w:b/>
                    <w:color w:val="33A1AB" w:themeColor="accent2"/>
                    <w:sz w:val="14"/>
                    <w:szCs w:val="14"/>
                  </w:rPr>
                  <w:t>31 Dec 2011</w:t>
                </w:r>
              </w:p>
            </w:tc>
            <w:tc>
              <w:tcPr>
                <w:tcW w:w="301" w:type="pct"/>
                <w:tcBorders>
                  <w:top w:val="single" w:sz="12" w:space="0" w:color="AFAFB4" w:themeColor="accent4"/>
                </w:tcBorders>
                <w:shd w:val="clear" w:color="auto" w:fill="FFFFFF" w:themeFill="background2"/>
                <w:vAlign w:val="center"/>
              </w:tcPr>
              <w:p w14:paraId="0B55D587" w14:textId="3C80510D" w:rsidR="005A50C9" w:rsidRPr="00B80369" w:rsidRDefault="005A50C9" w:rsidP="00B80369">
                <w:pPr>
                  <w:spacing w:before="0" w:line="240" w:lineRule="auto"/>
                  <w:jc w:val="center"/>
                  <w:rPr>
                    <w:b/>
                    <w:color w:val="33A1AB" w:themeColor="accent2"/>
                    <w:sz w:val="14"/>
                    <w:szCs w:val="14"/>
                  </w:rPr>
                </w:pPr>
                <w:r w:rsidRPr="00B80369">
                  <w:rPr>
                    <w:b/>
                    <w:color w:val="33A1AB" w:themeColor="accent2"/>
                    <w:sz w:val="14"/>
                    <w:szCs w:val="14"/>
                  </w:rPr>
                  <w:t>31 Dec 2012</w:t>
                </w:r>
              </w:p>
            </w:tc>
            <w:tc>
              <w:tcPr>
                <w:tcW w:w="301" w:type="pct"/>
                <w:tcBorders>
                  <w:top w:val="single" w:sz="12" w:space="0" w:color="AFAFB4" w:themeColor="accent4"/>
                </w:tcBorders>
                <w:shd w:val="clear" w:color="auto" w:fill="FFFFFF" w:themeFill="background2"/>
                <w:vAlign w:val="center"/>
              </w:tcPr>
              <w:p w14:paraId="76ED5CDA" w14:textId="4A887B51" w:rsidR="005A50C9" w:rsidRPr="00B80369" w:rsidRDefault="005A50C9" w:rsidP="00B80369">
                <w:pPr>
                  <w:spacing w:before="0" w:line="240" w:lineRule="auto"/>
                  <w:jc w:val="center"/>
                  <w:rPr>
                    <w:b/>
                    <w:color w:val="33A1AB" w:themeColor="accent2"/>
                    <w:sz w:val="14"/>
                    <w:szCs w:val="14"/>
                  </w:rPr>
                </w:pPr>
                <w:r w:rsidRPr="00B80369">
                  <w:rPr>
                    <w:b/>
                    <w:color w:val="33A1AB" w:themeColor="accent2"/>
                    <w:sz w:val="14"/>
                    <w:szCs w:val="14"/>
                  </w:rPr>
                  <w:t>31 Dec 2013</w:t>
                </w:r>
              </w:p>
            </w:tc>
            <w:tc>
              <w:tcPr>
                <w:tcW w:w="301" w:type="pct"/>
                <w:tcBorders>
                  <w:top w:val="single" w:sz="12" w:space="0" w:color="AFAFB4" w:themeColor="accent4"/>
                </w:tcBorders>
                <w:shd w:val="clear" w:color="auto" w:fill="FFFFFF" w:themeFill="background2"/>
                <w:vAlign w:val="center"/>
              </w:tcPr>
              <w:p w14:paraId="0B101BF9" w14:textId="34CA88B9" w:rsidR="005A50C9" w:rsidRPr="00B80369" w:rsidRDefault="005A50C9" w:rsidP="00B80369">
                <w:pPr>
                  <w:spacing w:before="0" w:line="240" w:lineRule="auto"/>
                  <w:jc w:val="center"/>
                  <w:rPr>
                    <w:b/>
                    <w:color w:val="33A1AB" w:themeColor="accent2"/>
                    <w:sz w:val="14"/>
                    <w:szCs w:val="14"/>
                  </w:rPr>
                </w:pPr>
                <w:r w:rsidRPr="00B80369">
                  <w:rPr>
                    <w:b/>
                    <w:color w:val="33A1AB" w:themeColor="accent2"/>
                    <w:sz w:val="14"/>
                    <w:szCs w:val="14"/>
                  </w:rPr>
                  <w:t>31 Dec 2014</w:t>
                </w:r>
              </w:p>
            </w:tc>
            <w:tc>
              <w:tcPr>
                <w:tcW w:w="302" w:type="pct"/>
                <w:tcBorders>
                  <w:top w:val="single" w:sz="12" w:space="0" w:color="AFAFB4" w:themeColor="accent4"/>
                </w:tcBorders>
                <w:shd w:val="clear" w:color="auto" w:fill="FFFFFF" w:themeFill="background2"/>
                <w:vAlign w:val="center"/>
              </w:tcPr>
              <w:p w14:paraId="040DCDD7" w14:textId="6DA96872" w:rsidR="005A50C9" w:rsidRPr="00B80369" w:rsidRDefault="005A50C9" w:rsidP="00B80369">
                <w:pPr>
                  <w:spacing w:before="0" w:line="240" w:lineRule="auto"/>
                  <w:jc w:val="center"/>
                  <w:rPr>
                    <w:b/>
                    <w:color w:val="33A1AB" w:themeColor="accent2"/>
                    <w:sz w:val="14"/>
                    <w:szCs w:val="14"/>
                  </w:rPr>
                </w:pPr>
                <w:r w:rsidRPr="00B80369">
                  <w:rPr>
                    <w:b/>
                    <w:color w:val="33A1AB" w:themeColor="accent2"/>
                    <w:sz w:val="14"/>
                    <w:szCs w:val="14"/>
                  </w:rPr>
                  <w:t>31 Dec 2015</w:t>
                </w:r>
              </w:p>
            </w:tc>
            <w:tc>
              <w:tcPr>
                <w:tcW w:w="302" w:type="pct"/>
                <w:tcBorders>
                  <w:top w:val="single" w:sz="12" w:space="0" w:color="AFAFB4" w:themeColor="accent4"/>
                </w:tcBorders>
                <w:shd w:val="clear" w:color="auto" w:fill="FFFFFF" w:themeFill="background2"/>
                <w:vAlign w:val="center"/>
              </w:tcPr>
              <w:p w14:paraId="209E754B" w14:textId="2E9C17ED" w:rsidR="005A50C9" w:rsidRPr="00B80369" w:rsidRDefault="005A50C9" w:rsidP="00B80369">
                <w:pPr>
                  <w:spacing w:before="0" w:line="240" w:lineRule="auto"/>
                  <w:jc w:val="center"/>
                  <w:rPr>
                    <w:b/>
                    <w:color w:val="33A1AB" w:themeColor="accent2"/>
                    <w:sz w:val="14"/>
                    <w:szCs w:val="14"/>
                  </w:rPr>
                </w:pPr>
                <w:r w:rsidRPr="00B80369">
                  <w:rPr>
                    <w:b/>
                    <w:color w:val="33A1AB" w:themeColor="accent2"/>
                    <w:sz w:val="14"/>
                    <w:szCs w:val="14"/>
                  </w:rPr>
                  <w:t>31 Dec 2016</w:t>
                </w:r>
              </w:p>
            </w:tc>
            <w:tc>
              <w:tcPr>
                <w:tcW w:w="302" w:type="pct"/>
                <w:tcBorders>
                  <w:top w:val="single" w:sz="12" w:space="0" w:color="AFAFB4" w:themeColor="accent4"/>
                </w:tcBorders>
                <w:shd w:val="clear" w:color="auto" w:fill="FFFFFF" w:themeFill="background2"/>
                <w:vAlign w:val="center"/>
              </w:tcPr>
              <w:p w14:paraId="7A067CF5" w14:textId="23EF30D7" w:rsidR="005A50C9" w:rsidRPr="00B80369" w:rsidRDefault="005A50C9" w:rsidP="00B80369">
                <w:pPr>
                  <w:spacing w:before="0" w:line="240" w:lineRule="auto"/>
                  <w:jc w:val="center"/>
                  <w:rPr>
                    <w:b/>
                    <w:color w:val="33A1AB" w:themeColor="accent2"/>
                    <w:sz w:val="14"/>
                    <w:szCs w:val="14"/>
                  </w:rPr>
                </w:pPr>
                <w:r w:rsidRPr="00B80369">
                  <w:rPr>
                    <w:b/>
                    <w:color w:val="33A1AB" w:themeColor="accent2"/>
                    <w:sz w:val="14"/>
                    <w:szCs w:val="14"/>
                  </w:rPr>
                  <w:t>31 Dec 2017</w:t>
                </w:r>
              </w:p>
            </w:tc>
            <w:tc>
              <w:tcPr>
                <w:tcW w:w="301" w:type="pct"/>
                <w:tcBorders>
                  <w:top w:val="single" w:sz="12" w:space="0" w:color="AFAFB4" w:themeColor="accent4"/>
                </w:tcBorders>
                <w:shd w:val="clear" w:color="auto" w:fill="FFFFFF" w:themeFill="background2"/>
                <w:vAlign w:val="center"/>
              </w:tcPr>
              <w:p w14:paraId="65F4C47A" w14:textId="476A1D10" w:rsidR="005A50C9" w:rsidRPr="00B80369" w:rsidRDefault="005A50C9" w:rsidP="00B80369">
                <w:pPr>
                  <w:spacing w:before="0" w:line="240" w:lineRule="auto"/>
                  <w:jc w:val="center"/>
                  <w:rPr>
                    <w:b/>
                    <w:color w:val="33A1AB" w:themeColor="accent2"/>
                    <w:sz w:val="14"/>
                    <w:szCs w:val="14"/>
                  </w:rPr>
                </w:pPr>
                <w:r w:rsidRPr="00B80369">
                  <w:rPr>
                    <w:b/>
                    <w:color w:val="33A1AB" w:themeColor="accent2"/>
                    <w:sz w:val="14"/>
                    <w:szCs w:val="14"/>
                  </w:rPr>
                  <w:t>31 Dec 2018</w:t>
                </w:r>
              </w:p>
            </w:tc>
            <w:tc>
              <w:tcPr>
                <w:tcW w:w="301" w:type="pct"/>
                <w:tcBorders>
                  <w:top w:val="single" w:sz="12" w:space="0" w:color="AFAFB4" w:themeColor="accent4"/>
                </w:tcBorders>
                <w:shd w:val="clear" w:color="auto" w:fill="FFFFFF" w:themeFill="background2"/>
                <w:vAlign w:val="center"/>
              </w:tcPr>
              <w:p w14:paraId="14164D16" w14:textId="4CE9BCBD" w:rsidR="005A50C9" w:rsidRPr="00B80369" w:rsidRDefault="005A50C9" w:rsidP="00B80369">
                <w:pPr>
                  <w:spacing w:before="0" w:line="240" w:lineRule="auto"/>
                  <w:jc w:val="center"/>
                  <w:rPr>
                    <w:b/>
                    <w:color w:val="33A1AB" w:themeColor="accent2"/>
                    <w:sz w:val="14"/>
                    <w:szCs w:val="14"/>
                  </w:rPr>
                </w:pPr>
                <w:r w:rsidRPr="00B80369">
                  <w:rPr>
                    <w:b/>
                    <w:color w:val="33A1AB" w:themeColor="accent2"/>
                    <w:sz w:val="14"/>
                    <w:szCs w:val="14"/>
                  </w:rPr>
                  <w:t>31 Dec 2019</w:t>
                </w:r>
              </w:p>
            </w:tc>
            <w:tc>
              <w:tcPr>
                <w:tcW w:w="301" w:type="pct"/>
                <w:tcBorders>
                  <w:top w:val="single" w:sz="12" w:space="0" w:color="AFAFB4" w:themeColor="accent4"/>
                </w:tcBorders>
                <w:shd w:val="clear" w:color="auto" w:fill="FFFFFF" w:themeFill="background2"/>
                <w:vAlign w:val="center"/>
              </w:tcPr>
              <w:p w14:paraId="369806DB" w14:textId="3DFA74E7" w:rsidR="005A50C9" w:rsidRPr="00B80369" w:rsidRDefault="005A50C9" w:rsidP="00B80369">
                <w:pPr>
                  <w:spacing w:before="0" w:line="240" w:lineRule="auto"/>
                  <w:jc w:val="center"/>
                  <w:rPr>
                    <w:b/>
                    <w:color w:val="33A1AB" w:themeColor="accent2"/>
                    <w:sz w:val="14"/>
                    <w:szCs w:val="14"/>
                  </w:rPr>
                </w:pPr>
                <w:r w:rsidRPr="00B80369">
                  <w:rPr>
                    <w:b/>
                    <w:color w:val="33A1AB" w:themeColor="accent2"/>
                    <w:sz w:val="14"/>
                    <w:szCs w:val="14"/>
                  </w:rPr>
                  <w:t>31 Dec 2020</w:t>
                </w:r>
              </w:p>
            </w:tc>
            <w:tc>
              <w:tcPr>
                <w:tcW w:w="301" w:type="pct"/>
                <w:tcBorders>
                  <w:top w:val="single" w:sz="12" w:space="0" w:color="AFAFB4" w:themeColor="accent4"/>
                </w:tcBorders>
                <w:shd w:val="clear" w:color="auto" w:fill="FFFFFF" w:themeFill="background2"/>
                <w:vAlign w:val="center"/>
              </w:tcPr>
              <w:p w14:paraId="014BCC70" w14:textId="4C639E61" w:rsidR="005A50C9" w:rsidRPr="00B80369" w:rsidRDefault="005A50C9" w:rsidP="00B80369">
                <w:pPr>
                  <w:spacing w:before="0" w:line="240" w:lineRule="auto"/>
                  <w:jc w:val="center"/>
                  <w:rPr>
                    <w:b/>
                    <w:color w:val="33A1AB" w:themeColor="accent2"/>
                    <w:sz w:val="14"/>
                    <w:szCs w:val="14"/>
                  </w:rPr>
                </w:pPr>
                <w:r w:rsidRPr="00B80369">
                  <w:rPr>
                    <w:b/>
                    <w:color w:val="33A1AB" w:themeColor="accent2"/>
                    <w:sz w:val="14"/>
                    <w:szCs w:val="14"/>
                  </w:rPr>
                  <w:t>31 Dec 2021</w:t>
                </w:r>
              </w:p>
            </w:tc>
            <w:tc>
              <w:tcPr>
                <w:tcW w:w="325" w:type="pct"/>
                <w:tcBorders>
                  <w:top w:val="single" w:sz="12" w:space="0" w:color="AFAFB4" w:themeColor="accent4"/>
                </w:tcBorders>
                <w:shd w:val="clear" w:color="auto" w:fill="FFFFFF" w:themeFill="background2"/>
                <w:vAlign w:val="center"/>
              </w:tcPr>
              <w:p w14:paraId="53EEA619" w14:textId="29E75842" w:rsidR="005A50C9" w:rsidRPr="00B80369" w:rsidRDefault="005A50C9" w:rsidP="00B80369">
                <w:pPr>
                  <w:spacing w:before="0" w:line="240" w:lineRule="auto"/>
                  <w:jc w:val="center"/>
                  <w:rPr>
                    <w:b/>
                    <w:color w:val="33A1AB" w:themeColor="accent2"/>
                    <w:sz w:val="14"/>
                    <w:szCs w:val="14"/>
                  </w:rPr>
                </w:pPr>
                <w:r w:rsidRPr="00B80369">
                  <w:rPr>
                    <w:b/>
                    <w:color w:val="33A1AB" w:themeColor="accent2"/>
                    <w:sz w:val="14"/>
                    <w:szCs w:val="14"/>
                  </w:rPr>
                  <w:t>31 Dec 2022</w:t>
                </w:r>
              </w:p>
            </w:tc>
          </w:tr>
          <w:tr w:rsidR="00C56619" w:rsidRPr="00B80369" w14:paraId="529F27CF" w14:textId="2A7F165A" w:rsidTr="00214B1F">
            <w:trPr>
              <w:trHeight w:val="227"/>
            </w:trPr>
            <w:tc>
              <w:tcPr>
                <w:tcW w:w="307" w:type="pct"/>
                <w:shd w:val="clear" w:color="auto" w:fill="FFFFFF" w:themeFill="background2"/>
                <w:tcMar>
                  <w:top w:w="60" w:type="dxa"/>
                  <w:left w:w="114" w:type="dxa"/>
                  <w:bottom w:w="60" w:type="dxa"/>
                  <w:right w:w="114" w:type="dxa"/>
                </w:tcMar>
                <w:vAlign w:val="center"/>
              </w:tcPr>
              <w:p w14:paraId="1757FAA2" w14:textId="77777777" w:rsidR="00C56619" w:rsidRPr="00B80369" w:rsidRDefault="00C56619"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A1.1</w:t>
                </w:r>
              </w:p>
            </w:tc>
            <w:tc>
              <w:tcPr>
                <w:tcW w:w="357" w:type="pct"/>
                <w:shd w:val="clear" w:color="auto" w:fill="FFFFFF" w:themeFill="background2"/>
                <w:tcMar>
                  <w:top w:w="60" w:type="dxa"/>
                  <w:left w:w="114" w:type="dxa"/>
                  <w:bottom w:w="60" w:type="dxa"/>
                  <w:right w:w="114" w:type="dxa"/>
                </w:tcMar>
                <w:vAlign w:val="center"/>
              </w:tcPr>
              <w:p w14:paraId="2536C73C" w14:textId="56E9B617"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96" w:type="pct"/>
                <w:shd w:val="clear" w:color="auto" w:fill="FFFFFF" w:themeFill="background2"/>
                <w:tcMar>
                  <w:top w:w="60" w:type="dxa"/>
                  <w:left w:w="114" w:type="dxa"/>
                  <w:bottom w:w="60" w:type="dxa"/>
                  <w:right w:w="114" w:type="dxa"/>
                </w:tcMar>
                <w:vAlign w:val="center"/>
              </w:tcPr>
              <w:p w14:paraId="41860CFB" w14:textId="7161AC96"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4EACDE43" w14:textId="311D990D"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58D78B74" w14:textId="2F67AC3E"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600DB62F" w14:textId="4D98B2BB"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09130923" w14:textId="7FEFA829"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3A5231F2" w14:textId="007703B3"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7E52ED86" w14:textId="4C0B666D"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4E6F1B00" w14:textId="04B32F30"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176BA971" w14:textId="71FD8E28"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185010BF" w14:textId="673D7B93"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688932E4" w14:textId="60D4174D"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72723782" w14:textId="56889FBE"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22C85889" w14:textId="5265193C"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325" w:type="pct"/>
                <w:shd w:val="clear" w:color="auto" w:fill="FFFFFF" w:themeFill="background2"/>
                <w:vAlign w:val="center"/>
              </w:tcPr>
              <w:p w14:paraId="7AF93F3B" w14:textId="7F9BC7D0"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r>
          <w:tr w:rsidR="00C56619" w:rsidRPr="00B80369" w14:paraId="5ACEB8EB" w14:textId="2DB95404" w:rsidTr="00214B1F">
            <w:trPr>
              <w:trHeight w:val="227"/>
            </w:trPr>
            <w:tc>
              <w:tcPr>
                <w:tcW w:w="307" w:type="pct"/>
                <w:shd w:val="clear" w:color="auto" w:fill="FFFFFF" w:themeFill="background2"/>
                <w:tcMar>
                  <w:top w:w="60" w:type="dxa"/>
                  <w:left w:w="114" w:type="dxa"/>
                  <w:bottom w:w="60" w:type="dxa"/>
                  <w:right w:w="114" w:type="dxa"/>
                </w:tcMar>
                <w:vAlign w:val="center"/>
              </w:tcPr>
              <w:p w14:paraId="3EC7016C" w14:textId="77777777" w:rsidR="00C56619" w:rsidRPr="00B80369" w:rsidRDefault="00C56619"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A1.2</w:t>
                </w:r>
              </w:p>
            </w:tc>
            <w:tc>
              <w:tcPr>
                <w:tcW w:w="357" w:type="pct"/>
                <w:shd w:val="clear" w:color="auto" w:fill="FFFFFF" w:themeFill="background2"/>
                <w:tcMar>
                  <w:top w:w="60" w:type="dxa"/>
                  <w:left w:w="114" w:type="dxa"/>
                  <w:bottom w:w="60" w:type="dxa"/>
                  <w:right w:w="114" w:type="dxa"/>
                </w:tcMar>
                <w:vAlign w:val="center"/>
              </w:tcPr>
              <w:p w14:paraId="738E622D" w14:textId="0B85EB24"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96" w:type="pct"/>
                <w:shd w:val="clear" w:color="auto" w:fill="FFFFFF" w:themeFill="background2"/>
                <w:tcMar>
                  <w:top w:w="60" w:type="dxa"/>
                  <w:left w:w="114" w:type="dxa"/>
                  <w:bottom w:w="60" w:type="dxa"/>
                  <w:right w:w="114" w:type="dxa"/>
                </w:tcMar>
                <w:vAlign w:val="center"/>
              </w:tcPr>
              <w:p w14:paraId="38593F4D" w14:textId="2B9A7D7A"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52DE36A0" w14:textId="60CC6A0A"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31E2872B" w14:textId="1D0CEEBB"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5A685DCD" w14:textId="142F4165"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70E371DD" w14:textId="73EC81C6"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609416CE" w14:textId="533B9113"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2C3BCFDA" w14:textId="2F396164"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0DA1B112" w14:textId="475A0ADA"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0F12AEF9" w14:textId="645F18A5"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5ACF391B" w14:textId="2F416EC6"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39D8ECF4" w14:textId="7C436CEE"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52071BC4" w14:textId="41B6DFD8"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75C100D9" w14:textId="1FB64533"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325" w:type="pct"/>
                <w:shd w:val="clear" w:color="auto" w:fill="FFFFFF" w:themeFill="background2"/>
                <w:vAlign w:val="center"/>
              </w:tcPr>
              <w:p w14:paraId="084A6C16" w14:textId="4F7AF361"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r>
          <w:tr w:rsidR="00C56619" w:rsidRPr="00B80369" w14:paraId="6D09AD23" w14:textId="5C445D09" w:rsidTr="00214B1F">
            <w:trPr>
              <w:trHeight w:val="227"/>
            </w:trPr>
            <w:tc>
              <w:tcPr>
                <w:tcW w:w="307" w:type="pct"/>
                <w:shd w:val="clear" w:color="auto" w:fill="FFFFFF" w:themeFill="background2"/>
                <w:tcMar>
                  <w:top w:w="60" w:type="dxa"/>
                  <w:left w:w="114" w:type="dxa"/>
                  <w:bottom w:w="60" w:type="dxa"/>
                  <w:right w:w="114" w:type="dxa"/>
                </w:tcMar>
                <w:vAlign w:val="center"/>
              </w:tcPr>
              <w:p w14:paraId="4798EFBB" w14:textId="77777777" w:rsidR="00C56619" w:rsidRPr="00B80369" w:rsidRDefault="00C56619"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A1.3</w:t>
                </w:r>
              </w:p>
            </w:tc>
            <w:tc>
              <w:tcPr>
                <w:tcW w:w="357" w:type="pct"/>
                <w:shd w:val="clear" w:color="auto" w:fill="FFFFFF" w:themeFill="background2"/>
                <w:tcMar>
                  <w:top w:w="60" w:type="dxa"/>
                  <w:left w:w="114" w:type="dxa"/>
                  <w:bottom w:w="60" w:type="dxa"/>
                  <w:right w:w="114" w:type="dxa"/>
                </w:tcMar>
                <w:vAlign w:val="center"/>
              </w:tcPr>
              <w:p w14:paraId="5131A309" w14:textId="2E89864D"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96" w:type="pct"/>
                <w:shd w:val="clear" w:color="auto" w:fill="FFFFFF" w:themeFill="background2"/>
                <w:tcMar>
                  <w:top w:w="60" w:type="dxa"/>
                  <w:left w:w="114" w:type="dxa"/>
                  <w:bottom w:w="60" w:type="dxa"/>
                  <w:right w:w="114" w:type="dxa"/>
                </w:tcMar>
                <w:vAlign w:val="center"/>
              </w:tcPr>
              <w:p w14:paraId="784882C2" w14:textId="6CF20A77"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10CD3B4C" w14:textId="1C8876E9"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2C689EF6" w14:textId="3A468FE7"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44A720BA" w14:textId="400B60CB"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5A9F65D9" w14:textId="0F8D175A"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30130D59" w14:textId="32C595BD"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65F3EF2A" w14:textId="610E366B"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5A2B044F" w14:textId="794AA100"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3F5133AD" w14:textId="3F0F800D"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293839AF" w14:textId="50B040B9"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45B20493" w14:textId="14AFD66C"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5966613B" w14:textId="38C19F36"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47ACE881" w14:textId="7705BA5F"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325" w:type="pct"/>
                <w:shd w:val="clear" w:color="auto" w:fill="FFFFFF" w:themeFill="background2"/>
                <w:vAlign w:val="center"/>
              </w:tcPr>
              <w:p w14:paraId="4F606F0F" w14:textId="0BF78B49"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r>
          <w:tr w:rsidR="00C56619" w:rsidRPr="00B80369" w14:paraId="2DB53030" w14:textId="35C0386F" w:rsidTr="00214B1F">
            <w:trPr>
              <w:trHeight w:val="227"/>
            </w:trPr>
            <w:tc>
              <w:tcPr>
                <w:tcW w:w="307" w:type="pct"/>
                <w:shd w:val="clear" w:color="auto" w:fill="FFFFFF" w:themeFill="background2"/>
                <w:tcMar>
                  <w:top w:w="60" w:type="dxa"/>
                  <w:left w:w="114" w:type="dxa"/>
                  <w:bottom w:w="60" w:type="dxa"/>
                  <w:right w:w="114" w:type="dxa"/>
                </w:tcMar>
                <w:vAlign w:val="center"/>
              </w:tcPr>
              <w:p w14:paraId="27440B42" w14:textId="77777777" w:rsidR="00C56619" w:rsidRPr="00B80369" w:rsidRDefault="00C56619"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A2.1</w:t>
                </w:r>
              </w:p>
            </w:tc>
            <w:tc>
              <w:tcPr>
                <w:tcW w:w="357" w:type="pct"/>
                <w:shd w:val="clear" w:color="auto" w:fill="FFFFFF" w:themeFill="background2"/>
                <w:tcMar>
                  <w:top w:w="60" w:type="dxa"/>
                  <w:left w:w="114" w:type="dxa"/>
                  <w:bottom w:w="60" w:type="dxa"/>
                  <w:right w:w="114" w:type="dxa"/>
                </w:tcMar>
                <w:vAlign w:val="center"/>
              </w:tcPr>
              <w:p w14:paraId="78709A0C" w14:textId="31CBD3F6"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96" w:type="pct"/>
                <w:shd w:val="clear" w:color="auto" w:fill="FFFFFF" w:themeFill="background2"/>
                <w:tcMar>
                  <w:top w:w="60" w:type="dxa"/>
                  <w:left w:w="114" w:type="dxa"/>
                  <w:bottom w:w="60" w:type="dxa"/>
                  <w:right w:w="114" w:type="dxa"/>
                </w:tcMar>
                <w:vAlign w:val="center"/>
              </w:tcPr>
              <w:p w14:paraId="12D2AB9C" w14:textId="738F4B2C"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370E2CDB" w14:textId="5B43C9C6"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35DB9557" w14:textId="52A09542"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43FD04E5" w14:textId="758AE721"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5CB19A4F" w14:textId="6CD1DB3D"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2479AFBA" w14:textId="49D4B5E9"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6B57430A" w14:textId="00538424"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0DB3D9FC" w14:textId="1F00FA0D"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47BE5C0F" w14:textId="03857535"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6CDE782C" w14:textId="31EE21C2"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2A41D404" w14:textId="1791EF76"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3A6F6130" w14:textId="549C4F7E"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5DF05011" w14:textId="0BA27582"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325" w:type="pct"/>
                <w:shd w:val="clear" w:color="auto" w:fill="FFFFFF" w:themeFill="background2"/>
                <w:vAlign w:val="center"/>
              </w:tcPr>
              <w:p w14:paraId="673C9003" w14:textId="20304752"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r>
          <w:tr w:rsidR="00C56619" w:rsidRPr="00B80369" w14:paraId="3F84FF82" w14:textId="044B600B" w:rsidTr="00214B1F">
            <w:trPr>
              <w:trHeight w:val="227"/>
            </w:trPr>
            <w:tc>
              <w:tcPr>
                <w:tcW w:w="307" w:type="pct"/>
                <w:shd w:val="clear" w:color="auto" w:fill="FFFFFF" w:themeFill="background2"/>
                <w:tcMar>
                  <w:top w:w="60" w:type="dxa"/>
                  <w:left w:w="114" w:type="dxa"/>
                  <w:bottom w:w="60" w:type="dxa"/>
                  <w:right w:w="114" w:type="dxa"/>
                </w:tcMar>
                <w:vAlign w:val="center"/>
              </w:tcPr>
              <w:p w14:paraId="1B067330" w14:textId="77777777" w:rsidR="00C56619" w:rsidRPr="00B80369" w:rsidRDefault="00C56619"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A2.2</w:t>
                </w:r>
              </w:p>
            </w:tc>
            <w:tc>
              <w:tcPr>
                <w:tcW w:w="357" w:type="pct"/>
                <w:shd w:val="clear" w:color="auto" w:fill="FFFFFF" w:themeFill="background2"/>
                <w:tcMar>
                  <w:top w:w="60" w:type="dxa"/>
                  <w:left w:w="114" w:type="dxa"/>
                  <w:bottom w:w="60" w:type="dxa"/>
                  <w:right w:w="114" w:type="dxa"/>
                </w:tcMar>
                <w:vAlign w:val="center"/>
              </w:tcPr>
              <w:p w14:paraId="617DB26E" w14:textId="7282C2CE"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96" w:type="pct"/>
                <w:shd w:val="clear" w:color="auto" w:fill="FFFFFF" w:themeFill="background2"/>
                <w:tcMar>
                  <w:top w:w="60" w:type="dxa"/>
                  <w:left w:w="114" w:type="dxa"/>
                  <w:bottom w:w="60" w:type="dxa"/>
                  <w:right w:w="114" w:type="dxa"/>
                </w:tcMar>
                <w:vAlign w:val="center"/>
              </w:tcPr>
              <w:p w14:paraId="2E33166E" w14:textId="1D785D16"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0.03%</w:t>
                </w:r>
              </w:p>
            </w:tc>
            <w:tc>
              <w:tcPr>
                <w:tcW w:w="301" w:type="pct"/>
                <w:shd w:val="clear" w:color="auto" w:fill="FFFFFF" w:themeFill="background2"/>
                <w:vAlign w:val="center"/>
              </w:tcPr>
              <w:p w14:paraId="78F04616" w14:textId="2D97DF66"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34BDA8D0" w14:textId="36620DB1"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6B01FFEA" w14:textId="6AB41DA2"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46C3915E" w14:textId="1AE1C3FE"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57ACA993" w14:textId="6228AF94"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15F251DC" w14:textId="4DE4A578"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0C3B1627" w14:textId="57ACCB3A"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51CD969B" w14:textId="1AFD59B9"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57179A3D" w14:textId="0467C608"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5AB03101" w14:textId="1C24E0BF"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3454D73E" w14:textId="4DCECFEF"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35D2443C" w14:textId="120BE7C8"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325" w:type="pct"/>
                <w:shd w:val="clear" w:color="auto" w:fill="FFFFFF" w:themeFill="background2"/>
                <w:vAlign w:val="center"/>
              </w:tcPr>
              <w:p w14:paraId="5E907C0D" w14:textId="721922D4"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r>
          <w:tr w:rsidR="00C56619" w:rsidRPr="00B80369" w14:paraId="0DA0F71A" w14:textId="296F239C" w:rsidTr="00214B1F">
            <w:trPr>
              <w:trHeight w:val="227"/>
            </w:trPr>
            <w:tc>
              <w:tcPr>
                <w:tcW w:w="307" w:type="pct"/>
                <w:shd w:val="clear" w:color="auto" w:fill="FFFFFF" w:themeFill="background2"/>
                <w:tcMar>
                  <w:top w:w="60" w:type="dxa"/>
                  <w:left w:w="114" w:type="dxa"/>
                  <w:bottom w:w="60" w:type="dxa"/>
                  <w:right w:w="114" w:type="dxa"/>
                </w:tcMar>
                <w:vAlign w:val="center"/>
              </w:tcPr>
              <w:p w14:paraId="6C4B06E6" w14:textId="77777777" w:rsidR="00C56619" w:rsidRPr="00B80369" w:rsidRDefault="00C56619"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A3.1</w:t>
                </w:r>
              </w:p>
            </w:tc>
            <w:tc>
              <w:tcPr>
                <w:tcW w:w="357" w:type="pct"/>
                <w:shd w:val="clear" w:color="auto" w:fill="FFFFFF" w:themeFill="background2"/>
                <w:tcMar>
                  <w:top w:w="60" w:type="dxa"/>
                  <w:left w:w="114" w:type="dxa"/>
                  <w:bottom w:w="60" w:type="dxa"/>
                  <w:right w:w="114" w:type="dxa"/>
                </w:tcMar>
                <w:vAlign w:val="center"/>
              </w:tcPr>
              <w:p w14:paraId="15549C3E" w14:textId="6DC7A2F8"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0.09%</w:t>
                </w:r>
              </w:p>
            </w:tc>
            <w:tc>
              <w:tcPr>
                <w:tcW w:w="396" w:type="pct"/>
                <w:shd w:val="clear" w:color="auto" w:fill="FFFFFF" w:themeFill="background2"/>
                <w:tcMar>
                  <w:top w:w="60" w:type="dxa"/>
                  <w:left w:w="114" w:type="dxa"/>
                  <w:bottom w:w="60" w:type="dxa"/>
                  <w:right w:w="114" w:type="dxa"/>
                </w:tcMar>
                <w:vAlign w:val="center"/>
              </w:tcPr>
              <w:p w14:paraId="69FAC592" w14:textId="1EC3F098"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0.06%</w:t>
                </w:r>
              </w:p>
            </w:tc>
            <w:tc>
              <w:tcPr>
                <w:tcW w:w="301" w:type="pct"/>
                <w:shd w:val="clear" w:color="auto" w:fill="FFFFFF" w:themeFill="background2"/>
                <w:vAlign w:val="center"/>
              </w:tcPr>
              <w:p w14:paraId="547A6414" w14:textId="5DF1AB4B"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0.11%</w:t>
                </w:r>
              </w:p>
            </w:tc>
            <w:tc>
              <w:tcPr>
                <w:tcW w:w="301" w:type="pct"/>
                <w:shd w:val="clear" w:color="auto" w:fill="FFFFFF" w:themeFill="background2"/>
                <w:vAlign w:val="center"/>
              </w:tcPr>
              <w:p w14:paraId="765E3EA3" w14:textId="1B453F4E"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0.05%</w:t>
                </w:r>
              </w:p>
            </w:tc>
            <w:tc>
              <w:tcPr>
                <w:tcW w:w="301" w:type="pct"/>
                <w:shd w:val="clear" w:color="auto" w:fill="FFFFFF" w:themeFill="background2"/>
                <w:vAlign w:val="center"/>
              </w:tcPr>
              <w:p w14:paraId="1895D839" w14:textId="4A9A4BC2"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0.08%</w:t>
                </w:r>
              </w:p>
            </w:tc>
            <w:tc>
              <w:tcPr>
                <w:tcW w:w="301" w:type="pct"/>
                <w:shd w:val="clear" w:color="auto" w:fill="FFFFFF" w:themeFill="background2"/>
                <w:vAlign w:val="center"/>
              </w:tcPr>
              <w:p w14:paraId="4794B07D" w14:textId="1C5922B4"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0.16%</w:t>
                </w:r>
              </w:p>
            </w:tc>
            <w:tc>
              <w:tcPr>
                <w:tcW w:w="301" w:type="pct"/>
                <w:shd w:val="clear" w:color="auto" w:fill="FFFFFF" w:themeFill="background2"/>
                <w:vAlign w:val="center"/>
              </w:tcPr>
              <w:p w14:paraId="2E438494" w14:textId="229502F9"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0.25%</w:t>
                </w:r>
              </w:p>
            </w:tc>
            <w:tc>
              <w:tcPr>
                <w:tcW w:w="302" w:type="pct"/>
                <w:shd w:val="clear" w:color="auto" w:fill="FFFFFF" w:themeFill="background2"/>
                <w:vAlign w:val="center"/>
              </w:tcPr>
              <w:p w14:paraId="6F41DB15" w14:textId="499FCB0C"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0.09%</w:t>
                </w:r>
              </w:p>
            </w:tc>
            <w:tc>
              <w:tcPr>
                <w:tcW w:w="302" w:type="pct"/>
                <w:shd w:val="clear" w:color="auto" w:fill="FFFFFF" w:themeFill="background2"/>
                <w:vAlign w:val="center"/>
              </w:tcPr>
              <w:p w14:paraId="4C7EB31C" w14:textId="123D54DE"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0.04%</w:t>
                </w:r>
              </w:p>
            </w:tc>
            <w:tc>
              <w:tcPr>
                <w:tcW w:w="302" w:type="pct"/>
                <w:shd w:val="clear" w:color="auto" w:fill="FFFFFF" w:themeFill="background2"/>
                <w:vAlign w:val="center"/>
              </w:tcPr>
              <w:p w14:paraId="33AA0407" w14:textId="55ED8364"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1C6945A1" w14:textId="13D67CC1"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0.09%</w:t>
                </w:r>
              </w:p>
            </w:tc>
            <w:tc>
              <w:tcPr>
                <w:tcW w:w="301" w:type="pct"/>
                <w:shd w:val="clear" w:color="auto" w:fill="FFFFFF" w:themeFill="background2"/>
                <w:vAlign w:val="center"/>
              </w:tcPr>
              <w:p w14:paraId="27B5E706" w14:textId="267CC165"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0.09%</w:t>
                </w:r>
              </w:p>
            </w:tc>
            <w:tc>
              <w:tcPr>
                <w:tcW w:w="301" w:type="pct"/>
                <w:shd w:val="clear" w:color="auto" w:fill="FFFFFF" w:themeFill="background2"/>
                <w:vAlign w:val="center"/>
              </w:tcPr>
              <w:p w14:paraId="086C925F" w14:textId="1B140BE5"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4837FB09" w14:textId="6B191F9D"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0.06%</w:t>
                </w:r>
              </w:p>
            </w:tc>
            <w:tc>
              <w:tcPr>
                <w:tcW w:w="325" w:type="pct"/>
                <w:shd w:val="clear" w:color="auto" w:fill="FFFFFF" w:themeFill="background2"/>
                <w:vAlign w:val="center"/>
              </w:tcPr>
              <w:p w14:paraId="26A66EC6" w14:textId="7192C221"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0.05%</w:t>
                </w:r>
              </w:p>
            </w:tc>
          </w:tr>
          <w:tr w:rsidR="00C56619" w:rsidRPr="00B80369" w14:paraId="7F96E33C" w14:textId="6E87F869" w:rsidTr="00214B1F">
            <w:trPr>
              <w:trHeight w:val="227"/>
            </w:trPr>
            <w:tc>
              <w:tcPr>
                <w:tcW w:w="307" w:type="pct"/>
                <w:shd w:val="clear" w:color="auto" w:fill="FFFFFF" w:themeFill="background2"/>
                <w:tcMar>
                  <w:top w:w="60" w:type="dxa"/>
                  <w:left w:w="114" w:type="dxa"/>
                  <w:bottom w:w="60" w:type="dxa"/>
                  <w:right w:w="114" w:type="dxa"/>
                </w:tcMar>
                <w:vAlign w:val="center"/>
              </w:tcPr>
              <w:p w14:paraId="73344A1A" w14:textId="77777777" w:rsidR="00C56619" w:rsidRPr="00B80369" w:rsidRDefault="00C56619"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B1.1</w:t>
                </w:r>
              </w:p>
            </w:tc>
            <w:tc>
              <w:tcPr>
                <w:tcW w:w="357" w:type="pct"/>
                <w:shd w:val="clear" w:color="auto" w:fill="FFFFFF" w:themeFill="background2"/>
                <w:tcMar>
                  <w:top w:w="60" w:type="dxa"/>
                  <w:left w:w="114" w:type="dxa"/>
                  <w:bottom w:w="60" w:type="dxa"/>
                  <w:right w:w="114" w:type="dxa"/>
                </w:tcMar>
                <w:vAlign w:val="center"/>
              </w:tcPr>
              <w:p w14:paraId="380BC759" w14:textId="3DDEB88E"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0.19%</w:t>
                </w:r>
              </w:p>
            </w:tc>
            <w:tc>
              <w:tcPr>
                <w:tcW w:w="396" w:type="pct"/>
                <w:shd w:val="clear" w:color="auto" w:fill="FFFFFF" w:themeFill="background2"/>
                <w:tcMar>
                  <w:top w:w="60" w:type="dxa"/>
                  <w:left w:w="114" w:type="dxa"/>
                  <w:bottom w:w="60" w:type="dxa"/>
                  <w:right w:w="114" w:type="dxa"/>
                </w:tcMar>
                <w:vAlign w:val="center"/>
              </w:tcPr>
              <w:p w14:paraId="36EB7D92" w14:textId="245AF66E"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0.16%</w:t>
                </w:r>
              </w:p>
            </w:tc>
            <w:tc>
              <w:tcPr>
                <w:tcW w:w="301" w:type="pct"/>
                <w:shd w:val="clear" w:color="auto" w:fill="FFFFFF" w:themeFill="background2"/>
                <w:vAlign w:val="center"/>
              </w:tcPr>
              <w:p w14:paraId="033D1486" w14:textId="50ACA171"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0.25%</w:t>
                </w:r>
              </w:p>
            </w:tc>
            <w:tc>
              <w:tcPr>
                <w:tcW w:w="301" w:type="pct"/>
                <w:shd w:val="clear" w:color="auto" w:fill="FFFFFF" w:themeFill="background2"/>
                <w:vAlign w:val="center"/>
              </w:tcPr>
              <w:p w14:paraId="5948FAEC" w14:textId="09BA50D5"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0.41%</w:t>
                </w:r>
              </w:p>
            </w:tc>
            <w:tc>
              <w:tcPr>
                <w:tcW w:w="301" w:type="pct"/>
                <w:shd w:val="clear" w:color="auto" w:fill="FFFFFF" w:themeFill="background2"/>
                <w:vAlign w:val="center"/>
              </w:tcPr>
              <w:p w14:paraId="5FCF09F3" w14:textId="4BBBBA9E"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0.27%</w:t>
                </w:r>
              </w:p>
            </w:tc>
            <w:tc>
              <w:tcPr>
                <w:tcW w:w="301" w:type="pct"/>
                <w:shd w:val="clear" w:color="auto" w:fill="FFFFFF" w:themeFill="background2"/>
                <w:vAlign w:val="center"/>
              </w:tcPr>
              <w:p w14:paraId="24BD946F" w14:textId="7BF324EC"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0.25%</w:t>
                </w:r>
              </w:p>
            </w:tc>
            <w:tc>
              <w:tcPr>
                <w:tcW w:w="301" w:type="pct"/>
                <w:shd w:val="clear" w:color="auto" w:fill="FFFFFF" w:themeFill="background2"/>
                <w:vAlign w:val="center"/>
              </w:tcPr>
              <w:p w14:paraId="17F4220B" w14:textId="39DC76A8"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0.42%</w:t>
                </w:r>
              </w:p>
            </w:tc>
            <w:tc>
              <w:tcPr>
                <w:tcW w:w="302" w:type="pct"/>
                <w:shd w:val="clear" w:color="auto" w:fill="FFFFFF" w:themeFill="background2"/>
                <w:vAlign w:val="center"/>
              </w:tcPr>
              <w:p w14:paraId="0BCAD0EC" w14:textId="59C0EDDC"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0.23%</w:t>
                </w:r>
              </w:p>
            </w:tc>
            <w:tc>
              <w:tcPr>
                <w:tcW w:w="302" w:type="pct"/>
                <w:shd w:val="clear" w:color="auto" w:fill="FFFFFF" w:themeFill="background2"/>
                <w:vAlign w:val="center"/>
              </w:tcPr>
              <w:p w14:paraId="7EBDA7CD" w14:textId="5972012A"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0.28%</w:t>
                </w:r>
              </w:p>
            </w:tc>
            <w:tc>
              <w:tcPr>
                <w:tcW w:w="302" w:type="pct"/>
                <w:shd w:val="clear" w:color="auto" w:fill="FFFFFF" w:themeFill="background2"/>
                <w:vAlign w:val="center"/>
              </w:tcPr>
              <w:p w14:paraId="4CDB5AE8" w14:textId="05A385D9"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0.08%</w:t>
                </w:r>
              </w:p>
            </w:tc>
            <w:tc>
              <w:tcPr>
                <w:tcW w:w="301" w:type="pct"/>
                <w:shd w:val="clear" w:color="auto" w:fill="FFFFFF" w:themeFill="background2"/>
                <w:vAlign w:val="center"/>
              </w:tcPr>
              <w:p w14:paraId="163B64CE" w14:textId="6D528449"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0.15%</w:t>
                </w:r>
              </w:p>
            </w:tc>
            <w:tc>
              <w:tcPr>
                <w:tcW w:w="301" w:type="pct"/>
                <w:shd w:val="clear" w:color="auto" w:fill="FFFFFF" w:themeFill="background2"/>
                <w:vAlign w:val="center"/>
              </w:tcPr>
              <w:p w14:paraId="7151D8EA" w14:textId="11A9D60A"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0.17%</w:t>
                </w:r>
              </w:p>
            </w:tc>
            <w:tc>
              <w:tcPr>
                <w:tcW w:w="301" w:type="pct"/>
                <w:shd w:val="clear" w:color="auto" w:fill="FFFFFF" w:themeFill="background2"/>
                <w:vAlign w:val="center"/>
              </w:tcPr>
              <w:p w14:paraId="6BFB841D" w14:textId="3B84F84D"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0.08%</w:t>
                </w:r>
              </w:p>
            </w:tc>
            <w:tc>
              <w:tcPr>
                <w:tcW w:w="301" w:type="pct"/>
                <w:shd w:val="clear" w:color="auto" w:fill="FFFFFF" w:themeFill="background2"/>
                <w:vAlign w:val="center"/>
              </w:tcPr>
              <w:p w14:paraId="2B083729" w14:textId="7736846D"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0.05%</w:t>
                </w:r>
              </w:p>
            </w:tc>
            <w:tc>
              <w:tcPr>
                <w:tcW w:w="325" w:type="pct"/>
                <w:shd w:val="clear" w:color="auto" w:fill="FFFFFF" w:themeFill="background2"/>
                <w:vAlign w:val="center"/>
              </w:tcPr>
              <w:p w14:paraId="7538E5A6" w14:textId="4F5F6559"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0.09%</w:t>
                </w:r>
              </w:p>
            </w:tc>
          </w:tr>
          <w:tr w:rsidR="00C56619" w:rsidRPr="00B80369" w14:paraId="4F03968F" w14:textId="557AC5AC" w:rsidTr="00214B1F">
            <w:trPr>
              <w:trHeight w:val="227"/>
            </w:trPr>
            <w:tc>
              <w:tcPr>
                <w:tcW w:w="307" w:type="pct"/>
                <w:shd w:val="clear" w:color="auto" w:fill="FFFFFF" w:themeFill="background2"/>
                <w:tcMar>
                  <w:top w:w="60" w:type="dxa"/>
                  <w:left w:w="114" w:type="dxa"/>
                  <w:bottom w:w="60" w:type="dxa"/>
                  <w:right w:w="114" w:type="dxa"/>
                </w:tcMar>
                <w:vAlign w:val="center"/>
              </w:tcPr>
              <w:p w14:paraId="5A988209" w14:textId="77777777" w:rsidR="00C56619" w:rsidRPr="00B80369" w:rsidRDefault="00C56619"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B1.2</w:t>
                </w:r>
              </w:p>
            </w:tc>
            <w:tc>
              <w:tcPr>
                <w:tcW w:w="357" w:type="pct"/>
                <w:shd w:val="clear" w:color="auto" w:fill="FFFFFF" w:themeFill="background2"/>
                <w:tcMar>
                  <w:top w:w="60" w:type="dxa"/>
                  <w:left w:w="114" w:type="dxa"/>
                  <w:bottom w:w="60" w:type="dxa"/>
                  <w:right w:w="114" w:type="dxa"/>
                </w:tcMar>
                <w:vAlign w:val="center"/>
              </w:tcPr>
              <w:p w14:paraId="27C17C3F" w14:textId="01833D5E"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0.75%</w:t>
                </w:r>
              </w:p>
            </w:tc>
            <w:tc>
              <w:tcPr>
                <w:tcW w:w="396" w:type="pct"/>
                <w:shd w:val="clear" w:color="auto" w:fill="FFFFFF" w:themeFill="background2"/>
                <w:tcMar>
                  <w:top w:w="60" w:type="dxa"/>
                  <w:left w:w="114" w:type="dxa"/>
                  <w:bottom w:w="60" w:type="dxa"/>
                  <w:right w:w="114" w:type="dxa"/>
                </w:tcMar>
                <w:vAlign w:val="center"/>
              </w:tcPr>
              <w:p w14:paraId="44C842B8" w14:textId="22D5E4B1"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0.48%</w:t>
                </w:r>
              </w:p>
            </w:tc>
            <w:tc>
              <w:tcPr>
                <w:tcW w:w="301" w:type="pct"/>
                <w:shd w:val="clear" w:color="auto" w:fill="FFFFFF" w:themeFill="background2"/>
                <w:vAlign w:val="center"/>
              </w:tcPr>
              <w:p w14:paraId="51B471C5" w14:textId="02B30DDB"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0.61%</w:t>
                </w:r>
              </w:p>
            </w:tc>
            <w:tc>
              <w:tcPr>
                <w:tcW w:w="301" w:type="pct"/>
                <w:shd w:val="clear" w:color="auto" w:fill="FFFFFF" w:themeFill="background2"/>
                <w:vAlign w:val="center"/>
              </w:tcPr>
              <w:p w14:paraId="127D861C" w14:textId="2A274857"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1.07%</w:t>
                </w:r>
              </w:p>
            </w:tc>
            <w:tc>
              <w:tcPr>
                <w:tcW w:w="301" w:type="pct"/>
                <w:shd w:val="clear" w:color="auto" w:fill="FFFFFF" w:themeFill="background2"/>
                <w:vAlign w:val="center"/>
              </w:tcPr>
              <w:p w14:paraId="748E9717" w14:textId="400EEF29"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0.87%</w:t>
                </w:r>
              </w:p>
            </w:tc>
            <w:tc>
              <w:tcPr>
                <w:tcW w:w="301" w:type="pct"/>
                <w:shd w:val="clear" w:color="auto" w:fill="FFFFFF" w:themeFill="background2"/>
                <w:vAlign w:val="center"/>
              </w:tcPr>
              <w:p w14:paraId="1D475308" w14:textId="17F9DDEA"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1.17%</w:t>
                </w:r>
              </w:p>
            </w:tc>
            <w:tc>
              <w:tcPr>
                <w:tcW w:w="301" w:type="pct"/>
                <w:shd w:val="clear" w:color="auto" w:fill="FFFFFF" w:themeFill="background2"/>
                <w:vAlign w:val="center"/>
              </w:tcPr>
              <w:p w14:paraId="54490F2E" w14:textId="67C305EA"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0.85%</w:t>
                </w:r>
              </w:p>
            </w:tc>
            <w:tc>
              <w:tcPr>
                <w:tcW w:w="302" w:type="pct"/>
                <w:shd w:val="clear" w:color="auto" w:fill="FFFFFF" w:themeFill="background2"/>
                <w:vAlign w:val="center"/>
              </w:tcPr>
              <w:p w14:paraId="11D8372C" w14:textId="3FC6CCC8"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0.64%</w:t>
                </w:r>
              </w:p>
            </w:tc>
            <w:tc>
              <w:tcPr>
                <w:tcW w:w="302" w:type="pct"/>
                <w:shd w:val="clear" w:color="auto" w:fill="FFFFFF" w:themeFill="background2"/>
                <w:vAlign w:val="center"/>
              </w:tcPr>
              <w:p w14:paraId="2EC95632" w14:textId="48AAE847"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0.29%</w:t>
                </w:r>
              </w:p>
            </w:tc>
            <w:tc>
              <w:tcPr>
                <w:tcW w:w="302" w:type="pct"/>
                <w:shd w:val="clear" w:color="auto" w:fill="FFFFFF" w:themeFill="background2"/>
                <w:vAlign w:val="center"/>
              </w:tcPr>
              <w:p w14:paraId="7CFC9361" w14:textId="5F9DBA8A"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0.30%</w:t>
                </w:r>
              </w:p>
            </w:tc>
            <w:tc>
              <w:tcPr>
                <w:tcW w:w="301" w:type="pct"/>
                <w:shd w:val="clear" w:color="auto" w:fill="FFFFFF" w:themeFill="background2"/>
                <w:vAlign w:val="center"/>
              </w:tcPr>
              <w:p w14:paraId="00AEDA91" w14:textId="410A3CAA"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0.33%</w:t>
                </w:r>
              </w:p>
            </w:tc>
            <w:tc>
              <w:tcPr>
                <w:tcW w:w="301" w:type="pct"/>
                <w:shd w:val="clear" w:color="auto" w:fill="FFFFFF" w:themeFill="background2"/>
                <w:vAlign w:val="center"/>
              </w:tcPr>
              <w:p w14:paraId="61FE3239" w14:textId="40C61B40"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0.19%</w:t>
                </w:r>
              </w:p>
            </w:tc>
            <w:tc>
              <w:tcPr>
                <w:tcW w:w="301" w:type="pct"/>
                <w:shd w:val="clear" w:color="auto" w:fill="FFFFFF" w:themeFill="background2"/>
                <w:vAlign w:val="center"/>
              </w:tcPr>
              <w:p w14:paraId="6FD98D45" w14:textId="0B1049C2"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0.08%</w:t>
                </w:r>
              </w:p>
            </w:tc>
            <w:tc>
              <w:tcPr>
                <w:tcW w:w="301" w:type="pct"/>
                <w:shd w:val="clear" w:color="auto" w:fill="FFFFFF" w:themeFill="background2"/>
                <w:vAlign w:val="center"/>
              </w:tcPr>
              <w:p w14:paraId="080D84BC" w14:textId="0AEA5359"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0.07%</w:t>
                </w:r>
              </w:p>
            </w:tc>
            <w:tc>
              <w:tcPr>
                <w:tcW w:w="325" w:type="pct"/>
                <w:shd w:val="clear" w:color="auto" w:fill="FFFFFF" w:themeFill="background2"/>
                <w:vAlign w:val="center"/>
              </w:tcPr>
              <w:p w14:paraId="09A9CCBC" w14:textId="7E38B36C"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0.12%</w:t>
                </w:r>
              </w:p>
            </w:tc>
          </w:tr>
          <w:tr w:rsidR="00C56619" w:rsidRPr="00B80369" w14:paraId="2EE49AF6" w14:textId="521D9B68" w:rsidTr="00214B1F">
            <w:trPr>
              <w:trHeight w:val="227"/>
            </w:trPr>
            <w:tc>
              <w:tcPr>
                <w:tcW w:w="307" w:type="pct"/>
                <w:shd w:val="clear" w:color="auto" w:fill="FFFFFF" w:themeFill="background2"/>
                <w:tcMar>
                  <w:top w:w="60" w:type="dxa"/>
                  <w:left w:w="114" w:type="dxa"/>
                  <w:bottom w:w="60" w:type="dxa"/>
                  <w:right w:w="114" w:type="dxa"/>
                </w:tcMar>
                <w:vAlign w:val="center"/>
              </w:tcPr>
              <w:p w14:paraId="57B3DA65" w14:textId="77777777" w:rsidR="00C56619" w:rsidRPr="00B80369" w:rsidRDefault="00C56619"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B2.1</w:t>
                </w:r>
              </w:p>
            </w:tc>
            <w:tc>
              <w:tcPr>
                <w:tcW w:w="357" w:type="pct"/>
                <w:shd w:val="clear" w:color="auto" w:fill="FFFFFF" w:themeFill="background2"/>
                <w:tcMar>
                  <w:top w:w="60" w:type="dxa"/>
                  <w:left w:w="114" w:type="dxa"/>
                  <w:bottom w:w="60" w:type="dxa"/>
                  <w:right w:w="114" w:type="dxa"/>
                </w:tcMar>
                <w:vAlign w:val="center"/>
              </w:tcPr>
              <w:p w14:paraId="29CE2FF5" w14:textId="5A8C35D4"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1.53%</w:t>
                </w:r>
              </w:p>
            </w:tc>
            <w:tc>
              <w:tcPr>
                <w:tcW w:w="396" w:type="pct"/>
                <w:shd w:val="clear" w:color="auto" w:fill="FFFFFF" w:themeFill="background2"/>
                <w:tcMar>
                  <w:top w:w="60" w:type="dxa"/>
                  <w:left w:w="114" w:type="dxa"/>
                  <w:bottom w:w="60" w:type="dxa"/>
                  <w:right w:w="114" w:type="dxa"/>
                </w:tcMar>
                <w:vAlign w:val="center"/>
              </w:tcPr>
              <w:p w14:paraId="6612869E" w14:textId="4FF9DE35"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1.40%</w:t>
                </w:r>
              </w:p>
            </w:tc>
            <w:tc>
              <w:tcPr>
                <w:tcW w:w="301" w:type="pct"/>
                <w:shd w:val="clear" w:color="auto" w:fill="FFFFFF" w:themeFill="background2"/>
                <w:vAlign w:val="center"/>
              </w:tcPr>
              <w:p w14:paraId="6FC35993" w14:textId="3FCE6913"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1.36%</w:t>
                </w:r>
              </w:p>
            </w:tc>
            <w:tc>
              <w:tcPr>
                <w:tcW w:w="301" w:type="pct"/>
                <w:shd w:val="clear" w:color="auto" w:fill="FFFFFF" w:themeFill="background2"/>
                <w:vAlign w:val="center"/>
              </w:tcPr>
              <w:p w14:paraId="3450581C" w14:textId="6CA1E53A"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2.67%</w:t>
                </w:r>
              </w:p>
            </w:tc>
            <w:tc>
              <w:tcPr>
                <w:tcW w:w="301" w:type="pct"/>
                <w:shd w:val="clear" w:color="auto" w:fill="FFFFFF" w:themeFill="background2"/>
                <w:vAlign w:val="center"/>
              </w:tcPr>
              <w:p w14:paraId="0950FFD2" w14:textId="19E3CE6B"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1.75%</w:t>
                </w:r>
              </w:p>
            </w:tc>
            <w:tc>
              <w:tcPr>
                <w:tcW w:w="301" w:type="pct"/>
                <w:shd w:val="clear" w:color="auto" w:fill="FFFFFF" w:themeFill="background2"/>
                <w:vAlign w:val="center"/>
              </w:tcPr>
              <w:p w14:paraId="0372C002" w14:textId="5372AB86"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1.97%</w:t>
                </w:r>
              </w:p>
            </w:tc>
            <w:tc>
              <w:tcPr>
                <w:tcW w:w="301" w:type="pct"/>
                <w:shd w:val="clear" w:color="auto" w:fill="FFFFFF" w:themeFill="background2"/>
                <w:vAlign w:val="center"/>
              </w:tcPr>
              <w:p w14:paraId="643CC05A" w14:textId="712B068C"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1.47%</w:t>
                </w:r>
              </w:p>
            </w:tc>
            <w:tc>
              <w:tcPr>
                <w:tcW w:w="302" w:type="pct"/>
                <w:shd w:val="clear" w:color="auto" w:fill="FFFFFF" w:themeFill="background2"/>
                <w:vAlign w:val="center"/>
              </w:tcPr>
              <w:p w14:paraId="09AC1C4F" w14:textId="1AA72505"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1.37%</w:t>
                </w:r>
              </w:p>
            </w:tc>
            <w:tc>
              <w:tcPr>
                <w:tcW w:w="302" w:type="pct"/>
                <w:shd w:val="clear" w:color="auto" w:fill="FFFFFF" w:themeFill="background2"/>
                <w:vAlign w:val="center"/>
              </w:tcPr>
              <w:p w14:paraId="2AC6AD7C" w14:textId="1943E38C"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0.84%</w:t>
                </w:r>
              </w:p>
            </w:tc>
            <w:tc>
              <w:tcPr>
                <w:tcW w:w="302" w:type="pct"/>
                <w:shd w:val="clear" w:color="auto" w:fill="FFFFFF" w:themeFill="background2"/>
                <w:vAlign w:val="center"/>
              </w:tcPr>
              <w:p w14:paraId="22FA3D06" w14:textId="5C7D2436"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0.75%</w:t>
                </w:r>
              </w:p>
            </w:tc>
            <w:tc>
              <w:tcPr>
                <w:tcW w:w="301" w:type="pct"/>
                <w:shd w:val="clear" w:color="auto" w:fill="FFFFFF" w:themeFill="background2"/>
                <w:vAlign w:val="center"/>
              </w:tcPr>
              <w:p w14:paraId="7503D3E3" w14:textId="47E307DB" w:rsidR="00C56619" w:rsidRPr="00B80369" w:rsidRDefault="00C56619"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1.06%</w:t>
                </w:r>
              </w:p>
            </w:tc>
            <w:tc>
              <w:tcPr>
                <w:tcW w:w="301" w:type="pct"/>
                <w:shd w:val="clear" w:color="auto" w:fill="FFFFFF" w:themeFill="background2"/>
                <w:vAlign w:val="center"/>
              </w:tcPr>
              <w:p w14:paraId="54DFC8A9" w14:textId="6BB12709" w:rsidR="00C56619" w:rsidRPr="00B80369" w:rsidRDefault="00C56619"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0.52%</w:t>
                </w:r>
              </w:p>
            </w:tc>
            <w:tc>
              <w:tcPr>
                <w:tcW w:w="301" w:type="pct"/>
                <w:shd w:val="clear" w:color="auto" w:fill="FFFFFF" w:themeFill="background2"/>
                <w:vAlign w:val="center"/>
              </w:tcPr>
              <w:p w14:paraId="2821DA1B" w14:textId="0633733E" w:rsidR="00C56619" w:rsidRPr="00B80369" w:rsidRDefault="00C56619"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0.14%</w:t>
                </w:r>
              </w:p>
            </w:tc>
            <w:tc>
              <w:tcPr>
                <w:tcW w:w="301" w:type="pct"/>
                <w:shd w:val="clear" w:color="auto" w:fill="FFFFFF" w:themeFill="background2"/>
                <w:vAlign w:val="center"/>
              </w:tcPr>
              <w:p w14:paraId="35B90810" w14:textId="7ED8C572" w:rsidR="00C56619" w:rsidRPr="00B80369" w:rsidRDefault="00C56619"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0.18%</w:t>
                </w:r>
              </w:p>
            </w:tc>
            <w:tc>
              <w:tcPr>
                <w:tcW w:w="325" w:type="pct"/>
                <w:shd w:val="clear" w:color="auto" w:fill="FFFFFF" w:themeFill="background2"/>
                <w:vAlign w:val="center"/>
              </w:tcPr>
              <w:p w14:paraId="167727E1" w14:textId="02B2201E"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0.32%</w:t>
                </w:r>
              </w:p>
            </w:tc>
          </w:tr>
          <w:tr w:rsidR="00C56619" w:rsidRPr="00B80369" w14:paraId="35C413A8" w14:textId="6A056A78" w:rsidTr="00214B1F">
            <w:trPr>
              <w:trHeight w:val="227"/>
            </w:trPr>
            <w:tc>
              <w:tcPr>
                <w:tcW w:w="307" w:type="pct"/>
                <w:shd w:val="clear" w:color="auto" w:fill="FFFFFF" w:themeFill="background2"/>
                <w:tcMar>
                  <w:top w:w="60" w:type="dxa"/>
                  <w:left w:w="114" w:type="dxa"/>
                  <w:bottom w:w="60" w:type="dxa"/>
                  <w:right w:w="114" w:type="dxa"/>
                </w:tcMar>
                <w:vAlign w:val="center"/>
              </w:tcPr>
              <w:p w14:paraId="13198DA3" w14:textId="77777777" w:rsidR="00C56619" w:rsidRPr="00B80369" w:rsidRDefault="00C56619"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B2.2</w:t>
                </w:r>
              </w:p>
            </w:tc>
            <w:tc>
              <w:tcPr>
                <w:tcW w:w="357" w:type="pct"/>
                <w:shd w:val="clear" w:color="auto" w:fill="FFFFFF" w:themeFill="background2"/>
                <w:tcMar>
                  <w:top w:w="60" w:type="dxa"/>
                  <w:left w:w="114" w:type="dxa"/>
                  <w:bottom w:w="60" w:type="dxa"/>
                  <w:right w:w="114" w:type="dxa"/>
                </w:tcMar>
                <w:vAlign w:val="center"/>
              </w:tcPr>
              <w:p w14:paraId="565B5784" w14:textId="5D1BA1E5"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3.94%</w:t>
                </w:r>
              </w:p>
            </w:tc>
            <w:tc>
              <w:tcPr>
                <w:tcW w:w="396" w:type="pct"/>
                <w:shd w:val="clear" w:color="auto" w:fill="FFFFFF" w:themeFill="background2"/>
                <w:tcMar>
                  <w:top w:w="60" w:type="dxa"/>
                  <w:left w:w="114" w:type="dxa"/>
                  <w:bottom w:w="60" w:type="dxa"/>
                  <w:right w:w="114" w:type="dxa"/>
                </w:tcMar>
                <w:vAlign w:val="center"/>
              </w:tcPr>
              <w:p w14:paraId="093950BA" w14:textId="081EB539"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2.88%</w:t>
                </w:r>
              </w:p>
            </w:tc>
            <w:tc>
              <w:tcPr>
                <w:tcW w:w="301" w:type="pct"/>
                <w:shd w:val="clear" w:color="auto" w:fill="FFFFFF" w:themeFill="background2"/>
                <w:vAlign w:val="center"/>
              </w:tcPr>
              <w:p w14:paraId="76DAA704" w14:textId="1D1AF5D2"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3.14%</w:t>
                </w:r>
              </w:p>
            </w:tc>
            <w:tc>
              <w:tcPr>
                <w:tcW w:w="301" w:type="pct"/>
                <w:shd w:val="clear" w:color="auto" w:fill="FFFFFF" w:themeFill="background2"/>
                <w:vAlign w:val="center"/>
              </w:tcPr>
              <w:p w14:paraId="3D462E2D" w14:textId="2E552FEA"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5.16%</w:t>
                </w:r>
              </w:p>
            </w:tc>
            <w:tc>
              <w:tcPr>
                <w:tcW w:w="301" w:type="pct"/>
                <w:shd w:val="clear" w:color="auto" w:fill="FFFFFF" w:themeFill="background2"/>
                <w:vAlign w:val="center"/>
              </w:tcPr>
              <w:p w14:paraId="48665993" w14:textId="151BE772"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4.12%</w:t>
                </w:r>
              </w:p>
            </w:tc>
            <w:tc>
              <w:tcPr>
                <w:tcW w:w="301" w:type="pct"/>
                <w:shd w:val="clear" w:color="auto" w:fill="FFFFFF" w:themeFill="background2"/>
                <w:vAlign w:val="center"/>
              </w:tcPr>
              <w:p w14:paraId="19874574" w14:textId="6A8AC62C"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3.37%</w:t>
                </w:r>
              </w:p>
            </w:tc>
            <w:tc>
              <w:tcPr>
                <w:tcW w:w="301" w:type="pct"/>
                <w:shd w:val="clear" w:color="auto" w:fill="FFFFFF" w:themeFill="background2"/>
                <w:vAlign w:val="center"/>
              </w:tcPr>
              <w:p w14:paraId="75803FF0" w14:textId="68E163F1"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2.98%</w:t>
                </w:r>
              </w:p>
            </w:tc>
            <w:tc>
              <w:tcPr>
                <w:tcW w:w="302" w:type="pct"/>
                <w:shd w:val="clear" w:color="auto" w:fill="FFFFFF" w:themeFill="background2"/>
                <w:vAlign w:val="center"/>
              </w:tcPr>
              <w:p w14:paraId="5421E15B" w14:textId="29C40C37"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2.71%</w:t>
                </w:r>
              </w:p>
            </w:tc>
            <w:tc>
              <w:tcPr>
                <w:tcW w:w="302" w:type="pct"/>
                <w:shd w:val="clear" w:color="auto" w:fill="FFFFFF" w:themeFill="background2"/>
                <w:vAlign w:val="center"/>
              </w:tcPr>
              <w:p w14:paraId="32CF53F9" w14:textId="61155087"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1.87%</w:t>
                </w:r>
              </w:p>
            </w:tc>
            <w:tc>
              <w:tcPr>
                <w:tcW w:w="302" w:type="pct"/>
                <w:shd w:val="clear" w:color="auto" w:fill="FFFFFF" w:themeFill="background2"/>
                <w:vAlign w:val="center"/>
              </w:tcPr>
              <w:p w14:paraId="56D55138" w14:textId="09BF2DE1"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1.40%</w:t>
                </w:r>
              </w:p>
            </w:tc>
            <w:tc>
              <w:tcPr>
                <w:tcW w:w="301" w:type="pct"/>
                <w:shd w:val="clear" w:color="auto" w:fill="FFFFFF" w:themeFill="background2"/>
                <w:vAlign w:val="center"/>
              </w:tcPr>
              <w:p w14:paraId="5099C269" w14:textId="064FB442"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1.89%</w:t>
                </w:r>
              </w:p>
            </w:tc>
            <w:tc>
              <w:tcPr>
                <w:tcW w:w="301" w:type="pct"/>
                <w:shd w:val="clear" w:color="auto" w:fill="FFFFFF" w:themeFill="background2"/>
                <w:vAlign w:val="center"/>
              </w:tcPr>
              <w:p w14:paraId="6CD26524" w14:textId="3AC2FF33"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1.62%</w:t>
                </w:r>
              </w:p>
            </w:tc>
            <w:tc>
              <w:tcPr>
                <w:tcW w:w="301" w:type="pct"/>
                <w:shd w:val="clear" w:color="auto" w:fill="FFFFFF" w:themeFill="background2"/>
                <w:vAlign w:val="center"/>
              </w:tcPr>
              <w:p w14:paraId="5E7F1754" w14:textId="65C51C58"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0.23%</w:t>
                </w:r>
              </w:p>
            </w:tc>
            <w:tc>
              <w:tcPr>
                <w:tcW w:w="301" w:type="pct"/>
                <w:shd w:val="clear" w:color="auto" w:fill="FFFFFF" w:themeFill="background2"/>
                <w:vAlign w:val="center"/>
              </w:tcPr>
              <w:p w14:paraId="4CAED818" w14:textId="55DD4D7C"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0.54%</w:t>
                </w:r>
              </w:p>
            </w:tc>
            <w:tc>
              <w:tcPr>
                <w:tcW w:w="325" w:type="pct"/>
                <w:shd w:val="clear" w:color="auto" w:fill="FFFFFF" w:themeFill="background2"/>
                <w:vAlign w:val="center"/>
              </w:tcPr>
              <w:p w14:paraId="6AA4DDBE" w14:textId="34FD72AE"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1.10%</w:t>
                </w:r>
              </w:p>
            </w:tc>
          </w:tr>
          <w:tr w:rsidR="00C56619" w:rsidRPr="00B80369" w14:paraId="2450573B" w14:textId="1688F5B9" w:rsidTr="00214B1F">
            <w:trPr>
              <w:trHeight w:val="227"/>
            </w:trPr>
            <w:tc>
              <w:tcPr>
                <w:tcW w:w="307" w:type="pct"/>
                <w:shd w:val="clear" w:color="auto" w:fill="FFFFFF" w:themeFill="background2"/>
                <w:tcMar>
                  <w:top w:w="60" w:type="dxa"/>
                  <w:left w:w="114" w:type="dxa"/>
                  <w:bottom w:w="60" w:type="dxa"/>
                  <w:right w:w="114" w:type="dxa"/>
                </w:tcMar>
                <w:vAlign w:val="center"/>
              </w:tcPr>
              <w:p w14:paraId="3E32E1E2" w14:textId="77777777" w:rsidR="00C56619" w:rsidRPr="00B80369" w:rsidRDefault="00C56619"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C1.1</w:t>
                </w:r>
              </w:p>
            </w:tc>
            <w:tc>
              <w:tcPr>
                <w:tcW w:w="357" w:type="pct"/>
                <w:shd w:val="clear" w:color="auto" w:fill="FFFFFF" w:themeFill="background2"/>
                <w:tcMar>
                  <w:top w:w="60" w:type="dxa"/>
                  <w:left w:w="114" w:type="dxa"/>
                  <w:bottom w:w="60" w:type="dxa"/>
                  <w:right w:w="114" w:type="dxa"/>
                </w:tcMar>
                <w:vAlign w:val="center"/>
              </w:tcPr>
              <w:p w14:paraId="41106A60" w14:textId="25F26F02"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7.45%</w:t>
                </w:r>
              </w:p>
            </w:tc>
            <w:tc>
              <w:tcPr>
                <w:tcW w:w="396" w:type="pct"/>
                <w:shd w:val="clear" w:color="auto" w:fill="FFFFFF" w:themeFill="background2"/>
                <w:tcMar>
                  <w:top w:w="60" w:type="dxa"/>
                  <w:left w:w="114" w:type="dxa"/>
                  <w:bottom w:w="60" w:type="dxa"/>
                  <w:right w:w="114" w:type="dxa"/>
                </w:tcMar>
                <w:vAlign w:val="center"/>
              </w:tcPr>
              <w:p w14:paraId="2DCDC576" w14:textId="609954D9"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5.87%</w:t>
                </w:r>
              </w:p>
            </w:tc>
            <w:tc>
              <w:tcPr>
                <w:tcW w:w="301" w:type="pct"/>
                <w:shd w:val="clear" w:color="auto" w:fill="FFFFFF" w:themeFill="background2"/>
                <w:vAlign w:val="center"/>
              </w:tcPr>
              <w:p w14:paraId="4A1CF883" w14:textId="755900B7"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5.98%</w:t>
                </w:r>
              </w:p>
            </w:tc>
            <w:tc>
              <w:tcPr>
                <w:tcW w:w="301" w:type="pct"/>
                <w:shd w:val="clear" w:color="auto" w:fill="FFFFFF" w:themeFill="background2"/>
                <w:vAlign w:val="center"/>
              </w:tcPr>
              <w:p w14:paraId="54769FB7" w14:textId="727D5E4B"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9.98%</w:t>
                </w:r>
              </w:p>
            </w:tc>
            <w:tc>
              <w:tcPr>
                <w:tcW w:w="301" w:type="pct"/>
                <w:shd w:val="clear" w:color="auto" w:fill="FFFFFF" w:themeFill="background2"/>
                <w:vAlign w:val="center"/>
              </w:tcPr>
              <w:p w14:paraId="65DA1F6C" w14:textId="4E976027"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9.72%</w:t>
                </w:r>
              </w:p>
            </w:tc>
            <w:tc>
              <w:tcPr>
                <w:tcW w:w="301" w:type="pct"/>
                <w:shd w:val="clear" w:color="auto" w:fill="FFFFFF" w:themeFill="background2"/>
                <w:vAlign w:val="center"/>
              </w:tcPr>
              <w:p w14:paraId="7BF45A4E" w14:textId="20508A37"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7.37%</w:t>
                </w:r>
              </w:p>
            </w:tc>
            <w:tc>
              <w:tcPr>
                <w:tcW w:w="301" w:type="pct"/>
                <w:shd w:val="clear" w:color="auto" w:fill="FFFFFF" w:themeFill="background2"/>
                <w:vAlign w:val="center"/>
              </w:tcPr>
              <w:p w14:paraId="68396E00" w14:textId="4CD335D9"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6.13%</w:t>
                </w:r>
              </w:p>
            </w:tc>
            <w:tc>
              <w:tcPr>
                <w:tcW w:w="302" w:type="pct"/>
                <w:shd w:val="clear" w:color="auto" w:fill="FFFFFF" w:themeFill="background2"/>
                <w:vAlign w:val="center"/>
              </w:tcPr>
              <w:p w14:paraId="7E3DE604" w14:textId="5DC5A5D0"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5.22%</w:t>
                </w:r>
              </w:p>
            </w:tc>
            <w:tc>
              <w:tcPr>
                <w:tcW w:w="302" w:type="pct"/>
                <w:shd w:val="clear" w:color="auto" w:fill="FFFFFF" w:themeFill="background2"/>
                <w:vAlign w:val="center"/>
              </w:tcPr>
              <w:p w14:paraId="27AE1680" w14:textId="0277108E"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3.33%</w:t>
                </w:r>
              </w:p>
            </w:tc>
            <w:tc>
              <w:tcPr>
                <w:tcW w:w="302" w:type="pct"/>
                <w:shd w:val="clear" w:color="auto" w:fill="FFFFFF" w:themeFill="background2"/>
                <w:vAlign w:val="center"/>
              </w:tcPr>
              <w:p w14:paraId="5CA1E778" w14:textId="2CC2D1F5"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3.18%</w:t>
                </w:r>
              </w:p>
            </w:tc>
            <w:tc>
              <w:tcPr>
                <w:tcW w:w="301" w:type="pct"/>
                <w:shd w:val="clear" w:color="auto" w:fill="FFFFFF" w:themeFill="background2"/>
                <w:vAlign w:val="center"/>
              </w:tcPr>
              <w:p w14:paraId="4A39BE8F" w14:textId="48FD6A97"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3.26%</w:t>
                </w:r>
              </w:p>
            </w:tc>
            <w:tc>
              <w:tcPr>
                <w:tcW w:w="301" w:type="pct"/>
                <w:shd w:val="clear" w:color="auto" w:fill="FFFFFF" w:themeFill="background2"/>
                <w:vAlign w:val="center"/>
              </w:tcPr>
              <w:p w14:paraId="1F477A6C" w14:textId="3CEEF161"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2.60%</w:t>
                </w:r>
              </w:p>
            </w:tc>
            <w:tc>
              <w:tcPr>
                <w:tcW w:w="301" w:type="pct"/>
                <w:shd w:val="clear" w:color="auto" w:fill="FFFFFF" w:themeFill="background2"/>
                <w:vAlign w:val="center"/>
              </w:tcPr>
              <w:p w14:paraId="14304E43" w14:textId="35AEFDDD"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0.81%</w:t>
                </w:r>
              </w:p>
            </w:tc>
            <w:tc>
              <w:tcPr>
                <w:tcW w:w="301" w:type="pct"/>
                <w:shd w:val="clear" w:color="auto" w:fill="FFFFFF" w:themeFill="background2"/>
                <w:vAlign w:val="center"/>
              </w:tcPr>
              <w:p w14:paraId="1C372FB1" w14:textId="154DE925"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1.00%</w:t>
                </w:r>
              </w:p>
            </w:tc>
            <w:tc>
              <w:tcPr>
                <w:tcW w:w="325" w:type="pct"/>
                <w:shd w:val="clear" w:color="auto" w:fill="FFFFFF" w:themeFill="background2"/>
                <w:vAlign w:val="center"/>
              </w:tcPr>
              <w:p w14:paraId="0C2D5A7E" w14:textId="50FE5F1A"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1.76%</w:t>
                </w:r>
              </w:p>
            </w:tc>
          </w:tr>
          <w:tr w:rsidR="00C56619" w:rsidRPr="00B80369" w14:paraId="7A2F0141" w14:textId="6E9D8897" w:rsidTr="00214B1F">
            <w:trPr>
              <w:trHeight w:val="227"/>
            </w:trPr>
            <w:tc>
              <w:tcPr>
                <w:tcW w:w="307" w:type="pct"/>
                <w:shd w:val="clear" w:color="auto" w:fill="FFFFFF" w:themeFill="background2"/>
                <w:tcMar>
                  <w:top w:w="60" w:type="dxa"/>
                  <w:left w:w="114" w:type="dxa"/>
                  <w:bottom w:w="60" w:type="dxa"/>
                  <w:right w:w="114" w:type="dxa"/>
                </w:tcMar>
                <w:vAlign w:val="center"/>
              </w:tcPr>
              <w:p w14:paraId="392F3FC3" w14:textId="77777777" w:rsidR="00C56619" w:rsidRPr="00B80369" w:rsidRDefault="00C56619"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C1.2</w:t>
                </w:r>
              </w:p>
            </w:tc>
            <w:tc>
              <w:tcPr>
                <w:tcW w:w="357" w:type="pct"/>
                <w:shd w:val="clear" w:color="auto" w:fill="FFFFFF" w:themeFill="background2"/>
                <w:tcMar>
                  <w:top w:w="60" w:type="dxa"/>
                  <w:left w:w="114" w:type="dxa"/>
                  <w:bottom w:w="60" w:type="dxa"/>
                  <w:right w:w="114" w:type="dxa"/>
                </w:tcMar>
                <w:vAlign w:val="center"/>
              </w:tcPr>
              <w:p w14:paraId="64ADE0B2" w14:textId="68F5EC75"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18.34%</w:t>
                </w:r>
              </w:p>
            </w:tc>
            <w:tc>
              <w:tcPr>
                <w:tcW w:w="396" w:type="pct"/>
                <w:shd w:val="clear" w:color="auto" w:fill="FFFFFF" w:themeFill="background2"/>
                <w:tcMar>
                  <w:top w:w="60" w:type="dxa"/>
                  <w:left w:w="114" w:type="dxa"/>
                  <w:bottom w:w="60" w:type="dxa"/>
                  <w:right w:w="114" w:type="dxa"/>
                </w:tcMar>
                <w:vAlign w:val="center"/>
              </w:tcPr>
              <w:p w14:paraId="7D920A17" w14:textId="3D7D314D"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16.09%</w:t>
                </w:r>
              </w:p>
            </w:tc>
            <w:tc>
              <w:tcPr>
                <w:tcW w:w="301" w:type="pct"/>
                <w:shd w:val="clear" w:color="auto" w:fill="FFFFFF" w:themeFill="background2"/>
                <w:vAlign w:val="center"/>
              </w:tcPr>
              <w:p w14:paraId="669A171A" w14:textId="06D926ED"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13.58%</w:t>
                </w:r>
              </w:p>
            </w:tc>
            <w:tc>
              <w:tcPr>
                <w:tcW w:w="301" w:type="pct"/>
                <w:shd w:val="clear" w:color="auto" w:fill="FFFFFF" w:themeFill="background2"/>
                <w:vAlign w:val="center"/>
              </w:tcPr>
              <w:p w14:paraId="40753F4D" w14:textId="53B6FE4E"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22.88%</w:t>
                </w:r>
              </w:p>
            </w:tc>
            <w:tc>
              <w:tcPr>
                <w:tcW w:w="301" w:type="pct"/>
                <w:shd w:val="clear" w:color="auto" w:fill="FFFFFF" w:themeFill="background2"/>
                <w:vAlign w:val="center"/>
              </w:tcPr>
              <w:p w14:paraId="6D0A344D" w14:textId="2E46D69F"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21.04%</w:t>
                </w:r>
              </w:p>
            </w:tc>
            <w:tc>
              <w:tcPr>
                <w:tcW w:w="301" w:type="pct"/>
                <w:shd w:val="clear" w:color="auto" w:fill="FFFFFF" w:themeFill="background2"/>
                <w:vAlign w:val="center"/>
              </w:tcPr>
              <w:p w14:paraId="3B856B2E" w14:textId="6EA454E5"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15.09%</w:t>
                </w:r>
              </w:p>
            </w:tc>
            <w:tc>
              <w:tcPr>
                <w:tcW w:w="301" w:type="pct"/>
                <w:shd w:val="clear" w:color="auto" w:fill="FFFFFF" w:themeFill="background2"/>
                <w:vAlign w:val="center"/>
              </w:tcPr>
              <w:p w14:paraId="086D8B45" w14:textId="3159CBCE"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10.17%</w:t>
                </w:r>
              </w:p>
            </w:tc>
            <w:tc>
              <w:tcPr>
                <w:tcW w:w="302" w:type="pct"/>
                <w:shd w:val="clear" w:color="auto" w:fill="FFFFFF" w:themeFill="background2"/>
                <w:vAlign w:val="center"/>
              </w:tcPr>
              <w:p w14:paraId="6D849B73" w14:textId="5CEC65FE"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12.87%</w:t>
                </w:r>
              </w:p>
            </w:tc>
            <w:tc>
              <w:tcPr>
                <w:tcW w:w="302" w:type="pct"/>
                <w:shd w:val="clear" w:color="auto" w:fill="FFFFFF" w:themeFill="background2"/>
                <w:vAlign w:val="center"/>
              </w:tcPr>
              <w:p w14:paraId="134C6C43" w14:textId="7411980A"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7.07%</w:t>
                </w:r>
              </w:p>
            </w:tc>
            <w:tc>
              <w:tcPr>
                <w:tcW w:w="302" w:type="pct"/>
                <w:shd w:val="clear" w:color="auto" w:fill="FFFFFF" w:themeFill="background2"/>
                <w:vAlign w:val="center"/>
              </w:tcPr>
              <w:p w14:paraId="75E205F3" w14:textId="62029E82"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6.33%</w:t>
                </w:r>
              </w:p>
            </w:tc>
            <w:tc>
              <w:tcPr>
                <w:tcW w:w="301" w:type="pct"/>
                <w:shd w:val="clear" w:color="auto" w:fill="FFFFFF" w:themeFill="background2"/>
                <w:vAlign w:val="center"/>
              </w:tcPr>
              <w:p w14:paraId="7B0B43A5" w14:textId="1987CA34"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9.61%</w:t>
                </w:r>
              </w:p>
            </w:tc>
            <w:tc>
              <w:tcPr>
                <w:tcW w:w="301" w:type="pct"/>
                <w:shd w:val="clear" w:color="auto" w:fill="FFFFFF" w:themeFill="background2"/>
                <w:vAlign w:val="center"/>
              </w:tcPr>
              <w:p w14:paraId="2C8E02B1" w14:textId="0964F2BA"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3.15%</w:t>
                </w:r>
              </w:p>
            </w:tc>
            <w:tc>
              <w:tcPr>
                <w:tcW w:w="301" w:type="pct"/>
                <w:shd w:val="clear" w:color="auto" w:fill="FFFFFF" w:themeFill="background2"/>
                <w:vAlign w:val="center"/>
              </w:tcPr>
              <w:p w14:paraId="5F0A0143" w14:textId="00C08824"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2.17%</w:t>
                </w:r>
              </w:p>
            </w:tc>
            <w:tc>
              <w:tcPr>
                <w:tcW w:w="301" w:type="pct"/>
                <w:shd w:val="clear" w:color="auto" w:fill="FFFFFF" w:themeFill="background2"/>
                <w:vAlign w:val="center"/>
              </w:tcPr>
              <w:p w14:paraId="1DDF53B0" w14:textId="753373E3"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1.06%</w:t>
                </w:r>
              </w:p>
            </w:tc>
            <w:tc>
              <w:tcPr>
                <w:tcW w:w="325" w:type="pct"/>
                <w:shd w:val="clear" w:color="auto" w:fill="FFFFFF" w:themeFill="background2"/>
                <w:vAlign w:val="center"/>
              </w:tcPr>
              <w:p w14:paraId="1B9A5371" w14:textId="0D90DD43"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3.52%</w:t>
                </w:r>
              </w:p>
            </w:tc>
          </w:tr>
          <w:tr w:rsidR="00C56619" w:rsidRPr="00B80369" w14:paraId="052BA4E4" w14:textId="48C1D365" w:rsidTr="00214B1F">
            <w:trPr>
              <w:trHeight w:val="227"/>
            </w:trPr>
            <w:tc>
              <w:tcPr>
                <w:tcW w:w="307" w:type="pct"/>
                <w:shd w:val="clear" w:color="auto" w:fill="FFFFFF" w:themeFill="background2"/>
                <w:tcMar>
                  <w:top w:w="60" w:type="dxa"/>
                  <w:left w:w="114" w:type="dxa"/>
                  <w:bottom w:w="60" w:type="dxa"/>
                  <w:right w:w="114" w:type="dxa"/>
                </w:tcMar>
                <w:vAlign w:val="center"/>
              </w:tcPr>
              <w:p w14:paraId="7850259A" w14:textId="77777777" w:rsidR="00C56619" w:rsidRPr="00B80369" w:rsidRDefault="00C56619"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C2.1</w:t>
                </w:r>
              </w:p>
            </w:tc>
            <w:tc>
              <w:tcPr>
                <w:tcW w:w="357" w:type="pct"/>
                <w:shd w:val="clear" w:color="auto" w:fill="FFFFFF" w:themeFill="background2"/>
                <w:tcMar>
                  <w:top w:w="60" w:type="dxa"/>
                  <w:left w:w="114" w:type="dxa"/>
                  <w:bottom w:w="60" w:type="dxa"/>
                  <w:right w:w="114" w:type="dxa"/>
                </w:tcMar>
                <w:vAlign w:val="center"/>
              </w:tcPr>
              <w:p w14:paraId="35BF830D" w14:textId="51F1CF1D"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61.31%</w:t>
                </w:r>
              </w:p>
            </w:tc>
            <w:tc>
              <w:tcPr>
                <w:tcW w:w="396" w:type="pct"/>
                <w:shd w:val="clear" w:color="auto" w:fill="FFFFFF" w:themeFill="background2"/>
                <w:tcMar>
                  <w:top w:w="60" w:type="dxa"/>
                  <w:left w:w="114" w:type="dxa"/>
                  <w:bottom w:w="60" w:type="dxa"/>
                  <w:right w:w="114" w:type="dxa"/>
                </w:tcMar>
                <w:vAlign w:val="center"/>
              </w:tcPr>
              <w:p w14:paraId="0F13582D" w14:textId="44A37675"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53.79%</w:t>
                </w:r>
              </w:p>
            </w:tc>
            <w:tc>
              <w:tcPr>
                <w:tcW w:w="301" w:type="pct"/>
                <w:shd w:val="clear" w:color="auto" w:fill="FFFFFF" w:themeFill="background2"/>
                <w:vAlign w:val="center"/>
              </w:tcPr>
              <w:p w14:paraId="742A70A4" w14:textId="4E04480F"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45.26%</w:t>
                </w:r>
              </w:p>
            </w:tc>
            <w:tc>
              <w:tcPr>
                <w:tcW w:w="301" w:type="pct"/>
                <w:shd w:val="clear" w:color="auto" w:fill="FFFFFF" w:themeFill="background2"/>
                <w:vAlign w:val="center"/>
              </w:tcPr>
              <w:p w14:paraId="1B30298F" w14:textId="154D5453"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50.58%</w:t>
                </w:r>
              </w:p>
            </w:tc>
            <w:tc>
              <w:tcPr>
                <w:tcW w:w="301" w:type="pct"/>
                <w:shd w:val="clear" w:color="auto" w:fill="FFFFFF" w:themeFill="background2"/>
                <w:vAlign w:val="center"/>
              </w:tcPr>
              <w:p w14:paraId="21B70EAB" w14:textId="52A8A4B4"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59.27%</w:t>
                </w:r>
              </w:p>
            </w:tc>
            <w:tc>
              <w:tcPr>
                <w:tcW w:w="301" w:type="pct"/>
                <w:shd w:val="clear" w:color="auto" w:fill="FFFFFF" w:themeFill="background2"/>
                <w:vAlign w:val="center"/>
              </w:tcPr>
              <w:p w14:paraId="06BA870C" w14:textId="2AC38235"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56.00%</w:t>
                </w:r>
              </w:p>
            </w:tc>
            <w:tc>
              <w:tcPr>
                <w:tcW w:w="301" w:type="pct"/>
                <w:shd w:val="clear" w:color="auto" w:fill="FFFFFF" w:themeFill="background2"/>
                <w:vAlign w:val="center"/>
              </w:tcPr>
              <w:p w14:paraId="3CDB916E" w14:textId="2966E58D"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43.83%</w:t>
                </w:r>
              </w:p>
            </w:tc>
            <w:tc>
              <w:tcPr>
                <w:tcW w:w="302" w:type="pct"/>
                <w:shd w:val="clear" w:color="auto" w:fill="FFFFFF" w:themeFill="background2"/>
                <w:vAlign w:val="center"/>
              </w:tcPr>
              <w:p w14:paraId="4E66FA08" w14:textId="6B8111D6"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43.18%</w:t>
                </w:r>
              </w:p>
            </w:tc>
            <w:tc>
              <w:tcPr>
                <w:tcW w:w="302" w:type="pct"/>
                <w:shd w:val="clear" w:color="auto" w:fill="FFFFFF" w:themeFill="background2"/>
                <w:vAlign w:val="center"/>
              </w:tcPr>
              <w:p w14:paraId="5F92F346" w14:textId="519620BF"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35.11%</w:t>
                </w:r>
              </w:p>
            </w:tc>
            <w:tc>
              <w:tcPr>
                <w:tcW w:w="302" w:type="pct"/>
                <w:shd w:val="clear" w:color="auto" w:fill="FFFFFF" w:themeFill="background2"/>
                <w:vAlign w:val="center"/>
              </w:tcPr>
              <w:p w14:paraId="238BB3A0" w14:textId="07732FB5"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39.59%</w:t>
                </w:r>
              </w:p>
            </w:tc>
            <w:tc>
              <w:tcPr>
                <w:tcW w:w="301" w:type="pct"/>
                <w:shd w:val="clear" w:color="auto" w:fill="FFFFFF" w:themeFill="background2"/>
                <w:vAlign w:val="center"/>
              </w:tcPr>
              <w:p w14:paraId="4176C9E1" w14:textId="68F9F0F1"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36.19%</w:t>
                </w:r>
              </w:p>
            </w:tc>
            <w:tc>
              <w:tcPr>
                <w:tcW w:w="301" w:type="pct"/>
                <w:shd w:val="clear" w:color="auto" w:fill="FFFFFF" w:themeFill="background2"/>
                <w:vAlign w:val="center"/>
              </w:tcPr>
              <w:p w14:paraId="4ED7A27B" w14:textId="579D449C"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35.62%</w:t>
                </w:r>
              </w:p>
            </w:tc>
            <w:tc>
              <w:tcPr>
                <w:tcW w:w="301" w:type="pct"/>
                <w:shd w:val="clear" w:color="auto" w:fill="FFFFFF" w:themeFill="background2"/>
                <w:vAlign w:val="center"/>
              </w:tcPr>
              <w:p w14:paraId="41812BE4" w14:textId="475E0690"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35.00%</w:t>
                </w:r>
              </w:p>
            </w:tc>
            <w:tc>
              <w:tcPr>
                <w:tcW w:w="301" w:type="pct"/>
                <w:shd w:val="clear" w:color="auto" w:fill="FFFFFF" w:themeFill="background2"/>
                <w:vAlign w:val="center"/>
              </w:tcPr>
              <w:p w14:paraId="137D9030" w14:textId="7D2E9FBF" w:rsidR="00C56619" w:rsidRPr="00B80369" w:rsidRDefault="00C56619"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14.37%</w:t>
                </w:r>
              </w:p>
            </w:tc>
            <w:tc>
              <w:tcPr>
                <w:tcW w:w="325" w:type="pct"/>
                <w:shd w:val="clear" w:color="auto" w:fill="FFFFFF" w:themeFill="background2"/>
                <w:vAlign w:val="center"/>
              </w:tcPr>
              <w:p w14:paraId="53114A6B" w14:textId="2DF301F5" w:rsidR="00C56619"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26.92%</w:t>
                </w:r>
              </w:p>
            </w:tc>
          </w:tr>
          <w:tr w:rsidR="00C56619" w:rsidRPr="00B80369" w14:paraId="3D004CAB" w14:textId="2E45FE5E" w:rsidTr="00214B1F">
            <w:trPr>
              <w:trHeight w:val="227"/>
            </w:trPr>
            <w:tc>
              <w:tcPr>
                <w:tcW w:w="307" w:type="pct"/>
                <w:shd w:val="clear" w:color="auto" w:fill="FFFFFF" w:themeFill="background2"/>
                <w:tcMar>
                  <w:top w:w="60" w:type="dxa"/>
                  <w:left w:w="114" w:type="dxa"/>
                  <w:bottom w:w="60" w:type="dxa"/>
                  <w:right w:w="114" w:type="dxa"/>
                </w:tcMar>
                <w:vAlign w:val="center"/>
              </w:tcPr>
              <w:p w14:paraId="766184BC" w14:textId="77777777" w:rsidR="00FC5E0A" w:rsidRPr="00B80369" w:rsidRDefault="00FC5E0A" w:rsidP="00B80369">
                <w:pPr>
                  <w:spacing w:before="0" w:line="240" w:lineRule="auto"/>
                  <w:jc w:val="center"/>
                  <w:rPr>
                    <w:rFonts w:cs="Segoe UI"/>
                    <w:b/>
                    <w:bCs/>
                    <w:sz w:val="14"/>
                    <w:szCs w:val="14"/>
                    <w:lang w:eastAsia="it-IT"/>
                  </w:rPr>
                </w:pPr>
                <w:r w:rsidRPr="00B80369">
                  <w:rPr>
                    <w:rFonts w:cs="Segoe UI"/>
                    <w:b/>
                    <w:bCs/>
                    <w:sz w:val="14"/>
                    <w:szCs w:val="14"/>
                    <w:lang w:eastAsia="it-IT"/>
                  </w:rPr>
                  <w:t>TOTAL</w:t>
                </w:r>
              </w:p>
            </w:tc>
            <w:tc>
              <w:tcPr>
                <w:tcW w:w="357" w:type="pct"/>
                <w:shd w:val="clear" w:color="auto" w:fill="FFFFFF" w:themeFill="background2"/>
                <w:tcMar>
                  <w:top w:w="60" w:type="dxa"/>
                  <w:left w:w="114" w:type="dxa"/>
                  <w:bottom w:w="60" w:type="dxa"/>
                  <w:right w:w="114" w:type="dxa"/>
                </w:tcMar>
                <w:vAlign w:val="center"/>
              </w:tcPr>
              <w:p w14:paraId="162E0C32" w14:textId="00B34FA3" w:rsidR="00FC5E0A" w:rsidRPr="00B80369" w:rsidRDefault="00FC5E0A"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5.40%</w:t>
                </w:r>
              </w:p>
            </w:tc>
            <w:tc>
              <w:tcPr>
                <w:tcW w:w="396" w:type="pct"/>
                <w:shd w:val="clear" w:color="auto" w:fill="FFFFFF" w:themeFill="background2"/>
                <w:tcMar>
                  <w:top w:w="60" w:type="dxa"/>
                  <w:left w:w="114" w:type="dxa"/>
                  <w:bottom w:w="60" w:type="dxa"/>
                  <w:right w:w="114" w:type="dxa"/>
                </w:tcMar>
                <w:vAlign w:val="center"/>
              </w:tcPr>
              <w:p w14:paraId="7F96A337" w14:textId="7A02CD65" w:rsidR="00FC5E0A" w:rsidRPr="00B80369" w:rsidRDefault="00FC5E0A"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4.42%</w:t>
                </w:r>
              </w:p>
            </w:tc>
            <w:tc>
              <w:tcPr>
                <w:tcW w:w="301" w:type="pct"/>
                <w:shd w:val="clear" w:color="auto" w:fill="FFFFFF" w:themeFill="background2"/>
                <w:vAlign w:val="center"/>
              </w:tcPr>
              <w:p w14:paraId="51007901" w14:textId="588E89D6" w:rsidR="00FC5E0A" w:rsidRPr="00B80369" w:rsidRDefault="00FC5E0A"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3.70%</w:t>
                </w:r>
              </w:p>
            </w:tc>
            <w:tc>
              <w:tcPr>
                <w:tcW w:w="301" w:type="pct"/>
                <w:shd w:val="clear" w:color="auto" w:fill="FFFFFF" w:themeFill="background2"/>
                <w:vAlign w:val="center"/>
              </w:tcPr>
              <w:p w14:paraId="1A2EF74E" w14:textId="6F4ABC91" w:rsidR="00FC5E0A" w:rsidRPr="00B80369" w:rsidRDefault="00FC5E0A"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4.26%</w:t>
                </w:r>
              </w:p>
            </w:tc>
            <w:tc>
              <w:tcPr>
                <w:tcW w:w="301" w:type="pct"/>
                <w:shd w:val="clear" w:color="auto" w:fill="FFFFFF" w:themeFill="background2"/>
                <w:vAlign w:val="center"/>
              </w:tcPr>
              <w:p w14:paraId="16D219F2" w14:textId="2131011C" w:rsidR="00FC5E0A" w:rsidRPr="00B80369" w:rsidRDefault="00FC5E0A"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3.71%</w:t>
                </w:r>
              </w:p>
            </w:tc>
            <w:tc>
              <w:tcPr>
                <w:tcW w:w="301" w:type="pct"/>
                <w:shd w:val="clear" w:color="auto" w:fill="FFFFFF" w:themeFill="background2"/>
                <w:vAlign w:val="center"/>
              </w:tcPr>
              <w:p w14:paraId="153A0BA5" w14:textId="70046184" w:rsidR="00FC5E0A" w:rsidRPr="00B80369" w:rsidRDefault="00FC5E0A"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3.23%</w:t>
                </w:r>
              </w:p>
            </w:tc>
            <w:tc>
              <w:tcPr>
                <w:tcW w:w="301" w:type="pct"/>
                <w:shd w:val="clear" w:color="auto" w:fill="FFFFFF" w:themeFill="background2"/>
                <w:vAlign w:val="center"/>
              </w:tcPr>
              <w:p w14:paraId="6EDD6B4A" w14:textId="731DF6B1" w:rsidR="00FC5E0A" w:rsidRPr="00B80369" w:rsidRDefault="00FC5E0A"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3.05%</w:t>
                </w:r>
              </w:p>
            </w:tc>
            <w:tc>
              <w:tcPr>
                <w:tcW w:w="302" w:type="pct"/>
                <w:shd w:val="clear" w:color="auto" w:fill="FFFFFF" w:themeFill="background2"/>
                <w:vAlign w:val="center"/>
              </w:tcPr>
              <w:p w14:paraId="3F69F87C" w14:textId="5F8DDA50" w:rsidR="00FC5E0A" w:rsidRPr="00B80369" w:rsidRDefault="00FC5E0A"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2.37%</w:t>
                </w:r>
              </w:p>
            </w:tc>
            <w:tc>
              <w:tcPr>
                <w:tcW w:w="302" w:type="pct"/>
                <w:shd w:val="clear" w:color="auto" w:fill="FFFFFF" w:themeFill="background2"/>
                <w:vAlign w:val="center"/>
              </w:tcPr>
              <w:p w14:paraId="5F6E7799" w14:textId="5FFD0C32" w:rsidR="00FC5E0A" w:rsidRPr="00B80369" w:rsidRDefault="00FC5E0A"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1.58%</w:t>
                </w:r>
              </w:p>
            </w:tc>
            <w:tc>
              <w:tcPr>
                <w:tcW w:w="302" w:type="pct"/>
                <w:shd w:val="clear" w:color="auto" w:fill="FFFFFF" w:themeFill="background2"/>
                <w:vAlign w:val="center"/>
              </w:tcPr>
              <w:p w14:paraId="2BEF1E85" w14:textId="09C9D1E7" w:rsidR="00FC5E0A" w:rsidRPr="00B80369" w:rsidRDefault="00FC5E0A"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1.38%</w:t>
                </w:r>
              </w:p>
            </w:tc>
            <w:tc>
              <w:tcPr>
                <w:tcW w:w="301" w:type="pct"/>
                <w:shd w:val="clear" w:color="auto" w:fill="FFFFFF" w:themeFill="background2"/>
                <w:vAlign w:val="center"/>
              </w:tcPr>
              <w:p w14:paraId="0F72AA6A" w14:textId="1E864870" w:rsidR="00FC5E0A" w:rsidRPr="00B80369" w:rsidRDefault="00FC5E0A"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1.36%</w:t>
                </w:r>
              </w:p>
            </w:tc>
            <w:tc>
              <w:tcPr>
                <w:tcW w:w="301" w:type="pct"/>
                <w:shd w:val="clear" w:color="auto" w:fill="FFFFFF" w:themeFill="background2"/>
                <w:vAlign w:val="center"/>
              </w:tcPr>
              <w:p w14:paraId="4E3C1AB7" w14:textId="2095A909" w:rsidR="00FC5E0A" w:rsidRPr="00B80369" w:rsidRDefault="00FC5E0A"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0.88%</w:t>
                </w:r>
              </w:p>
            </w:tc>
            <w:tc>
              <w:tcPr>
                <w:tcW w:w="301" w:type="pct"/>
                <w:shd w:val="clear" w:color="auto" w:fill="FFFFFF" w:themeFill="background2"/>
                <w:vAlign w:val="center"/>
              </w:tcPr>
              <w:p w14:paraId="72D9ABA7" w14:textId="28828886" w:rsidR="00FC5E0A" w:rsidRPr="00B80369" w:rsidRDefault="00FC5E0A"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0.54%</w:t>
                </w:r>
              </w:p>
            </w:tc>
            <w:tc>
              <w:tcPr>
                <w:tcW w:w="301" w:type="pct"/>
                <w:shd w:val="clear" w:color="auto" w:fill="FFFFFF" w:themeFill="background2"/>
                <w:vAlign w:val="center"/>
              </w:tcPr>
              <w:p w14:paraId="239B2952" w14:textId="32BC56BF" w:rsidR="00FC5E0A" w:rsidRPr="00B80369" w:rsidRDefault="00FC5E0A"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0.42%</w:t>
                </w:r>
              </w:p>
            </w:tc>
            <w:tc>
              <w:tcPr>
                <w:tcW w:w="325" w:type="pct"/>
                <w:shd w:val="clear" w:color="auto" w:fill="FFFFFF" w:themeFill="background2"/>
                <w:vAlign w:val="center"/>
              </w:tcPr>
              <w:p w14:paraId="128CE7D0" w14:textId="1FD0031E" w:rsidR="00FC5E0A" w:rsidRPr="00B80369" w:rsidRDefault="00C56619"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0.62%</w:t>
                </w:r>
              </w:p>
            </w:tc>
          </w:tr>
        </w:tbl>
        <w:p w14:paraId="39C35AF2" w14:textId="77777777" w:rsidR="00841705" w:rsidRPr="00841705" w:rsidRDefault="00841705" w:rsidP="00841705">
          <w:pPr>
            <w:rPr>
              <w:lang w:val="en-GB"/>
            </w:rPr>
          </w:pPr>
        </w:p>
        <w:p w14:paraId="66456B32" w14:textId="77777777" w:rsidR="00214B1F" w:rsidRDefault="00214B1F">
          <w:pPr>
            <w:spacing w:before="0" w:after="200" w:line="276" w:lineRule="auto"/>
            <w:jc w:val="left"/>
            <w:rPr>
              <w:rFonts w:ascii="Segoe UI" w:hAnsi="Segoe UI" w:cs="Segoe UI"/>
              <w:b/>
              <w:i/>
              <w:sz w:val="14"/>
              <w:lang w:val="en-GB"/>
            </w:rPr>
          </w:pPr>
          <w:bookmarkStart w:id="158" w:name="_Toc130806346"/>
          <w:r>
            <w:rPr>
              <w:rFonts w:ascii="Segoe UI" w:hAnsi="Segoe UI" w:cs="Segoe UI"/>
              <w:i/>
              <w:sz w:val="14"/>
              <w:lang w:val="en-GB"/>
            </w:rPr>
            <w:br w:type="page"/>
          </w:r>
        </w:p>
        <w:p w14:paraId="51A36F45" w14:textId="34829947" w:rsidR="004101BF" w:rsidRDefault="004101BF" w:rsidP="004101BF">
          <w:pPr>
            <w:pStyle w:val="Didascalia"/>
            <w:rPr>
              <w:rFonts w:ascii="Segoe UI" w:hAnsi="Segoe UI" w:cs="Segoe UI"/>
              <w:i/>
              <w:sz w:val="14"/>
              <w:lang w:val="en-GB"/>
            </w:rPr>
          </w:pPr>
          <w:bookmarkStart w:id="159" w:name="_Toc166675687"/>
          <w:bookmarkStart w:id="160" w:name="_Toc167131814"/>
          <w:r w:rsidRPr="0032337D">
            <w:rPr>
              <w:rFonts w:ascii="Segoe UI" w:hAnsi="Segoe UI" w:cs="Segoe UI"/>
              <w:i/>
              <w:sz w:val="14"/>
              <w:lang w:val="en-GB"/>
            </w:rPr>
            <w:lastRenderedPageBreak/>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46</w:t>
          </w:r>
          <w:r>
            <w:rPr>
              <w:rFonts w:ascii="Segoe UI" w:hAnsi="Segoe UI" w:cs="Segoe UI"/>
              <w:i/>
              <w:sz w:val="14"/>
              <w:lang w:val="en-GB"/>
            </w:rPr>
            <w:fldChar w:fldCharType="end"/>
          </w:r>
          <w:r w:rsidRPr="0032337D">
            <w:rPr>
              <w:rFonts w:ascii="Segoe UI" w:hAnsi="Segoe UI" w:cs="Segoe UI"/>
              <w:i/>
              <w:sz w:val="14"/>
              <w:lang w:val="en-GB"/>
            </w:rPr>
            <w:t>: 2-Y default rates</w:t>
          </w:r>
          <w:bookmarkEnd w:id="158"/>
          <w:bookmarkEnd w:id="159"/>
          <w:bookmarkEnd w:id="160"/>
        </w:p>
        <w:tbl>
          <w:tblPr>
            <w:tblW w:w="5000" w:type="pct"/>
            <w:tblBorders>
              <w:top w:val="single" w:sz="4" w:space="0" w:color="AFAFB4" w:themeColor="accent4"/>
              <w:bottom w:val="single" w:sz="4" w:space="0" w:color="AFAFB4" w:themeColor="accent4"/>
              <w:insideH w:val="single" w:sz="4" w:space="0" w:color="AFAFB4" w:themeColor="accent4"/>
            </w:tblBorders>
            <w:shd w:val="clear" w:color="auto" w:fill="FFFFFF" w:themeFill="background2"/>
            <w:tblCellMar>
              <w:left w:w="0" w:type="dxa"/>
              <w:right w:w="0" w:type="dxa"/>
            </w:tblCellMar>
            <w:tblLook w:val="0620" w:firstRow="1" w:lastRow="0" w:firstColumn="0" w:lastColumn="0" w:noHBand="1" w:noVBand="1"/>
            <w:tblDescription w:val="{&quot;Ott&quot;:{&quot;FirstRow&quot;:{&quot;BackgroundColor&quot;:{&quot;Key&quot;:&quot;Light2&quot;},&quot;Font&quot;:{&quot;Name&quot;:&quot;Source Sans Pro&quot;,&quot;Size&quot;:14.0,&quot;Bold&quot;:false,&quot;Italic&quot;:false,&quot;Color&quot;:{&quot;Key&quot;:&quot;Dark2&quot;}},&quot;ExcelCellFormatting&quot;:&quot;General&quot;,&quot;Alignment&quot;:{&quot;Horizontal&quot;:&quot;Left&quot;,&quot;Vertical&quot;:&quot;Bottom&quot;},&quot;Borders&quot;:{&quot;Vertical&quot;:{&quot;Visible&quot;:false},&quot;Left&quot;:{&quot;Visible&quot;:false},&quot;Top&quot;:{&quot;Visible&quot;:false},&quot;Right&quot;:{&quot;Visible&quot;:false},&quot;Bottom&quot;:{&quot;Color&quot;:{&quot;Key&quot;:&quot;Accent4&quot;},&quot;BorderWeight&quot;:&quot;Pt1_5&quot;,&quot;Type&quot;:&quot;Solid&quot;,&quot;Visible&quot;:true}}},&quot;FitRowHeightPp&quot;:true,&quot;ZeroMarginsWord&quot;:true,&quot;BackgroundColor&quot;:{&quot;Key&quot;:&quot;Light2&quot;},&quot;Font&quot;:{&quot;Name&quot;:&quot;Source Sans Pro&quot;,&quot;Size&quot;:11.0,&quot;Bold&quot;:false,&quot;Italic&quot;:false,&quot;Color&quot;:{&quot;Key&quot;:&quot;Dark2&quot;}},&quot;LineSpacing&quot;:{&quot;Rule&quot;:&quot;Single&quot;},&quot;Alignment&quot;:{&quot;Horizontal&quot;:&quot;Left&quot;,&quot;Vertical&quot;:&quot;Top&quot;},&quot;Margin&quot;:{&quot;Left&quot;:5.7,&quot;Top&quot;:3.0,&quot;Right&quot;:5.7,&quot;Bottom&quot;:3.0},&quot;Borders&quot;:{&quot;Vertical&quot;:{&quot;Visible&quot;:false},&quot;Horizontal&quot;:{&quot;Color&quot;:{&quot;Key&quot;:&quot;Accent4&quot;},&quot;BorderWeight&quot;:&quot;Pt0_5&quot;,&quot;Type&quot;:&quot;Solid&quot;,&quot;Visible&quot;:true}},&quot;ParagraphSpacing&quot;:{&quot;SpaceBefore&quot;:2.0,&quot;SpaceAfter&quot;:2.0},&quot;ExcelWrapText&quot;:true},&quot;Ccs&quot;:{&quot;DarkBlue&quot;:&quot;0, 20, 55&quot;,&quot;Turquoise&quot;:&quot;0, 164, 230&quot;,&quot;Red&quot;:&quot;214, 70, 65&quot;,&quot;LightGrey&quot;:&quot;174, 174, 180&quot;,&quot;BlueGrey&quot;:&quot;77, 91, 115&quot;,&quot;IceBlue&quot;:&quot;178, 184, 195&quot;,&quot;Grey&quot;:&quot;145, 147, 153&quot;,&quot;Background&quot;:&quot;0, 0, 0, 0&quot;,&quot;White&quot;:&quot;White&quot;,&quot;Accent1&quot;:&quot;1, 1, 1, 1&quot;,&quot;Accent2&quot;:&quot;1, 1, 1, 2&quot;,&quot;Accent3&quot;:&quot;1, 1, 1, 3&quot;,&quot;Accent4&quot;:&quot;1, 1, 1, 4&quot;,&quot;Accent5&quot;:&quot;1, 1, 1, 5&quot;,&quot;Accent6&quot;:&quot;1, 1, 1, 6&quot;,&quot;Dark1&quot;:&quot;1, 1, 1, 7&quot;,&quot;Dark2&quot;:&quot;1, 1, 1, 9&quot;,&quot;Light1&quot;:&quot;1, 1, 1, 8&quot;,&quot;Light2&quot;:&quot;1, 1, 1, 10&quot;},&quot;Cop&quot;:{&quot;FirstRow&quot;:true,&quot;LastRow&quot;:false,&quot;FirstColumn&quot;:false,&quot;LastColumn&quot;:false,&quot;BandedRows&quot;:false,&quot;BandedColumns&quot;:false},&quot;Aaf&quot;:false}"/>
          </w:tblPr>
          <w:tblGrid>
            <w:gridCol w:w="635"/>
            <w:gridCol w:w="738"/>
            <w:gridCol w:w="820"/>
            <w:gridCol w:w="623"/>
            <w:gridCol w:w="623"/>
            <w:gridCol w:w="623"/>
            <w:gridCol w:w="623"/>
            <w:gridCol w:w="623"/>
            <w:gridCol w:w="625"/>
            <w:gridCol w:w="625"/>
            <w:gridCol w:w="625"/>
            <w:gridCol w:w="623"/>
            <w:gridCol w:w="623"/>
            <w:gridCol w:w="623"/>
            <w:gridCol w:w="623"/>
            <w:gridCol w:w="673"/>
          </w:tblGrid>
          <w:tr w:rsidR="00C013B2" w:rsidRPr="00B80369" w14:paraId="1E529116" w14:textId="77777777" w:rsidTr="00B47881">
            <w:trPr>
              <w:trHeight w:val="227"/>
              <w:tblHeader/>
            </w:trPr>
            <w:tc>
              <w:tcPr>
                <w:tcW w:w="307" w:type="pct"/>
                <w:vMerge w:val="restar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44433F5A" w14:textId="77777777" w:rsidR="00C013B2" w:rsidRPr="00B80369" w:rsidRDefault="00C013B2" w:rsidP="00B80369">
                <w:pPr>
                  <w:spacing w:before="0" w:line="240" w:lineRule="auto"/>
                  <w:jc w:val="center"/>
                  <w:rPr>
                    <w:b/>
                    <w:color w:val="33A1AB" w:themeColor="accent2"/>
                    <w:sz w:val="14"/>
                    <w:szCs w:val="14"/>
                  </w:rPr>
                </w:pPr>
                <w:r w:rsidRPr="00B80369">
                  <w:rPr>
                    <w:b/>
                    <w:color w:val="33A1AB" w:themeColor="accent2"/>
                    <w:sz w:val="14"/>
                    <w:szCs w:val="14"/>
                  </w:rPr>
                  <w:t>Rating</w:t>
                </w:r>
              </w:p>
            </w:tc>
            <w:tc>
              <w:tcPr>
                <w:tcW w:w="4693" w:type="pct"/>
                <w:gridSpan w:val="15"/>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62E24A8B" w14:textId="50EF72D0" w:rsidR="00C013B2" w:rsidRPr="00B80369" w:rsidRDefault="007700DC" w:rsidP="00B80369">
                <w:pPr>
                  <w:spacing w:before="0" w:line="240" w:lineRule="auto"/>
                  <w:jc w:val="center"/>
                  <w:rPr>
                    <w:b/>
                    <w:color w:val="33A1AB" w:themeColor="accent2"/>
                    <w:sz w:val="14"/>
                    <w:szCs w:val="14"/>
                  </w:rPr>
                </w:pPr>
                <w:r w:rsidRPr="00B80369">
                  <w:rPr>
                    <w:b/>
                    <w:color w:val="33A1AB" w:themeColor="accent2"/>
                    <w:sz w:val="14"/>
                    <w:szCs w:val="14"/>
                  </w:rPr>
                  <w:t>2</w:t>
                </w:r>
                <w:r w:rsidR="00C013B2" w:rsidRPr="00B80369">
                  <w:rPr>
                    <w:b/>
                    <w:color w:val="33A1AB" w:themeColor="accent2"/>
                    <w:sz w:val="14"/>
                    <w:szCs w:val="14"/>
                  </w:rPr>
                  <w:t>-Y DEFAULT RATES</w:t>
                </w:r>
              </w:p>
            </w:tc>
          </w:tr>
          <w:tr w:rsidR="00C013B2" w:rsidRPr="00B80369" w14:paraId="6ED2AA16" w14:textId="77777777" w:rsidTr="00B47881">
            <w:trPr>
              <w:trHeight w:val="227"/>
              <w:tblHeader/>
            </w:trPr>
            <w:tc>
              <w:tcPr>
                <w:tcW w:w="307" w:type="pct"/>
                <w:vMerge/>
                <w:shd w:val="clear" w:color="auto" w:fill="FFFFFF" w:themeFill="background2"/>
                <w:tcMar>
                  <w:top w:w="60" w:type="dxa"/>
                  <w:left w:w="114" w:type="dxa"/>
                  <w:bottom w:w="60" w:type="dxa"/>
                  <w:right w:w="114" w:type="dxa"/>
                </w:tcMar>
                <w:vAlign w:val="center"/>
              </w:tcPr>
              <w:p w14:paraId="6094C39E" w14:textId="77777777" w:rsidR="00C013B2" w:rsidRPr="00B80369" w:rsidRDefault="00C013B2" w:rsidP="00B80369">
                <w:pPr>
                  <w:spacing w:before="0" w:line="240" w:lineRule="auto"/>
                  <w:jc w:val="center"/>
                  <w:rPr>
                    <w:b/>
                    <w:color w:val="33A1AB" w:themeColor="accent2"/>
                    <w:sz w:val="14"/>
                    <w:szCs w:val="14"/>
                  </w:rPr>
                </w:pPr>
              </w:p>
            </w:tc>
            <w:tc>
              <w:tcPr>
                <w:tcW w:w="357"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4621814E" w14:textId="77777777" w:rsidR="00C013B2" w:rsidRPr="00B80369" w:rsidRDefault="00C013B2" w:rsidP="00B80369">
                <w:pPr>
                  <w:spacing w:before="0" w:line="240" w:lineRule="auto"/>
                  <w:jc w:val="center"/>
                  <w:rPr>
                    <w:b/>
                    <w:color w:val="33A1AB" w:themeColor="accent2"/>
                    <w:sz w:val="14"/>
                    <w:szCs w:val="14"/>
                  </w:rPr>
                </w:pPr>
                <w:r w:rsidRPr="00B80369">
                  <w:rPr>
                    <w:b/>
                    <w:color w:val="33A1AB" w:themeColor="accent2"/>
                    <w:sz w:val="14"/>
                    <w:szCs w:val="14"/>
                  </w:rPr>
                  <w:t>31 Dec 2008</w:t>
                </w:r>
              </w:p>
            </w:tc>
            <w:tc>
              <w:tcPr>
                <w:tcW w:w="396"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0E6A5F50" w14:textId="77777777" w:rsidR="00C013B2" w:rsidRPr="00B80369" w:rsidRDefault="00C013B2" w:rsidP="00B80369">
                <w:pPr>
                  <w:spacing w:before="0" w:line="240" w:lineRule="auto"/>
                  <w:jc w:val="center"/>
                  <w:rPr>
                    <w:b/>
                    <w:color w:val="33A1AB" w:themeColor="accent2"/>
                    <w:sz w:val="14"/>
                    <w:szCs w:val="14"/>
                  </w:rPr>
                </w:pPr>
                <w:r w:rsidRPr="00B80369">
                  <w:rPr>
                    <w:b/>
                    <w:color w:val="33A1AB" w:themeColor="accent2"/>
                    <w:sz w:val="14"/>
                    <w:szCs w:val="14"/>
                  </w:rPr>
                  <w:t>31 Dec 2009</w:t>
                </w:r>
              </w:p>
            </w:tc>
            <w:tc>
              <w:tcPr>
                <w:tcW w:w="301" w:type="pct"/>
                <w:tcBorders>
                  <w:top w:val="single" w:sz="12" w:space="0" w:color="AFAFB4" w:themeColor="accent4"/>
                </w:tcBorders>
                <w:shd w:val="clear" w:color="auto" w:fill="FFFFFF" w:themeFill="background2"/>
                <w:vAlign w:val="center"/>
              </w:tcPr>
              <w:p w14:paraId="21D7289A" w14:textId="77777777" w:rsidR="00C013B2" w:rsidRPr="00B80369" w:rsidRDefault="00C013B2" w:rsidP="00B80369">
                <w:pPr>
                  <w:spacing w:before="0" w:line="240" w:lineRule="auto"/>
                  <w:jc w:val="center"/>
                  <w:rPr>
                    <w:b/>
                    <w:color w:val="33A1AB" w:themeColor="accent2"/>
                    <w:sz w:val="14"/>
                    <w:szCs w:val="14"/>
                  </w:rPr>
                </w:pPr>
                <w:r w:rsidRPr="00B80369">
                  <w:rPr>
                    <w:b/>
                    <w:color w:val="33A1AB" w:themeColor="accent2"/>
                    <w:sz w:val="14"/>
                    <w:szCs w:val="14"/>
                  </w:rPr>
                  <w:t>31 Dec 2010</w:t>
                </w:r>
              </w:p>
            </w:tc>
            <w:tc>
              <w:tcPr>
                <w:tcW w:w="301" w:type="pct"/>
                <w:tcBorders>
                  <w:top w:val="single" w:sz="12" w:space="0" w:color="AFAFB4" w:themeColor="accent4"/>
                </w:tcBorders>
                <w:shd w:val="clear" w:color="auto" w:fill="FFFFFF" w:themeFill="background2"/>
                <w:vAlign w:val="center"/>
              </w:tcPr>
              <w:p w14:paraId="563D59AF" w14:textId="77777777" w:rsidR="00C013B2" w:rsidRPr="00B80369" w:rsidRDefault="00C013B2" w:rsidP="00B80369">
                <w:pPr>
                  <w:spacing w:before="0" w:line="240" w:lineRule="auto"/>
                  <w:jc w:val="center"/>
                  <w:rPr>
                    <w:b/>
                    <w:color w:val="33A1AB" w:themeColor="accent2"/>
                    <w:sz w:val="14"/>
                    <w:szCs w:val="14"/>
                  </w:rPr>
                </w:pPr>
                <w:r w:rsidRPr="00B80369">
                  <w:rPr>
                    <w:b/>
                    <w:color w:val="33A1AB" w:themeColor="accent2"/>
                    <w:sz w:val="14"/>
                    <w:szCs w:val="14"/>
                  </w:rPr>
                  <w:t>31 Dec 2011</w:t>
                </w:r>
              </w:p>
            </w:tc>
            <w:tc>
              <w:tcPr>
                <w:tcW w:w="301" w:type="pct"/>
                <w:tcBorders>
                  <w:top w:val="single" w:sz="12" w:space="0" w:color="AFAFB4" w:themeColor="accent4"/>
                </w:tcBorders>
                <w:shd w:val="clear" w:color="auto" w:fill="FFFFFF" w:themeFill="background2"/>
                <w:vAlign w:val="center"/>
              </w:tcPr>
              <w:p w14:paraId="0AA68231" w14:textId="77777777" w:rsidR="00C013B2" w:rsidRPr="00B80369" w:rsidRDefault="00C013B2" w:rsidP="00B80369">
                <w:pPr>
                  <w:spacing w:before="0" w:line="240" w:lineRule="auto"/>
                  <w:jc w:val="center"/>
                  <w:rPr>
                    <w:b/>
                    <w:color w:val="33A1AB" w:themeColor="accent2"/>
                    <w:sz w:val="14"/>
                    <w:szCs w:val="14"/>
                  </w:rPr>
                </w:pPr>
                <w:r w:rsidRPr="00B80369">
                  <w:rPr>
                    <w:b/>
                    <w:color w:val="33A1AB" w:themeColor="accent2"/>
                    <w:sz w:val="14"/>
                    <w:szCs w:val="14"/>
                  </w:rPr>
                  <w:t>31 Dec 2012</w:t>
                </w:r>
              </w:p>
            </w:tc>
            <w:tc>
              <w:tcPr>
                <w:tcW w:w="301" w:type="pct"/>
                <w:tcBorders>
                  <w:top w:val="single" w:sz="12" w:space="0" w:color="AFAFB4" w:themeColor="accent4"/>
                </w:tcBorders>
                <w:shd w:val="clear" w:color="auto" w:fill="FFFFFF" w:themeFill="background2"/>
                <w:vAlign w:val="center"/>
              </w:tcPr>
              <w:p w14:paraId="30DD4FB1" w14:textId="77777777" w:rsidR="00C013B2" w:rsidRPr="00B80369" w:rsidRDefault="00C013B2" w:rsidP="00B80369">
                <w:pPr>
                  <w:spacing w:before="0" w:line="240" w:lineRule="auto"/>
                  <w:jc w:val="center"/>
                  <w:rPr>
                    <w:b/>
                    <w:color w:val="33A1AB" w:themeColor="accent2"/>
                    <w:sz w:val="14"/>
                    <w:szCs w:val="14"/>
                  </w:rPr>
                </w:pPr>
                <w:r w:rsidRPr="00B80369">
                  <w:rPr>
                    <w:b/>
                    <w:color w:val="33A1AB" w:themeColor="accent2"/>
                    <w:sz w:val="14"/>
                    <w:szCs w:val="14"/>
                  </w:rPr>
                  <w:t>31 Dec 2013</w:t>
                </w:r>
              </w:p>
            </w:tc>
            <w:tc>
              <w:tcPr>
                <w:tcW w:w="301" w:type="pct"/>
                <w:tcBorders>
                  <w:top w:val="single" w:sz="12" w:space="0" w:color="AFAFB4" w:themeColor="accent4"/>
                </w:tcBorders>
                <w:shd w:val="clear" w:color="auto" w:fill="FFFFFF" w:themeFill="background2"/>
                <w:vAlign w:val="center"/>
              </w:tcPr>
              <w:p w14:paraId="3547147D" w14:textId="77777777" w:rsidR="00C013B2" w:rsidRPr="00B80369" w:rsidRDefault="00C013B2" w:rsidP="00B80369">
                <w:pPr>
                  <w:spacing w:before="0" w:line="240" w:lineRule="auto"/>
                  <w:jc w:val="center"/>
                  <w:rPr>
                    <w:b/>
                    <w:color w:val="33A1AB" w:themeColor="accent2"/>
                    <w:sz w:val="14"/>
                    <w:szCs w:val="14"/>
                  </w:rPr>
                </w:pPr>
                <w:r w:rsidRPr="00B80369">
                  <w:rPr>
                    <w:b/>
                    <w:color w:val="33A1AB" w:themeColor="accent2"/>
                    <w:sz w:val="14"/>
                    <w:szCs w:val="14"/>
                  </w:rPr>
                  <w:t>31 Dec 2014</w:t>
                </w:r>
              </w:p>
            </w:tc>
            <w:tc>
              <w:tcPr>
                <w:tcW w:w="302" w:type="pct"/>
                <w:tcBorders>
                  <w:top w:val="single" w:sz="12" w:space="0" w:color="AFAFB4" w:themeColor="accent4"/>
                </w:tcBorders>
                <w:shd w:val="clear" w:color="auto" w:fill="FFFFFF" w:themeFill="background2"/>
                <w:vAlign w:val="center"/>
              </w:tcPr>
              <w:p w14:paraId="02E9DB6D" w14:textId="77777777" w:rsidR="00C013B2" w:rsidRPr="00B80369" w:rsidRDefault="00C013B2" w:rsidP="00B80369">
                <w:pPr>
                  <w:spacing w:before="0" w:line="240" w:lineRule="auto"/>
                  <w:jc w:val="center"/>
                  <w:rPr>
                    <w:b/>
                    <w:color w:val="33A1AB" w:themeColor="accent2"/>
                    <w:sz w:val="14"/>
                    <w:szCs w:val="14"/>
                  </w:rPr>
                </w:pPr>
                <w:r w:rsidRPr="00B80369">
                  <w:rPr>
                    <w:b/>
                    <w:color w:val="33A1AB" w:themeColor="accent2"/>
                    <w:sz w:val="14"/>
                    <w:szCs w:val="14"/>
                  </w:rPr>
                  <w:t>31 Dec 2015</w:t>
                </w:r>
              </w:p>
            </w:tc>
            <w:tc>
              <w:tcPr>
                <w:tcW w:w="302" w:type="pct"/>
                <w:tcBorders>
                  <w:top w:val="single" w:sz="12" w:space="0" w:color="AFAFB4" w:themeColor="accent4"/>
                </w:tcBorders>
                <w:shd w:val="clear" w:color="auto" w:fill="FFFFFF" w:themeFill="background2"/>
                <w:vAlign w:val="center"/>
              </w:tcPr>
              <w:p w14:paraId="60939A2B" w14:textId="77777777" w:rsidR="00C013B2" w:rsidRPr="00B80369" w:rsidRDefault="00C013B2" w:rsidP="00B80369">
                <w:pPr>
                  <w:spacing w:before="0" w:line="240" w:lineRule="auto"/>
                  <w:jc w:val="center"/>
                  <w:rPr>
                    <w:b/>
                    <w:color w:val="33A1AB" w:themeColor="accent2"/>
                    <w:sz w:val="14"/>
                    <w:szCs w:val="14"/>
                  </w:rPr>
                </w:pPr>
                <w:r w:rsidRPr="00B80369">
                  <w:rPr>
                    <w:b/>
                    <w:color w:val="33A1AB" w:themeColor="accent2"/>
                    <w:sz w:val="14"/>
                    <w:szCs w:val="14"/>
                  </w:rPr>
                  <w:t>31 Dec 2016</w:t>
                </w:r>
              </w:p>
            </w:tc>
            <w:tc>
              <w:tcPr>
                <w:tcW w:w="302" w:type="pct"/>
                <w:tcBorders>
                  <w:top w:val="single" w:sz="12" w:space="0" w:color="AFAFB4" w:themeColor="accent4"/>
                </w:tcBorders>
                <w:shd w:val="clear" w:color="auto" w:fill="FFFFFF" w:themeFill="background2"/>
                <w:vAlign w:val="center"/>
              </w:tcPr>
              <w:p w14:paraId="198E5EF5" w14:textId="77777777" w:rsidR="00C013B2" w:rsidRPr="00B80369" w:rsidRDefault="00C013B2" w:rsidP="00B80369">
                <w:pPr>
                  <w:spacing w:before="0" w:line="240" w:lineRule="auto"/>
                  <w:jc w:val="center"/>
                  <w:rPr>
                    <w:b/>
                    <w:color w:val="33A1AB" w:themeColor="accent2"/>
                    <w:sz w:val="14"/>
                    <w:szCs w:val="14"/>
                  </w:rPr>
                </w:pPr>
                <w:r w:rsidRPr="00B80369">
                  <w:rPr>
                    <w:b/>
                    <w:color w:val="33A1AB" w:themeColor="accent2"/>
                    <w:sz w:val="14"/>
                    <w:szCs w:val="14"/>
                  </w:rPr>
                  <w:t>31 Dec 2017</w:t>
                </w:r>
              </w:p>
            </w:tc>
            <w:tc>
              <w:tcPr>
                <w:tcW w:w="301" w:type="pct"/>
                <w:tcBorders>
                  <w:top w:val="single" w:sz="12" w:space="0" w:color="AFAFB4" w:themeColor="accent4"/>
                </w:tcBorders>
                <w:shd w:val="clear" w:color="auto" w:fill="FFFFFF" w:themeFill="background2"/>
                <w:vAlign w:val="center"/>
              </w:tcPr>
              <w:p w14:paraId="05DDA6BD" w14:textId="77777777" w:rsidR="00C013B2" w:rsidRPr="00B80369" w:rsidRDefault="00C013B2" w:rsidP="00B80369">
                <w:pPr>
                  <w:spacing w:before="0" w:line="240" w:lineRule="auto"/>
                  <w:jc w:val="center"/>
                  <w:rPr>
                    <w:b/>
                    <w:color w:val="33A1AB" w:themeColor="accent2"/>
                    <w:sz w:val="14"/>
                    <w:szCs w:val="14"/>
                  </w:rPr>
                </w:pPr>
                <w:r w:rsidRPr="00B80369">
                  <w:rPr>
                    <w:b/>
                    <w:color w:val="33A1AB" w:themeColor="accent2"/>
                    <w:sz w:val="14"/>
                    <w:szCs w:val="14"/>
                  </w:rPr>
                  <w:t>31 Dec 2018</w:t>
                </w:r>
              </w:p>
            </w:tc>
            <w:tc>
              <w:tcPr>
                <w:tcW w:w="301" w:type="pct"/>
                <w:tcBorders>
                  <w:top w:val="single" w:sz="12" w:space="0" w:color="AFAFB4" w:themeColor="accent4"/>
                </w:tcBorders>
                <w:shd w:val="clear" w:color="auto" w:fill="FFFFFF" w:themeFill="background2"/>
                <w:vAlign w:val="center"/>
              </w:tcPr>
              <w:p w14:paraId="235249F3" w14:textId="77777777" w:rsidR="00C013B2" w:rsidRPr="00B80369" w:rsidRDefault="00C013B2" w:rsidP="00B80369">
                <w:pPr>
                  <w:spacing w:before="0" w:line="240" w:lineRule="auto"/>
                  <w:jc w:val="center"/>
                  <w:rPr>
                    <w:b/>
                    <w:color w:val="33A1AB" w:themeColor="accent2"/>
                    <w:sz w:val="14"/>
                    <w:szCs w:val="14"/>
                  </w:rPr>
                </w:pPr>
                <w:r w:rsidRPr="00B80369">
                  <w:rPr>
                    <w:b/>
                    <w:color w:val="33A1AB" w:themeColor="accent2"/>
                    <w:sz w:val="14"/>
                    <w:szCs w:val="14"/>
                  </w:rPr>
                  <w:t>31 Dec 2019</w:t>
                </w:r>
              </w:p>
            </w:tc>
            <w:tc>
              <w:tcPr>
                <w:tcW w:w="301" w:type="pct"/>
                <w:tcBorders>
                  <w:top w:val="single" w:sz="12" w:space="0" w:color="AFAFB4" w:themeColor="accent4"/>
                </w:tcBorders>
                <w:shd w:val="clear" w:color="auto" w:fill="FFFFFF" w:themeFill="background2"/>
                <w:vAlign w:val="center"/>
              </w:tcPr>
              <w:p w14:paraId="26EBA5FA" w14:textId="77777777" w:rsidR="00C013B2" w:rsidRPr="00B80369" w:rsidRDefault="00C013B2" w:rsidP="00B80369">
                <w:pPr>
                  <w:spacing w:before="0" w:line="240" w:lineRule="auto"/>
                  <w:jc w:val="center"/>
                  <w:rPr>
                    <w:b/>
                    <w:color w:val="33A1AB" w:themeColor="accent2"/>
                    <w:sz w:val="14"/>
                    <w:szCs w:val="14"/>
                  </w:rPr>
                </w:pPr>
                <w:r w:rsidRPr="00B80369">
                  <w:rPr>
                    <w:b/>
                    <w:color w:val="33A1AB" w:themeColor="accent2"/>
                    <w:sz w:val="14"/>
                    <w:szCs w:val="14"/>
                  </w:rPr>
                  <w:t>31 Dec 2020</w:t>
                </w:r>
              </w:p>
            </w:tc>
            <w:tc>
              <w:tcPr>
                <w:tcW w:w="301" w:type="pct"/>
                <w:tcBorders>
                  <w:top w:val="single" w:sz="12" w:space="0" w:color="AFAFB4" w:themeColor="accent4"/>
                </w:tcBorders>
                <w:shd w:val="clear" w:color="auto" w:fill="FFFFFF" w:themeFill="background2"/>
                <w:vAlign w:val="center"/>
              </w:tcPr>
              <w:p w14:paraId="394B323A" w14:textId="77777777" w:rsidR="00C013B2" w:rsidRPr="00B80369" w:rsidRDefault="00C013B2" w:rsidP="00B80369">
                <w:pPr>
                  <w:spacing w:before="0" w:line="240" w:lineRule="auto"/>
                  <w:jc w:val="center"/>
                  <w:rPr>
                    <w:b/>
                    <w:color w:val="33A1AB" w:themeColor="accent2"/>
                    <w:sz w:val="14"/>
                    <w:szCs w:val="14"/>
                  </w:rPr>
                </w:pPr>
                <w:r w:rsidRPr="00B80369">
                  <w:rPr>
                    <w:b/>
                    <w:color w:val="33A1AB" w:themeColor="accent2"/>
                    <w:sz w:val="14"/>
                    <w:szCs w:val="14"/>
                  </w:rPr>
                  <w:t>31 Dec 2021</w:t>
                </w:r>
              </w:p>
            </w:tc>
            <w:tc>
              <w:tcPr>
                <w:tcW w:w="325" w:type="pct"/>
                <w:tcBorders>
                  <w:top w:val="single" w:sz="12" w:space="0" w:color="AFAFB4" w:themeColor="accent4"/>
                </w:tcBorders>
                <w:shd w:val="clear" w:color="auto" w:fill="FFFFFF" w:themeFill="background2"/>
                <w:vAlign w:val="center"/>
              </w:tcPr>
              <w:p w14:paraId="14D29CB6" w14:textId="77777777" w:rsidR="00C013B2" w:rsidRPr="00B80369" w:rsidRDefault="00C013B2" w:rsidP="00B80369">
                <w:pPr>
                  <w:spacing w:before="0" w:line="240" w:lineRule="auto"/>
                  <w:jc w:val="center"/>
                  <w:rPr>
                    <w:b/>
                    <w:color w:val="33A1AB" w:themeColor="accent2"/>
                    <w:sz w:val="14"/>
                    <w:szCs w:val="14"/>
                  </w:rPr>
                </w:pPr>
                <w:r w:rsidRPr="00B80369">
                  <w:rPr>
                    <w:b/>
                    <w:color w:val="33A1AB" w:themeColor="accent2"/>
                    <w:sz w:val="14"/>
                    <w:szCs w:val="14"/>
                  </w:rPr>
                  <w:t>31 Dec 2022</w:t>
                </w:r>
              </w:p>
            </w:tc>
          </w:tr>
          <w:tr w:rsidR="0003279C" w:rsidRPr="00B80369" w14:paraId="59FCEA6F"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22D40222" w14:textId="77777777" w:rsidR="0003279C" w:rsidRPr="00B80369" w:rsidRDefault="0003279C"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A1.1</w:t>
                </w:r>
              </w:p>
            </w:tc>
            <w:tc>
              <w:tcPr>
                <w:tcW w:w="357" w:type="pct"/>
                <w:shd w:val="clear" w:color="auto" w:fill="FFFFFF" w:themeFill="background2"/>
                <w:tcMar>
                  <w:top w:w="60" w:type="dxa"/>
                  <w:left w:w="114" w:type="dxa"/>
                  <w:bottom w:w="60" w:type="dxa"/>
                  <w:right w:w="114" w:type="dxa"/>
                </w:tcMar>
                <w:vAlign w:val="center"/>
              </w:tcPr>
              <w:p w14:paraId="3A629ACF" w14:textId="25C26E34"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96" w:type="pct"/>
                <w:shd w:val="clear" w:color="auto" w:fill="FFFFFF" w:themeFill="background2"/>
                <w:tcMar>
                  <w:top w:w="60" w:type="dxa"/>
                  <w:left w:w="114" w:type="dxa"/>
                  <w:bottom w:w="60" w:type="dxa"/>
                  <w:right w:w="114" w:type="dxa"/>
                </w:tcMar>
                <w:vAlign w:val="center"/>
              </w:tcPr>
              <w:p w14:paraId="73D9C379" w14:textId="4221802A"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042CF5B7" w14:textId="7019E435"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4BDB3197" w14:textId="4B530963"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330A4BF7" w14:textId="378D05B5"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2D1121F7" w14:textId="5E9E48A7"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0550D567" w14:textId="79681D28"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09178DA3" w14:textId="1424DD7B"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67A1690C" w14:textId="005AAC21"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3647F276" w14:textId="1C0A3A35"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012D7170" w14:textId="5A9D414D" w:rsidR="0003279C" w:rsidRPr="00B80369" w:rsidRDefault="0003279C"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47657DA0" w14:textId="4FE41516" w:rsidR="0003279C" w:rsidRPr="00B80369" w:rsidRDefault="0003279C"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1B9135D9" w14:textId="1F627C70" w:rsidR="0003279C" w:rsidRPr="00B80369" w:rsidRDefault="0003279C"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2CCB9927" w14:textId="21C7FBA5"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B510B0" w:rsidRPr="00B80369">
                  <w:rPr>
                    <w:rFonts w:eastAsia="Times New Roman" w:cs="Segoe UI"/>
                    <w:sz w:val="14"/>
                    <w:szCs w:val="14"/>
                    <w:lang w:val="en-GB" w:eastAsia="it-IT"/>
                  </w:rPr>
                  <w:t>.</w:t>
                </w:r>
                <w:r w:rsidRPr="00B80369">
                  <w:rPr>
                    <w:rFonts w:eastAsia="Times New Roman" w:cs="Segoe UI"/>
                    <w:sz w:val="14"/>
                    <w:szCs w:val="14"/>
                    <w:lang w:val="en-GB" w:eastAsia="it-IT"/>
                  </w:rPr>
                  <w:t>00%</w:t>
                </w:r>
              </w:p>
            </w:tc>
            <w:tc>
              <w:tcPr>
                <w:tcW w:w="325" w:type="pct"/>
                <w:shd w:val="clear" w:color="auto" w:fill="FFFFFF" w:themeFill="background2"/>
                <w:vAlign w:val="center"/>
              </w:tcPr>
              <w:p w14:paraId="19BF4669" w14:textId="78238256"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r>
          <w:tr w:rsidR="0003279C" w:rsidRPr="00B80369" w14:paraId="1EFFA6D4"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56BA7851" w14:textId="77777777" w:rsidR="0003279C" w:rsidRPr="00B80369" w:rsidRDefault="0003279C"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A1.2</w:t>
                </w:r>
              </w:p>
            </w:tc>
            <w:tc>
              <w:tcPr>
                <w:tcW w:w="357" w:type="pct"/>
                <w:shd w:val="clear" w:color="auto" w:fill="FFFFFF" w:themeFill="background2"/>
                <w:tcMar>
                  <w:top w:w="60" w:type="dxa"/>
                  <w:left w:w="114" w:type="dxa"/>
                  <w:bottom w:w="60" w:type="dxa"/>
                  <w:right w:w="114" w:type="dxa"/>
                </w:tcMar>
                <w:vAlign w:val="center"/>
              </w:tcPr>
              <w:p w14:paraId="4AA6AD04" w14:textId="37F5CC8B"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96" w:type="pct"/>
                <w:shd w:val="clear" w:color="auto" w:fill="FFFFFF" w:themeFill="background2"/>
                <w:tcMar>
                  <w:top w:w="60" w:type="dxa"/>
                  <w:left w:w="114" w:type="dxa"/>
                  <w:bottom w:w="60" w:type="dxa"/>
                  <w:right w:w="114" w:type="dxa"/>
                </w:tcMar>
                <w:vAlign w:val="center"/>
              </w:tcPr>
              <w:p w14:paraId="77485A60" w14:textId="12A34CD4"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2DC0129B" w14:textId="7CEACF18"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3C96965B" w14:textId="43EED166"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7812F6EC" w14:textId="38426A5B"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0A97C216" w14:textId="2953551F"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7AFD6D54" w14:textId="695E1AAE"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67581737" w14:textId="5C832437"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397F81CE" w14:textId="68377601"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6BA39A18" w14:textId="30489698"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7E5B77E3" w14:textId="278EB78F" w:rsidR="0003279C" w:rsidRPr="00B80369" w:rsidRDefault="0003279C"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16133255" w14:textId="7EFEB755" w:rsidR="0003279C" w:rsidRPr="00B80369" w:rsidRDefault="0003279C"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797EABE2" w14:textId="10541D9B" w:rsidR="0003279C" w:rsidRPr="00B80369" w:rsidRDefault="0003279C"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0B950879" w14:textId="13E82778"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B510B0" w:rsidRPr="00B80369">
                  <w:rPr>
                    <w:rFonts w:eastAsia="Times New Roman" w:cs="Segoe UI"/>
                    <w:sz w:val="14"/>
                    <w:szCs w:val="14"/>
                    <w:lang w:val="en-GB" w:eastAsia="it-IT"/>
                  </w:rPr>
                  <w:t>.</w:t>
                </w:r>
                <w:r w:rsidRPr="00B80369">
                  <w:rPr>
                    <w:rFonts w:eastAsia="Times New Roman" w:cs="Segoe UI"/>
                    <w:sz w:val="14"/>
                    <w:szCs w:val="14"/>
                    <w:lang w:val="en-GB" w:eastAsia="it-IT"/>
                  </w:rPr>
                  <w:t>00%</w:t>
                </w:r>
              </w:p>
            </w:tc>
            <w:tc>
              <w:tcPr>
                <w:tcW w:w="325" w:type="pct"/>
                <w:shd w:val="clear" w:color="auto" w:fill="FFFFFF" w:themeFill="background2"/>
                <w:vAlign w:val="center"/>
              </w:tcPr>
              <w:p w14:paraId="6F72B7BC" w14:textId="7ABAC210"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r>
          <w:tr w:rsidR="0003279C" w:rsidRPr="00B80369" w14:paraId="4CCAF976"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50AFCC7C" w14:textId="77777777" w:rsidR="0003279C" w:rsidRPr="00B80369" w:rsidRDefault="0003279C"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A1.3</w:t>
                </w:r>
              </w:p>
            </w:tc>
            <w:tc>
              <w:tcPr>
                <w:tcW w:w="357" w:type="pct"/>
                <w:shd w:val="clear" w:color="auto" w:fill="FFFFFF" w:themeFill="background2"/>
                <w:tcMar>
                  <w:top w:w="60" w:type="dxa"/>
                  <w:left w:w="114" w:type="dxa"/>
                  <w:bottom w:w="60" w:type="dxa"/>
                  <w:right w:w="114" w:type="dxa"/>
                </w:tcMar>
                <w:vAlign w:val="center"/>
              </w:tcPr>
              <w:p w14:paraId="0344971A" w14:textId="5AC5AF98"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96" w:type="pct"/>
                <w:shd w:val="clear" w:color="auto" w:fill="FFFFFF" w:themeFill="background2"/>
                <w:tcMar>
                  <w:top w:w="60" w:type="dxa"/>
                  <w:left w:w="114" w:type="dxa"/>
                  <w:bottom w:w="60" w:type="dxa"/>
                  <w:right w:w="114" w:type="dxa"/>
                </w:tcMar>
                <w:vAlign w:val="center"/>
              </w:tcPr>
              <w:p w14:paraId="7965830E" w14:textId="0D91641C"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46619C49" w14:textId="0DDA949E"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29B5722A" w14:textId="080088A4"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30E98056" w14:textId="22A65867"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08ED3D3C" w14:textId="4DB30D1A"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1052E00C" w14:textId="54D4763D"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5669D724" w14:textId="3664B565"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356F756B" w14:textId="36135452"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0FF84E95" w14:textId="1208FB6D"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43EB7342" w14:textId="5405FA4C" w:rsidR="0003279C" w:rsidRPr="00B80369" w:rsidRDefault="0003279C"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3AB18F9B" w14:textId="74E9F8B0" w:rsidR="0003279C" w:rsidRPr="00B80369" w:rsidRDefault="0003279C"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48DF04F9" w14:textId="5DCB2D16" w:rsidR="0003279C" w:rsidRPr="00B80369" w:rsidRDefault="0003279C"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2ECEB23A" w14:textId="02AC11C6"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B510B0" w:rsidRPr="00B80369">
                  <w:rPr>
                    <w:rFonts w:eastAsia="Times New Roman" w:cs="Segoe UI"/>
                    <w:sz w:val="14"/>
                    <w:szCs w:val="14"/>
                    <w:lang w:val="en-GB" w:eastAsia="it-IT"/>
                  </w:rPr>
                  <w:t>.</w:t>
                </w:r>
                <w:r w:rsidRPr="00B80369">
                  <w:rPr>
                    <w:rFonts w:eastAsia="Times New Roman" w:cs="Segoe UI"/>
                    <w:sz w:val="14"/>
                    <w:szCs w:val="14"/>
                    <w:lang w:val="en-GB" w:eastAsia="it-IT"/>
                  </w:rPr>
                  <w:t>00%</w:t>
                </w:r>
              </w:p>
            </w:tc>
            <w:tc>
              <w:tcPr>
                <w:tcW w:w="325" w:type="pct"/>
                <w:shd w:val="clear" w:color="auto" w:fill="FFFFFF" w:themeFill="background2"/>
                <w:vAlign w:val="center"/>
              </w:tcPr>
              <w:p w14:paraId="4A9838E1" w14:textId="4367FA87"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r>
          <w:tr w:rsidR="0003279C" w:rsidRPr="00B80369" w14:paraId="018010C6"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21D10906" w14:textId="77777777" w:rsidR="0003279C" w:rsidRPr="00B80369" w:rsidRDefault="0003279C"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A2.1</w:t>
                </w:r>
              </w:p>
            </w:tc>
            <w:tc>
              <w:tcPr>
                <w:tcW w:w="357" w:type="pct"/>
                <w:shd w:val="clear" w:color="auto" w:fill="FFFFFF" w:themeFill="background2"/>
                <w:tcMar>
                  <w:top w:w="60" w:type="dxa"/>
                  <w:left w:w="114" w:type="dxa"/>
                  <w:bottom w:w="60" w:type="dxa"/>
                  <w:right w:w="114" w:type="dxa"/>
                </w:tcMar>
                <w:vAlign w:val="center"/>
              </w:tcPr>
              <w:p w14:paraId="6B53E6E5" w14:textId="0F0ACEC0"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96" w:type="pct"/>
                <w:shd w:val="clear" w:color="auto" w:fill="FFFFFF" w:themeFill="background2"/>
                <w:tcMar>
                  <w:top w:w="60" w:type="dxa"/>
                  <w:left w:w="114" w:type="dxa"/>
                  <w:bottom w:w="60" w:type="dxa"/>
                  <w:right w:w="114" w:type="dxa"/>
                </w:tcMar>
                <w:vAlign w:val="center"/>
              </w:tcPr>
              <w:p w14:paraId="0CCDD67B" w14:textId="1D634D99"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4FA9E6C1" w14:textId="17FBD483"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44064B30" w14:textId="2DCC5CCF"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407F3872" w14:textId="72372151"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0.34%</w:t>
                </w:r>
              </w:p>
            </w:tc>
            <w:tc>
              <w:tcPr>
                <w:tcW w:w="301" w:type="pct"/>
                <w:shd w:val="clear" w:color="auto" w:fill="FFFFFF" w:themeFill="background2"/>
                <w:vAlign w:val="center"/>
              </w:tcPr>
              <w:p w14:paraId="6BA5363E" w14:textId="2C66C619"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3C1ED7A5" w14:textId="5C6D8B80"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064396CF" w14:textId="6192F7FA"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69FD29B6" w14:textId="5D1A00E3"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303612E5" w14:textId="3FE9B50E"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257FA4A0" w14:textId="69BBF303" w:rsidR="0003279C" w:rsidRPr="00B80369" w:rsidRDefault="0003279C"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2CDB41E7" w14:textId="7EF2045A" w:rsidR="0003279C" w:rsidRPr="00B80369" w:rsidRDefault="0003279C"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727C0219" w14:textId="33DC9F95" w:rsidR="0003279C" w:rsidRPr="00B80369" w:rsidRDefault="0003279C"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1A69685A" w14:textId="32DB7182"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B510B0" w:rsidRPr="00B80369">
                  <w:rPr>
                    <w:rFonts w:eastAsia="Times New Roman" w:cs="Segoe UI"/>
                    <w:sz w:val="14"/>
                    <w:szCs w:val="14"/>
                    <w:lang w:val="en-GB" w:eastAsia="it-IT"/>
                  </w:rPr>
                  <w:t>.</w:t>
                </w:r>
                <w:r w:rsidRPr="00B80369">
                  <w:rPr>
                    <w:rFonts w:eastAsia="Times New Roman" w:cs="Segoe UI"/>
                    <w:sz w:val="14"/>
                    <w:szCs w:val="14"/>
                    <w:lang w:val="en-GB" w:eastAsia="it-IT"/>
                  </w:rPr>
                  <w:t>00%</w:t>
                </w:r>
              </w:p>
            </w:tc>
            <w:tc>
              <w:tcPr>
                <w:tcW w:w="325" w:type="pct"/>
                <w:shd w:val="clear" w:color="auto" w:fill="FFFFFF" w:themeFill="background2"/>
                <w:vAlign w:val="center"/>
              </w:tcPr>
              <w:p w14:paraId="58D5147E" w14:textId="7709EC30"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r>
          <w:tr w:rsidR="0003279C" w:rsidRPr="00B80369" w14:paraId="47A9DAAF"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29103E18" w14:textId="77777777" w:rsidR="0003279C" w:rsidRPr="00B80369" w:rsidRDefault="0003279C"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A2.2</w:t>
                </w:r>
              </w:p>
            </w:tc>
            <w:tc>
              <w:tcPr>
                <w:tcW w:w="357" w:type="pct"/>
                <w:shd w:val="clear" w:color="auto" w:fill="FFFFFF" w:themeFill="background2"/>
                <w:tcMar>
                  <w:top w:w="60" w:type="dxa"/>
                  <w:left w:w="114" w:type="dxa"/>
                  <w:bottom w:w="60" w:type="dxa"/>
                  <w:right w:w="114" w:type="dxa"/>
                </w:tcMar>
                <w:vAlign w:val="center"/>
              </w:tcPr>
              <w:p w14:paraId="6F2AE11B" w14:textId="6A124DF6"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96" w:type="pct"/>
                <w:shd w:val="clear" w:color="auto" w:fill="FFFFFF" w:themeFill="background2"/>
                <w:tcMar>
                  <w:top w:w="60" w:type="dxa"/>
                  <w:left w:w="114" w:type="dxa"/>
                  <w:bottom w:w="60" w:type="dxa"/>
                  <w:right w:w="114" w:type="dxa"/>
                </w:tcMar>
                <w:vAlign w:val="center"/>
              </w:tcPr>
              <w:p w14:paraId="5B0AAB9A" w14:textId="20345D00"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0.07%</w:t>
                </w:r>
              </w:p>
            </w:tc>
            <w:tc>
              <w:tcPr>
                <w:tcW w:w="301" w:type="pct"/>
                <w:shd w:val="clear" w:color="auto" w:fill="FFFFFF" w:themeFill="background2"/>
                <w:vAlign w:val="center"/>
              </w:tcPr>
              <w:p w14:paraId="43660CA2" w14:textId="2730B931"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0.06%</w:t>
                </w:r>
              </w:p>
            </w:tc>
            <w:tc>
              <w:tcPr>
                <w:tcW w:w="301" w:type="pct"/>
                <w:shd w:val="clear" w:color="auto" w:fill="FFFFFF" w:themeFill="background2"/>
                <w:vAlign w:val="center"/>
              </w:tcPr>
              <w:p w14:paraId="3CFF8CF3" w14:textId="31DFFE0F"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0.18%</w:t>
                </w:r>
              </w:p>
            </w:tc>
            <w:tc>
              <w:tcPr>
                <w:tcW w:w="301" w:type="pct"/>
                <w:shd w:val="clear" w:color="auto" w:fill="FFFFFF" w:themeFill="background2"/>
                <w:vAlign w:val="center"/>
              </w:tcPr>
              <w:p w14:paraId="32CF27E9" w14:textId="3410A9B0"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0.14%</w:t>
                </w:r>
              </w:p>
            </w:tc>
            <w:tc>
              <w:tcPr>
                <w:tcW w:w="301" w:type="pct"/>
                <w:shd w:val="clear" w:color="auto" w:fill="FFFFFF" w:themeFill="background2"/>
                <w:vAlign w:val="center"/>
              </w:tcPr>
              <w:p w14:paraId="503AE31F" w14:textId="0FD6C8AD"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0.08%</w:t>
                </w:r>
              </w:p>
            </w:tc>
            <w:tc>
              <w:tcPr>
                <w:tcW w:w="301" w:type="pct"/>
                <w:shd w:val="clear" w:color="auto" w:fill="FFFFFF" w:themeFill="background2"/>
                <w:vAlign w:val="center"/>
              </w:tcPr>
              <w:p w14:paraId="7E27EF0E" w14:textId="6CADEF83"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5D0AE146" w14:textId="5B4BB460"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0.15%</w:t>
                </w:r>
              </w:p>
            </w:tc>
            <w:tc>
              <w:tcPr>
                <w:tcW w:w="302" w:type="pct"/>
                <w:shd w:val="clear" w:color="auto" w:fill="FFFFFF" w:themeFill="background2"/>
                <w:vAlign w:val="center"/>
              </w:tcPr>
              <w:p w14:paraId="05711792" w14:textId="5C71C7DA"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5EA1E70C" w14:textId="4AD7EEF8"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0.16%</w:t>
                </w:r>
              </w:p>
            </w:tc>
            <w:tc>
              <w:tcPr>
                <w:tcW w:w="301" w:type="pct"/>
                <w:shd w:val="clear" w:color="auto" w:fill="FFFFFF" w:themeFill="background2"/>
                <w:vAlign w:val="center"/>
              </w:tcPr>
              <w:p w14:paraId="04299B3E" w14:textId="2AAB84E0" w:rsidR="0003279C" w:rsidRPr="00B80369" w:rsidRDefault="0003279C"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0.16%</w:t>
                </w:r>
              </w:p>
            </w:tc>
            <w:tc>
              <w:tcPr>
                <w:tcW w:w="301" w:type="pct"/>
                <w:shd w:val="clear" w:color="auto" w:fill="FFFFFF" w:themeFill="background2"/>
                <w:vAlign w:val="center"/>
              </w:tcPr>
              <w:p w14:paraId="4B3551DF" w14:textId="792F7277" w:rsidR="0003279C" w:rsidRPr="00B80369" w:rsidRDefault="0003279C"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5792A244" w14:textId="40FAFDDE" w:rsidR="0003279C" w:rsidRPr="00B80369" w:rsidRDefault="0003279C"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2F67E4C5" w14:textId="380907DE"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B510B0" w:rsidRPr="00B80369">
                  <w:rPr>
                    <w:rFonts w:eastAsia="Times New Roman" w:cs="Segoe UI"/>
                    <w:sz w:val="14"/>
                    <w:szCs w:val="14"/>
                    <w:lang w:val="en-GB" w:eastAsia="it-IT"/>
                  </w:rPr>
                  <w:t>.</w:t>
                </w:r>
                <w:r w:rsidRPr="00B80369">
                  <w:rPr>
                    <w:rFonts w:eastAsia="Times New Roman" w:cs="Segoe UI"/>
                    <w:sz w:val="14"/>
                    <w:szCs w:val="14"/>
                    <w:lang w:val="en-GB" w:eastAsia="it-IT"/>
                  </w:rPr>
                  <w:t>00%</w:t>
                </w:r>
              </w:p>
            </w:tc>
            <w:tc>
              <w:tcPr>
                <w:tcW w:w="325" w:type="pct"/>
                <w:shd w:val="clear" w:color="auto" w:fill="FFFFFF" w:themeFill="background2"/>
                <w:vAlign w:val="center"/>
              </w:tcPr>
              <w:p w14:paraId="3FC019C8" w14:textId="79DFA0D5"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r>
          <w:tr w:rsidR="0003279C" w:rsidRPr="00B80369" w14:paraId="3D9DB2B1"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5A373AEC" w14:textId="77777777" w:rsidR="0003279C" w:rsidRPr="00B80369" w:rsidRDefault="0003279C"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A3.1</w:t>
                </w:r>
              </w:p>
            </w:tc>
            <w:tc>
              <w:tcPr>
                <w:tcW w:w="357" w:type="pct"/>
                <w:shd w:val="clear" w:color="auto" w:fill="FFFFFF" w:themeFill="background2"/>
                <w:tcMar>
                  <w:top w:w="60" w:type="dxa"/>
                  <w:left w:w="114" w:type="dxa"/>
                  <w:bottom w:w="60" w:type="dxa"/>
                  <w:right w:w="114" w:type="dxa"/>
                </w:tcMar>
                <w:vAlign w:val="center"/>
              </w:tcPr>
              <w:p w14:paraId="13DC574A" w14:textId="6A759DD4"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0.21%</w:t>
                </w:r>
              </w:p>
            </w:tc>
            <w:tc>
              <w:tcPr>
                <w:tcW w:w="396" w:type="pct"/>
                <w:shd w:val="clear" w:color="auto" w:fill="FFFFFF" w:themeFill="background2"/>
                <w:tcMar>
                  <w:top w:w="60" w:type="dxa"/>
                  <w:left w:w="114" w:type="dxa"/>
                  <w:bottom w:w="60" w:type="dxa"/>
                  <w:right w:w="114" w:type="dxa"/>
                </w:tcMar>
                <w:vAlign w:val="center"/>
              </w:tcPr>
              <w:p w14:paraId="070D6669" w14:textId="29268213"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0.17%</w:t>
                </w:r>
              </w:p>
            </w:tc>
            <w:tc>
              <w:tcPr>
                <w:tcW w:w="301" w:type="pct"/>
                <w:shd w:val="clear" w:color="auto" w:fill="FFFFFF" w:themeFill="background2"/>
                <w:vAlign w:val="center"/>
              </w:tcPr>
              <w:p w14:paraId="281E8A49" w14:textId="7EDE0DEF"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0.28%</w:t>
                </w:r>
              </w:p>
            </w:tc>
            <w:tc>
              <w:tcPr>
                <w:tcW w:w="301" w:type="pct"/>
                <w:shd w:val="clear" w:color="auto" w:fill="FFFFFF" w:themeFill="background2"/>
                <w:vAlign w:val="center"/>
              </w:tcPr>
              <w:p w14:paraId="36ABD894" w14:textId="79C6C007"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0.26%</w:t>
                </w:r>
              </w:p>
            </w:tc>
            <w:tc>
              <w:tcPr>
                <w:tcW w:w="301" w:type="pct"/>
                <w:shd w:val="clear" w:color="auto" w:fill="FFFFFF" w:themeFill="background2"/>
                <w:vAlign w:val="center"/>
              </w:tcPr>
              <w:p w14:paraId="79A0793C" w14:textId="1D967009"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0.17%</w:t>
                </w:r>
              </w:p>
            </w:tc>
            <w:tc>
              <w:tcPr>
                <w:tcW w:w="301" w:type="pct"/>
                <w:shd w:val="clear" w:color="auto" w:fill="FFFFFF" w:themeFill="background2"/>
                <w:vAlign w:val="center"/>
              </w:tcPr>
              <w:p w14:paraId="1C57D9FA" w14:textId="637D3EAA"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0.56%</w:t>
                </w:r>
              </w:p>
            </w:tc>
            <w:tc>
              <w:tcPr>
                <w:tcW w:w="301" w:type="pct"/>
                <w:shd w:val="clear" w:color="auto" w:fill="FFFFFF" w:themeFill="background2"/>
                <w:vAlign w:val="center"/>
              </w:tcPr>
              <w:p w14:paraId="715203F0" w14:textId="02C4C2FC"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0.38%</w:t>
                </w:r>
              </w:p>
            </w:tc>
            <w:tc>
              <w:tcPr>
                <w:tcW w:w="302" w:type="pct"/>
                <w:shd w:val="clear" w:color="auto" w:fill="FFFFFF" w:themeFill="background2"/>
                <w:vAlign w:val="center"/>
              </w:tcPr>
              <w:p w14:paraId="726E1043" w14:textId="281C60D9"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0.28%</w:t>
                </w:r>
              </w:p>
            </w:tc>
            <w:tc>
              <w:tcPr>
                <w:tcW w:w="302" w:type="pct"/>
                <w:shd w:val="clear" w:color="auto" w:fill="FFFFFF" w:themeFill="background2"/>
                <w:vAlign w:val="center"/>
              </w:tcPr>
              <w:p w14:paraId="0372C0C5" w14:textId="4378CF4D"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0.22%</w:t>
                </w:r>
              </w:p>
            </w:tc>
            <w:tc>
              <w:tcPr>
                <w:tcW w:w="302" w:type="pct"/>
                <w:shd w:val="clear" w:color="auto" w:fill="FFFFFF" w:themeFill="background2"/>
                <w:vAlign w:val="center"/>
              </w:tcPr>
              <w:p w14:paraId="645A04BB" w14:textId="2C4DC7E9"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0.22%</w:t>
                </w:r>
              </w:p>
            </w:tc>
            <w:tc>
              <w:tcPr>
                <w:tcW w:w="301" w:type="pct"/>
                <w:shd w:val="clear" w:color="auto" w:fill="FFFFFF" w:themeFill="background2"/>
                <w:vAlign w:val="center"/>
              </w:tcPr>
              <w:p w14:paraId="6C74587E" w14:textId="3DC4F9CB" w:rsidR="0003279C" w:rsidRPr="00B80369" w:rsidRDefault="0003279C"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0.21%</w:t>
                </w:r>
              </w:p>
            </w:tc>
            <w:tc>
              <w:tcPr>
                <w:tcW w:w="301" w:type="pct"/>
                <w:shd w:val="clear" w:color="auto" w:fill="FFFFFF" w:themeFill="background2"/>
                <w:vAlign w:val="center"/>
              </w:tcPr>
              <w:p w14:paraId="4673BC74" w14:textId="1673B6BD" w:rsidR="0003279C" w:rsidRPr="00B80369" w:rsidRDefault="0003279C"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0.15%</w:t>
                </w:r>
              </w:p>
            </w:tc>
            <w:tc>
              <w:tcPr>
                <w:tcW w:w="301" w:type="pct"/>
                <w:shd w:val="clear" w:color="auto" w:fill="FFFFFF" w:themeFill="background2"/>
                <w:vAlign w:val="center"/>
              </w:tcPr>
              <w:p w14:paraId="61119085" w14:textId="6A5F8A01" w:rsidR="0003279C" w:rsidRPr="00B80369" w:rsidRDefault="0003279C"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79E22B1C" w14:textId="59C3A969"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B510B0" w:rsidRPr="00B80369">
                  <w:rPr>
                    <w:rFonts w:eastAsia="Times New Roman" w:cs="Segoe UI"/>
                    <w:sz w:val="14"/>
                    <w:szCs w:val="14"/>
                    <w:lang w:val="en-GB" w:eastAsia="it-IT"/>
                  </w:rPr>
                  <w:t>.</w:t>
                </w:r>
                <w:r w:rsidRPr="00B80369">
                  <w:rPr>
                    <w:rFonts w:eastAsia="Times New Roman" w:cs="Segoe UI"/>
                    <w:sz w:val="14"/>
                    <w:szCs w:val="14"/>
                    <w:lang w:val="en-GB" w:eastAsia="it-IT"/>
                  </w:rPr>
                  <w:t>12%</w:t>
                </w:r>
              </w:p>
            </w:tc>
            <w:tc>
              <w:tcPr>
                <w:tcW w:w="325" w:type="pct"/>
                <w:shd w:val="clear" w:color="auto" w:fill="FFFFFF" w:themeFill="background2"/>
                <w:vAlign w:val="center"/>
              </w:tcPr>
              <w:p w14:paraId="749CC77B" w14:textId="6ECCC7FF"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r>
          <w:tr w:rsidR="0003279C" w:rsidRPr="00B80369" w14:paraId="409C9D21"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65DD17A0" w14:textId="77777777" w:rsidR="0003279C" w:rsidRPr="00B80369" w:rsidRDefault="0003279C"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B1.1</w:t>
                </w:r>
              </w:p>
            </w:tc>
            <w:tc>
              <w:tcPr>
                <w:tcW w:w="357" w:type="pct"/>
                <w:shd w:val="clear" w:color="auto" w:fill="FFFFFF" w:themeFill="background2"/>
                <w:tcMar>
                  <w:top w:w="60" w:type="dxa"/>
                  <w:left w:w="114" w:type="dxa"/>
                  <w:bottom w:w="60" w:type="dxa"/>
                  <w:right w:w="114" w:type="dxa"/>
                </w:tcMar>
                <w:vAlign w:val="center"/>
              </w:tcPr>
              <w:p w14:paraId="6DE04178" w14:textId="6125F163"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0.42%</w:t>
                </w:r>
              </w:p>
            </w:tc>
            <w:tc>
              <w:tcPr>
                <w:tcW w:w="396" w:type="pct"/>
                <w:shd w:val="clear" w:color="auto" w:fill="FFFFFF" w:themeFill="background2"/>
                <w:tcMar>
                  <w:top w:w="60" w:type="dxa"/>
                  <w:left w:w="114" w:type="dxa"/>
                  <w:bottom w:w="60" w:type="dxa"/>
                  <w:right w:w="114" w:type="dxa"/>
                </w:tcMar>
                <w:vAlign w:val="center"/>
              </w:tcPr>
              <w:p w14:paraId="4F3C8B75" w14:textId="2CEACE78"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0.46%</w:t>
                </w:r>
              </w:p>
            </w:tc>
            <w:tc>
              <w:tcPr>
                <w:tcW w:w="301" w:type="pct"/>
                <w:shd w:val="clear" w:color="auto" w:fill="FFFFFF" w:themeFill="background2"/>
                <w:vAlign w:val="center"/>
              </w:tcPr>
              <w:p w14:paraId="60BEF2E0" w14:textId="57EAE3CF"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0.72%</w:t>
                </w:r>
              </w:p>
            </w:tc>
            <w:tc>
              <w:tcPr>
                <w:tcW w:w="301" w:type="pct"/>
                <w:shd w:val="clear" w:color="auto" w:fill="FFFFFF" w:themeFill="background2"/>
                <w:vAlign w:val="center"/>
              </w:tcPr>
              <w:p w14:paraId="18786062" w14:textId="4AD69268"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0.88%</w:t>
                </w:r>
              </w:p>
            </w:tc>
            <w:tc>
              <w:tcPr>
                <w:tcW w:w="301" w:type="pct"/>
                <w:shd w:val="clear" w:color="auto" w:fill="FFFFFF" w:themeFill="background2"/>
                <w:vAlign w:val="center"/>
              </w:tcPr>
              <w:p w14:paraId="5D163D62" w14:textId="4A7734EE"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0.93%</w:t>
                </w:r>
              </w:p>
            </w:tc>
            <w:tc>
              <w:tcPr>
                <w:tcW w:w="301" w:type="pct"/>
                <w:shd w:val="clear" w:color="auto" w:fill="FFFFFF" w:themeFill="background2"/>
                <w:vAlign w:val="center"/>
              </w:tcPr>
              <w:p w14:paraId="393DB1C4" w14:textId="735AAE81"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1.21%</w:t>
                </w:r>
              </w:p>
            </w:tc>
            <w:tc>
              <w:tcPr>
                <w:tcW w:w="301" w:type="pct"/>
                <w:shd w:val="clear" w:color="auto" w:fill="FFFFFF" w:themeFill="background2"/>
                <w:vAlign w:val="center"/>
              </w:tcPr>
              <w:p w14:paraId="0ED98BE4" w14:textId="19261C26"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1.23%</w:t>
                </w:r>
              </w:p>
            </w:tc>
            <w:tc>
              <w:tcPr>
                <w:tcW w:w="302" w:type="pct"/>
                <w:shd w:val="clear" w:color="auto" w:fill="FFFFFF" w:themeFill="background2"/>
                <w:vAlign w:val="center"/>
              </w:tcPr>
              <w:p w14:paraId="4AD85B95" w14:textId="746465E8"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0.61%</w:t>
                </w:r>
              </w:p>
            </w:tc>
            <w:tc>
              <w:tcPr>
                <w:tcW w:w="302" w:type="pct"/>
                <w:shd w:val="clear" w:color="auto" w:fill="FFFFFF" w:themeFill="background2"/>
                <w:vAlign w:val="center"/>
              </w:tcPr>
              <w:p w14:paraId="693E2DFB" w14:textId="6EDEE8D3"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0.73%</w:t>
                </w:r>
              </w:p>
            </w:tc>
            <w:tc>
              <w:tcPr>
                <w:tcW w:w="302" w:type="pct"/>
                <w:shd w:val="clear" w:color="auto" w:fill="FFFFFF" w:themeFill="background2"/>
                <w:vAlign w:val="center"/>
              </w:tcPr>
              <w:p w14:paraId="1176E1A2" w14:textId="504E4F71"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0.40%</w:t>
                </w:r>
              </w:p>
            </w:tc>
            <w:tc>
              <w:tcPr>
                <w:tcW w:w="301" w:type="pct"/>
                <w:shd w:val="clear" w:color="auto" w:fill="FFFFFF" w:themeFill="background2"/>
                <w:vAlign w:val="center"/>
              </w:tcPr>
              <w:p w14:paraId="18BAC976" w14:textId="2E043C93" w:rsidR="0003279C" w:rsidRPr="00B80369" w:rsidRDefault="0003279C"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0.46%</w:t>
                </w:r>
              </w:p>
            </w:tc>
            <w:tc>
              <w:tcPr>
                <w:tcW w:w="301" w:type="pct"/>
                <w:shd w:val="clear" w:color="auto" w:fill="FFFFFF" w:themeFill="background2"/>
                <w:vAlign w:val="center"/>
              </w:tcPr>
              <w:p w14:paraId="50CF83E4" w14:textId="24FE6C4A" w:rsidR="0003279C" w:rsidRPr="00B80369" w:rsidRDefault="0003279C"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0.30%</w:t>
                </w:r>
              </w:p>
            </w:tc>
            <w:tc>
              <w:tcPr>
                <w:tcW w:w="301" w:type="pct"/>
                <w:shd w:val="clear" w:color="auto" w:fill="FFFFFF" w:themeFill="background2"/>
                <w:vAlign w:val="center"/>
              </w:tcPr>
              <w:p w14:paraId="44039B5E" w14:textId="7489976E" w:rsidR="0003279C" w:rsidRPr="00B80369" w:rsidRDefault="0003279C"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0.13%</w:t>
                </w:r>
              </w:p>
            </w:tc>
            <w:tc>
              <w:tcPr>
                <w:tcW w:w="301" w:type="pct"/>
                <w:shd w:val="clear" w:color="auto" w:fill="FFFFFF" w:themeFill="background2"/>
                <w:vAlign w:val="center"/>
              </w:tcPr>
              <w:p w14:paraId="596C414F" w14:textId="7991AC07"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B510B0" w:rsidRPr="00B80369">
                  <w:rPr>
                    <w:rFonts w:eastAsia="Times New Roman" w:cs="Segoe UI"/>
                    <w:sz w:val="14"/>
                    <w:szCs w:val="14"/>
                    <w:lang w:val="en-GB" w:eastAsia="it-IT"/>
                  </w:rPr>
                  <w:t>.</w:t>
                </w:r>
                <w:r w:rsidRPr="00B80369">
                  <w:rPr>
                    <w:rFonts w:eastAsia="Times New Roman" w:cs="Segoe UI"/>
                    <w:sz w:val="14"/>
                    <w:szCs w:val="14"/>
                    <w:lang w:val="en-GB" w:eastAsia="it-IT"/>
                  </w:rPr>
                  <w:t>27%</w:t>
                </w:r>
              </w:p>
            </w:tc>
            <w:tc>
              <w:tcPr>
                <w:tcW w:w="325" w:type="pct"/>
                <w:shd w:val="clear" w:color="auto" w:fill="FFFFFF" w:themeFill="background2"/>
                <w:vAlign w:val="center"/>
              </w:tcPr>
              <w:p w14:paraId="29125D93" w14:textId="328E87A5"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r>
          <w:tr w:rsidR="0003279C" w:rsidRPr="00B80369" w14:paraId="18810E20"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5344D4D4" w14:textId="77777777" w:rsidR="0003279C" w:rsidRPr="00B80369" w:rsidRDefault="0003279C"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B1.2</w:t>
                </w:r>
              </w:p>
            </w:tc>
            <w:tc>
              <w:tcPr>
                <w:tcW w:w="357" w:type="pct"/>
                <w:shd w:val="clear" w:color="auto" w:fill="FFFFFF" w:themeFill="background2"/>
                <w:tcMar>
                  <w:top w:w="60" w:type="dxa"/>
                  <w:left w:w="114" w:type="dxa"/>
                  <w:bottom w:w="60" w:type="dxa"/>
                  <w:right w:w="114" w:type="dxa"/>
                </w:tcMar>
                <w:vAlign w:val="center"/>
              </w:tcPr>
              <w:p w14:paraId="12A59AB1" w14:textId="11328956"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1.56%</w:t>
                </w:r>
              </w:p>
            </w:tc>
            <w:tc>
              <w:tcPr>
                <w:tcW w:w="396" w:type="pct"/>
                <w:shd w:val="clear" w:color="auto" w:fill="FFFFFF" w:themeFill="background2"/>
                <w:tcMar>
                  <w:top w:w="60" w:type="dxa"/>
                  <w:left w:w="114" w:type="dxa"/>
                  <w:bottom w:w="60" w:type="dxa"/>
                  <w:right w:w="114" w:type="dxa"/>
                </w:tcMar>
                <w:vAlign w:val="center"/>
              </w:tcPr>
              <w:p w14:paraId="762C2B53" w14:textId="49C92E24"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1.29%</w:t>
                </w:r>
              </w:p>
            </w:tc>
            <w:tc>
              <w:tcPr>
                <w:tcW w:w="301" w:type="pct"/>
                <w:shd w:val="clear" w:color="auto" w:fill="FFFFFF" w:themeFill="background2"/>
                <w:vAlign w:val="center"/>
              </w:tcPr>
              <w:p w14:paraId="178703BE" w14:textId="6D9C50CA"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1.70%</w:t>
                </w:r>
              </w:p>
            </w:tc>
            <w:tc>
              <w:tcPr>
                <w:tcW w:w="301" w:type="pct"/>
                <w:shd w:val="clear" w:color="auto" w:fill="FFFFFF" w:themeFill="background2"/>
                <w:vAlign w:val="center"/>
              </w:tcPr>
              <w:p w14:paraId="31A75BC7" w14:textId="0D7C8650"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2.44%</w:t>
                </w:r>
              </w:p>
            </w:tc>
            <w:tc>
              <w:tcPr>
                <w:tcW w:w="301" w:type="pct"/>
                <w:shd w:val="clear" w:color="auto" w:fill="FFFFFF" w:themeFill="background2"/>
                <w:vAlign w:val="center"/>
              </w:tcPr>
              <w:p w14:paraId="7C78AD44" w14:textId="1E9EB247"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2.35%</w:t>
                </w:r>
              </w:p>
            </w:tc>
            <w:tc>
              <w:tcPr>
                <w:tcW w:w="301" w:type="pct"/>
                <w:shd w:val="clear" w:color="auto" w:fill="FFFFFF" w:themeFill="background2"/>
                <w:vAlign w:val="center"/>
              </w:tcPr>
              <w:p w14:paraId="3C9C10F3" w14:textId="6FEC12C8"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3.17%</w:t>
                </w:r>
              </w:p>
            </w:tc>
            <w:tc>
              <w:tcPr>
                <w:tcW w:w="301" w:type="pct"/>
                <w:shd w:val="clear" w:color="auto" w:fill="FFFFFF" w:themeFill="background2"/>
                <w:vAlign w:val="center"/>
              </w:tcPr>
              <w:p w14:paraId="4A430EDF" w14:textId="704F99E9"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1.93%</w:t>
                </w:r>
              </w:p>
            </w:tc>
            <w:tc>
              <w:tcPr>
                <w:tcW w:w="302" w:type="pct"/>
                <w:shd w:val="clear" w:color="auto" w:fill="FFFFFF" w:themeFill="background2"/>
                <w:vAlign w:val="center"/>
              </w:tcPr>
              <w:p w14:paraId="099E5DA0" w14:textId="2FBD3110"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1.72%</w:t>
                </w:r>
              </w:p>
            </w:tc>
            <w:tc>
              <w:tcPr>
                <w:tcW w:w="302" w:type="pct"/>
                <w:shd w:val="clear" w:color="auto" w:fill="FFFFFF" w:themeFill="background2"/>
                <w:vAlign w:val="center"/>
              </w:tcPr>
              <w:p w14:paraId="1B7A8A16" w14:textId="699461EB"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0.98%</w:t>
                </w:r>
              </w:p>
            </w:tc>
            <w:tc>
              <w:tcPr>
                <w:tcW w:w="302" w:type="pct"/>
                <w:shd w:val="clear" w:color="auto" w:fill="FFFFFF" w:themeFill="background2"/>
                <w:vAlign w:val="center"/>
              </w:tcPr>
              <w:p w14:paraId="471021FE" w14:textId="6FB80D92"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0.90%</w:t>
                </w:r>
              </w:p>
            </w:tc>
            <w:tc>
              <w:tcPr>
                <w:tcW w:w="301" w:type="pct"/>
                <w:shd w:val="clear" w:color="auto" w:fill="FFFFFF" w:themeFill="background2"/>
                <w:vAlign w:val="center"/>
              </w:tcPr>
              <w:p w14:paraId="50F4E95C" w14:textId="6C15BE61" w:rsidR="0003279C" w:rsidRPr="00B80369" w:rsidRDefault="0003279C"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0.83%</w:t>
                </w:r>
              </w:p>
            </w:tc>
            <w:tc>
              <w:tcPr>
                <w:tcW w:w="301" w:type="pct"/>
                <w:shd w:val="clear" w:color="auto" w:fill="FFFFFF" w:themeFill="background2"/>
                <w:vAlign w:val="center"/>
              </w:tcPr>
              <w:p w14:paraId="5EA95153" w14:textId="31CDA45A" w:rsidR="0003279C" w:rsidRPr="00B80369" w:rsidRDefault="0003279C"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0.53%</w:t>
                </w:r>
              </w:p>
            </w:tc>
            <w:tc>
              <w:tcPr>
                <w:tcW w:w="301" w:type="pct"/>
                <w:shd w:val="clear" w:color="auto" w:fill="FFFFFF" w:themeFill="background2"/>
                <w:vAlign w:val="center"/>
              </w:tcPr>
              <w:p w14:paraId="20A1D45E" w14:textId="237C4CE7" w:rsidR="0003279C" w:rsidRPr="00B80369" w:rsidRDefault="0003279C"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0.23%</w:t>
                </w:r>
              </w:p>
            </w:tc>
            <w:tc>
              <w:tcPr>
                <w:tcW w:w="301" w:type="pct"/>
                <w:shd w:val="clear" w:color="auto" w:fill="FFFFFF" w:themeFill="background2"/>
                <w:vAlign w:val="center"/>
              </w:tcPr>
              <w:p w14:paraId="7B5CCD3F" w14:textId="4A811D61"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B510B0" w:rsidRPr="00B80369">
                  <w:rPr>
                    <w:rFonts w:eastAsia="Times New Roman" w:cs="Segoe UI"/>
                    <w:sz w:val="14"/>
                    <w:szCs w:val="14"/>
                    <w:lang w:val="en-GB" w:eastAsia="it-IT"/>
                  </w:rPr>
                  <w:t>.</w:t>
                </w:r>
                <w:r w:rsidRPr="00B80369">
                  <w:rPr>
                    <w:rFonts w:eastAsia="Times New Roman" w:cs="Segoe UI"/>
                    <w:sz w:val="14"/>
                    <w:szCs w:val="14"/>
                    <w:lang w:val="en-GB" w:eastAsia="it-IT"/>
                  </w:rPr>
                  <w:t>20%</w:t>
                </w:r>
              </w:p>
            </w:tc>
            <w:tc>
              <w:tcPr>
                <w:tcW w:w="325" w:type="pct"/>
                <w:shd w:val="clear" w:color="auto" w:fill="FFFFFF" w:themeFill="background2"/>
                <w:vAlign w:val="center"/>
              </w:tcPr>
              <w:p w14:paraId="323AE572" w14:textId="27139A45"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r>
          <w:tr w:rsidR="0003279C" w:rsidRPr="00B80369" w14:paraId="721932C5"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2A078E95" w14:textId="77777777" w:rsidR="0003279C" w:rsidRPr="00B80369" w:rsidRDefault="0003279C"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B2.1</w:t>
                </w:r>
              </w:p>
            </w:tc>
            <w:tc>
              <w:tcPr>
                <w:tcW w:w="357" w:type="pct"/>
                <w:shd w:val="clear" w:color="auto" w:fill="FFFFFF" w:themeFill="background2"/>
                <w:tcMar>
                  <w:top w:w="60" w:type="dxa"/>
                  <w:left w:w="114" w:type="dxa"/>
                  <w:bottom w:w="60" w:type="dxa"/>
                  <w:right w:w="114" w:type="dxa"/>
                </w:tcMar>
                <w:vAlign w:val="center"/>
              </w:tcPr>
              <w:p w14:paraId="7EF5C35D" w14:textId="58D78CE7"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3.42%</w:t>
                </w:r>
              </w:p>
            </w:tc>
            <w:tc>
              <w:tcPr>
                <w:tcW w:w="396" w:type="pct"/>
                <w:shd w:val="clear" w:color="auto" w:fill="FFFFFF" w:themeFill="background2"/>
                <w:tcMar>
                  <w:top w:w="60" w:type="dxa"/>
                  <w:left w:w="114" w:type="dxa"/>
                  <w:bottom w:w="60" w:type="dxa"/>
                  <w:right w:w="114" w:type="dxa"/>
                </w:tcMar>
                <w:vAlign w:val="center"/>
              </w:tcPr>
              <w:p w14:paraId="3554D3CD" w14:textId="5ED34956"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3.24%</w:t>
                </w:r>
              </w:p>
            </w:tc>
            <w:tc>
              <w:tcPr>
                <w:tcW w:w="301" w:type="pct"/>
                <w:shd w:val="clear" w:color="auto" w:fill="FFFFFF" w:themeFill="background2"/>
                <w:vAlign w:val="center"/>
              </w:tcPr>
              <w:p w14:paraId="124E339F" w14:textId="3009D13B"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4.03%</w:t>
                </w:r>
              </w:p>
            </w:tc>
            <w:tc>
              <w:tcPr>
                <w:tcW w:w="301" w:type="pct"/>
                <w:shd w:val="clear" w:color="auto" w:fill="FFFFFF" w:themeFill="background2"/>
                <w:vAlign w:val="center"/>
              </w:tcPr>
              <w:p w14:paraId="5D1F0D90" w14:textId="0C80A04D"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5.26%</w:t>
                </w:r>
              </w:p>
            </w:tc>
            <w:tc>
              <w:tcPr>
                <w:tcW w:w="301" w:type="pct"/>
                <w:shd w:val="clear" w:color="auto" w:fill="FFFFFF" w:themeFill="background2"/>
                <w:vAlign w:val="center"/>
              </w:tcPr>
              <w:p w14:paraId="0B582D00" w14:textId="32545F3F"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4.50%</w:t>
                </w:r>
              </w:p>
            </w:tc>
            <w:tc>
              <w:tcPr>
                <w:tcW w:w="301" w:type="pct"/>
                <w:shd w:val="clear" w:color="auto" w:fill="FFFFFF" w:themeFill="background2"/>
                <w:vAlign w:val="center"/>
              </w:tcPr>
              <w:p w14:paraId="50C30AC0" w14:textId="6C8E990E"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4.89%</w:t>
                </w:r>
              </w:p>
            </w:tc>
            <w:tc>
              <w:tcPr>
                <w:tcW w:w="301" w:type="pct"/>
                <w:shd w:val="clear" w:color="auto" w:fill="FFFFFF" w:themeFill="background2"/>
                <w:vAlign w:val="center"/>
              </w:tcPr>
              <w:p w14:paraId="658058F7" w14:textId="567D26E8"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3.87%</w:t>
                </w:r>
              </w:p>
            </w:tc>
            <w:tc>
              <w:tcPr>
                <w:tcW w:w="302" w:type="pct"/>
                <w:shd w:val="clear" w:color="auto" w:fill="FFFFFF" w:themeFill="background2"/>
                <w:vAlign w:val="center"/>
              </w:tcPr>
              <w:p w14:paraId="07E1E72E" w14:textId="3464CFF6"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3.37%</w:t>
                </w:r>
              </w:p>
            </w:tc>
            <w:tc>
              <w:tcPr>
                <w:tcW w:w="302" w:type="pct"/>
                <w:shd w:val="clear" w:color="auto" w:fill="FFFFFF" w:themeFill="background2"/>
                <w:vAlign w:val="center"/>
              </w:tcPr>
              <w:p w14:paraId="006E9553" w14:textId="5B81C4DE"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1.93%</w:t>
                </w:r>
              </w:p>
            </w:tc>
            <w:tc>
              <w:tcPr>
                <w:tcW w:w="302" w:type="pct"/>
                <w:shd w:val="clear" w:color="auto" w:fill="FFFFFF" w:themeFill="background2"/>
                <w:vAlign w:val="center"/>
              </w:tcPr>
              <w:p w14:paraId="2D633AD0" w14:textId="38EAD48E"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2.18%</w:t>
                </w:r>
              </w:p>
            </w:tc>
            <w:tc>
              <w:tcPr>
                <w:tcW w:w="301" w:type="pct"/>
                <w:shd w:val="clear" w:color="auto" w:fill="FFFFFF" w:themeFill="background2"/>
                <w:vAlign w:val="center"/>
              </w:tcPr>
              <w:p w14:paraId="52D4171A" w14:textId="3E51262E" w:rsidR="0003279C" w:rsidRPr="00B80369" w:rsidRDefault="0003279C"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2.18%</w:t>
                </w:r>
              </w:p>
            </w:tc>
            <w:tc>
              <w:tcPr>
                <w:tcW w:w="301" w:type="pct"/>
                <w:shd w:val="clear" w:color="auto" w:fill="FFFFFF" w:themeFill="background2"/>
                <w:vAlign w:val="center"/>
              </w:tcPr>
              <w:p w14:paraId="2D87281C" w14:textId="10FBE6C0" w:rsidR="0003279C" w:rsidRPr="00B80369" w:rsidRDefault="0003279C"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0.92%</w:t>
                </w:r>
              </w:p>
            </w:tc>
            <w:tc>
              <w:tcPr>
                <w:tcW w:w="301" w:type="pct"/>
                <w:shd w:val="clear" w:color="auto" w:fill="FFFFFF" w:themeFill="background2"/>
                <w:vAlign w:val="center"/>
              </w:tcPr>
              <w:p w14:paraId="351A8C4B" w14:textId="0AF6DF22" w:rsidR="0003279C" w:rsidRPr="00B80369" w:rsidRDefault="0003279C"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0.53%</w:t>
                </w:r>
              </w:p>
            </w:tc>
            <w:tc>
              <w:tcPr>
                <w:tcW w:w="301" w:type="pct"/>
                <w:shd w:val="clear" w:color="auto" w:fill="FFFFFF" w:themeFill="background2"/>
                <w:vAlign w:val="center"/>
              </w:tcPr>
              <w:p w14:paraId="5684F615" w14:textId="7AB6CCDB"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B510B0" w:rsidRPr="00B80369">
                  <w:rPr>
                    <w:rFonts w:eastAsia="Times New Roman" w:cs="Segoe UI"/>
                    <w:sz w:val="14"/>
                    <w:szCs w:val="14"/>
                    <w:lang w:val="en-GB" w:eastAsia="it-IT"/>
                  </w:rPr>
                  <w:t>.</w:t>
                </w:r>
                <w:r w:rsidRPr="00B80369">
                  <w:rPr>
                    <w:rFonts w:eastAsia="Times New Roman" w:cs="Segoe UI"/>
                    <w:sz w:val="14"/>
                    <w:szCs w:val="14"/>
                    <w:lang w:val="en-GB" w:eastAsia="it-IT"/>
                  </w:rPr>
                  <w:t>73%</w:t>
                </w:r>
              </w:p>
            </w:tc>
            <w:tc>
              <w:tcPr>
                <w:tcW w:w="325" w:type="pct"/>
                <w:shd w:val="clear" w:color="auto" w:fill="FFFFFF" w:themeFill="background2"/>
                <w:vAlign w:val="center"/>
              </w:tcPr>
              <w:p w14:paraId="45E15F7E" w14:textId="19E1B938"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r>
          <w:tr w:rsidR="0003279C" w:rsidRPr="00B80369" w14:paraId="663BD987"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4BBDB324" w14:textId="77777777" w:rsidR="0003279C" w:rsidRPr="00B80369" w:rsidRDefault="0003279C"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B2.2</w:t>
                </w:r>
              </w:p>
            </w:tc>
            <w:tc>
              <w:tcPr>
                <w:tcW w:w="357" w:type="pct"/>
                <w:shd w:val="clear" w:color="auto" w:fill="FFFFFF" w:themeFill="background2"/>
                <w:tcMar>
                  <w:top w:w="60" w:type="dxa"/>
                  <w:left w:w="114" w:type="dxa"/>
                  <w:bottom w:w="60" w:type="dxa"/>
                  <w:right w:w="114" w:type="dxa"/>
                </w:tcMar>
                <w:vAlign w:val="center"/>
              </w:tcPr>
              <w:p w14:paraId="478E446B" w14:textId="536016A5"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7.33%</w:t>
                </w:r>
              </w:p>
            </w:tc>
            <w:tc>
              <w:tcPr>
                <w:tcW w:w="396" w:type="pct"/>
                <w:shd w:val="clear" w:color="auto" w:fill="FFFFFF" w:themeFill="background2"/>
                <w:tcMar>
                  <w:top w:w="60" w:type="dxa"/>
                  <w:left w:w="114" w:type="dxa"/>
                  <w:bottom w:w="60" w:type="dxa"/>
                  <w:right w:w="114" w:type="dxa"/>
                </w:tcMar>
                <w:vAlign w:val="center"/>
              </w:tcPr>
              <w:p w14:paraId="37E39CA1" w14:textId="5DD0C620"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6.31%</w:t>
                </w:r>
              </w:p>
            </w:tc>
            <w:tc>
              <w:tcPr>
                <w:tcW w:w="301" w:type="pct"/>
                <w:shd w:val="clear" w:color="auto" w:fill="FFFFFF" w:themeFill="background2"/>
                <w:vAlign w:val="center"/>
              </w:tcPr>
              <w:p w14:paraId="31FCAB93" w14:textId="1826FF7A"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8.36%</w:t>
                </w:r>
              </w:p>
            </w:tc>
            <w:tc>
              <w:tcPr>
                <w:tcW w:w="301" w:type="pct"/>
                <w:shd w:val="clear" w:color="auto" w:fill="FFFFFF" w:themeFill="background2"/>
                <w:vAlign w:val="center"/>
              </w:tcPr>
              <w:p w14:paraId="454EED22" w14:textId="12FF8DB8"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8.88%</w:t>
                </w:r>
              </w:p>
            </w:tc>
            <w:tc>
              <w:tcPr>
                <w:tcW w:w="301" w:type="pct"/>
                <w:shd w:val="clear" w:color="auto" w:fill="FFFFFF" w:themeFill="background2"/>
                <w:vAlign w:val="center"/>
              </w:tcPr>
              <w:p w14:paraId="7FEC1D2B" w14:textId="3FC2B196"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9.62%</w:t>
                </w:r>
              </w:p>
            </w:tc>
            <w:tc>
              <w:tcPr>
                <w:tcW w:w="301" w:type="pct"/>
                <w:shd w:val="clear" w:color="auto" w:fill="FFFFFF" w:themeFill="background2"/>
                <w:vAlign w:val="center"/>
              </w:tcPr>
              <w:p w14:paraId="20280970" w14:textId="0F4D5E70"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8.55%</w:t>
                </w:r>
              </w:p>
            </w:tc>
            <w:tc>
              <w:tcPr>
                <w:tcW w:w="301" w:type="pct"/>
                <w:shd w:val="clear" w:color="auto" w:fill="FFFFFF" w:themeFill="background2"/>
                <w:vAlign w:val="center"/>
              </w:tcPr>
              <w:p w14:paraId="3AFEC942" w14:textId="17730CA9"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6.18%</w:t>
                </w:r>
              </w:p>
            </w:tc>
            <w:tc>
              <w:tcPr>
                <w:tcW w:w="302" w:type="pct"/>
                <w:shd w:val="clear" w:color="auto" w:fill="FFFFFF" w:themeFill="background2"/>
                <w:vAlign w:val="center"/>
              </w:tcPr>
              <w:p w14:paraId="5B7BABF6" w14:textId="6A46945A"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5.51%</w:t>
                </w:r>
              </w:p>
            </w:tc>
            <w:tc>
              <w:tcPr>
                <w:tcW w:w="302" w:type="pct"/>
                <w:shd w:val="clear" w:color="auto" w:fill="FFFFFF" w:themeFill="background2"/>
                <w:vAlign w:val="center"/>
              </w:tcPr>
              <w:p w14:paraId="3280E50B" w14:textId="5B35059B"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4.02%</w:t>
                </w:r>
              </w:p>
            </w:tc>
            <w:tc>
              <w:tcPr>
                <w:tcW w:w="302" w:type="pct"/>
                <w:shd w:val="clear" w:color="auto" w:fill="FFFFFF" w:themeFill="background2"/>
                <w:vAlign w:val="center"/>
              </w:tcPr>
              <w:p w14:paraId="15DFA752" w14:textId="4E5AF5C5"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3.39%</w:t>
                </w:r>
              </w:p>
            </w:tc>
            <w:tc>
              <w:tcPr>
                <w:tcW w:w="301" w:type="pct"/>
                <w:shd w:val="clear" w:color="auto" w:fill="FFFFFF" w:themeFill="background2"/>
                <w:vAlign w:val="center"/>
              </w:tcPr>
              <w:p w14:paraId="4022C3D7" w14:textId="3B424351" w:rsidR="0003279C" w:rsidRPr="00B80369" w:rsidRDefault="0003279C"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3.85%</w:t>
                </w:r>
              </w:p>
            </w:tc>
            <w:tc>
              <w:tcPr>
                <w:tcW w:w="301" w:type="pct"/>
                <w:shd w:val="clear" w:color="auto" w:fill="FFFFFF" w:themeFill="background2"/>
                <w:vAlign w:val="center"/>
              </w:tcPr>
              <w:p w14:paraId="10BFDAC9" w14:textId="15A1641F" w:rsidR="0003279C" w:rsidRPr="00B80369" w:rsidRDefault="0003279C"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2.83%</w:t>
                </w:r>
              </w:p>
            </w:tc>
            <w:tc>
              <w:tcPr>
                <w:tcW w:w="301" w:type="pct"/>
                <w:shd w:val="clear" w:color="auto" w:fill="FFFFFF" w:themeFill="background2"/>
                <w:vAlign w:val="center"/>
              </w:tcPr>
              <w:p w14:paraId="2B391608" w14:textId="4610F24B" w:rsidR="0003279C" w:rsidRPr="00B80369" w:rsidRDefault="0003279C"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0.80%</w:t>
                </w:r>
              </w:p>
            </w:tc>
            <w:tc>
              <w:tcPr>
                <w:tcW w:w="301" w:type="pct"/>
                <w:shd w:val="clear" w:color="auto" w:fill="FFFFFF" w:themeFill="background2"/>
                <w:vAlign w:val="center"/>
              </w:tcPr>
              <w:p w14:paraId="480EEF8C" w14:textId="5B36214B"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w:t>
                </w:r>
                <w:r w:rsidR="00B510B0" w:rsidRPr="00B80369">
                  <w:rPr>
                    <w:rFonts w:eastAsia="Times New Roman" w:cs="Segoe UI"/>
                    <w:sz w:val="14"/>
                    <w:szCs w:val="14"/>
                    <w:lang w:val="en-GB" w:eastAsia="it-IT"/>
                  </w:rPr>
                  <w:t>.</w:t>
                </w:r>
                <w:r w:rsidRPr="00B80369">
                  <w:rPr>
                    <w:rFonts w:eastAsia="Times New Roman" w:cs="Segoe UI"/>
                    <w:sz w:val="14"/>
                    <w:szCs w:val="14"/>
                    <w:lang w:val="en-GB" w:eastAsia="it-IT"/>
                  </w:rPr>
                  <w:t>81%</w:t>
                </w:r>
              </w:p>
            </w:tc>
            <w:tc>
              <w:tcPr>
                <w:tcW w:w="325" w:type="pct"/>
                <w:shd w:val="clear" w:color="auto" w:fill="FFFFFF" w:themeFill="background2"/>
                <w:vAlign w:val="center"/>
              </w:tcPr>
              <w:p w14:paraId="0008A202" w14:textId="19FBF38B"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r>
          <w:tr w:rsidR="0003279C" w:rsidRPr="00B80369" w14:paraId="00D63D85"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2114EFBB" w14:textId="77777777" w:rsidR="0003279C" w:rsidRPr="00B80369" w:rsidRDefault="0003279C"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C1.1</w:t>
                </w:r>
              </w:p>
            </w:tc>
            <w:tc>
              <w:tcPr>
                <w:tcW w:w="357" w:type="pct"/>
                <w:shd w:val="clear" w:color="auto" w:fill="FFFFFF" w:themeFill="background2"/>
                <w:tcMar>
                  <w:top w:w="60" w:type="dxa"/>
                  <w:left w:w="114" w:type="dxa"/>
                  <w:bottom w:w="60" w:type="dxa"/>
                  <w:right w:w="114" w:type="dxa"/>
                </w:tcMar>
                <w:vAlign w:val="center"/>
              </w:tcPr>
              <w:p w14:paraId="3B3D9853" w14:textId="18C28B38"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14.14%</w:t>
                </w:r>
              </w:p>
            </w:tc>
            <w:tc>
              <w:tcPr>
                <w:tcW w:w="396" w:type="pct"/>
                <w:shd w:val="clear" w:color="auto" w:fill="FFFFFF" w:themeFill="background2"/>
                <w:tcMar>
                  <w:top w:w="60" w:type="dxa"/>
                  <w:left w:w="114" w:type="dxa"/>
                  <w:bottom w:w="60" w:type="dxa"/>
                  <w:right w:w="114" w:type="dxa"/>
                </w:tcMar>
                <w:vAlign w:val="center"/>
              </w:tcPr>
              <w:p w14:paraId="45097541" w14:textId="5DDC5713"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11.62%</w:t>
                </w:r>
              </w:p>
            </w:tc>
            <w:tc>
              <w:tcPr>
                <w:tcW w:w="301" w:type="pct"/>
                <w:shd w:val="clear" w:color="auto" w:fill="FFFFFF" w:themeFill="background2"/>
                <w:vAlign w:val="center"/>
              </w:tcPr>
              <w:p w14:paraId="16E414EF" w14:textId="0DB7AA5A"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13.46%</w:t>
                </w:r>
              </w:p>
            </w:tc>
            <w:tc>
              <w:tcPr>
                <w:tcW w:w="301" w:type="pct"/>
                <w:shd w:val="clear" w:color="auto" w:fill="FFFFFF" w:themeFill="background2"/>
                <w:vAlign w:val="center"/>
              </w:tcPr>
              <w:p w14:paraId="4703D1E4" w14:textId="0A0B980F"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15.26%</w:t>
                </w:r>
              </w:p>
            </w:tc>
            <w:tc>
              <w:tcPr>
                <w:tcW w:w="301" w:type="pct"/>
                <w:shd w:val="clear" w:color="auto" w:fill="FFFFFF" w:themeFill="background2"/>
                <w:vAlign w:val="center"/>
              </w:tcPr>
              <w:p w14:paraId="7897F316" w14:textId="7FCBAF90"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17.60%</w:t>
                </w:r>
              </w:p>
            </w:tc>
            <w:tc>
              <w:tcPr>
                <w:tcW w:w="301" w:type="pct"/>
                <w:shd w:val="clear" w:color="auto" w:fill="FFFFFF" w:themeFill="background2"/>
                <w:vAlign w:val="center"/>
              </w:tcPr>
              <w:p w14:paraId="78559C55" w14:textId="5F6354BC"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15.52%</w:t>
                </w:r>
              </w:p>
            </w:tc>
            <w:tc>
              <w:tcPr>
                <w:tcW w:w="301" w:type="pct"/>
                <w:shd w:val="clear" w:color="auto" w:fill="FFFFFF" w:themeFill="background2"/>
                <w:vAlign w:val="center"/>
              </w:tcPr>
              <w:p w14:paraId="075B6723" w14:textId="78AFB1EC"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11.29%</w:t>
                </w:r>
              </w:p>
            </w:tc>
            <w:tc>
              <w:tcPr>
                <w:tcW w:w="302" w:type="pct"/>
                <w:shd w:val="clear" w:color="auto" w:fill="FFFFFF" w:themeFill="background2"/>
                <w:vAlign w:val="center"/>
              </w:tcPr>
              <w:p w14:paraId="58905FBD" w14:textId="3054F4B8"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9.29%</w:t>
                </w:r>
              </w:p>
            </w:tc>
            <w:tc>
              <w:tcPr>
                <w:tcW w:w="302" w:type="pct"/>
                <w:shd w:val="clear" w:color="auto" w:fill="FFFFFF" w:themeFill="background2"/>
                <w:vAlign w:val="center"/>
              </w:tcPr>
              <w:p w14:paraId="35B5AE14" w14:textId="2D34D816"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6.85%</w:t>
                </w:r>
              </w:p>
            </w:tc>
            <w:tc>
              <w:tcPr>
                <w:tcW w:w="302" w:type="pct"/>
                <w:shd w:val="clear" w:color="auto" w:fill="FFFFFF" w:themeFill="background2"/>
                <w:vAlign w:val="center"/>
              </w:tcPr>
              <w:p w14:paraId="15E3F5A2" w14:textId="7F2A69CC"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6.79%</w:t>
                </w:r>
              </w:p>
            </w:tc>
            <w:tc>
              <w:tcPr>
                <w:tcW w:w="301" w:type="pct"/>
                <w:shd w:val="clear" w:color="auto" w:fill="FFFFFF" w:themeFill="background2"/>
                <w:vAlign w:val="center"/>
              </w:tcPr>
              <w:p w14:paraId="6552FC73" w14:textId="7102A2E1" w:rsidR="0003279C" w:rsidRPr="00B80369" w:rsidRDefault="0003279C"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5.14%</w:t>
                </w:r>
              </w:p>
            </w:tc>
            <w:tc>
              <w:tcPr>
                <w:tcW w:w="301" w:type="pct"/>
                <w:shd w:val="clear" w:color="auto" w:fill="FFFFFF" w:themeFill="background2"/>
                <w:vAlign w:val="center"/>
              </w:tcPr>
              <w:p w14:paraId="3BABB540" w14:textId="70F0EB0E" w:rsidR="0003279C" w:rsidRPr="00B80369" w:rsidRDefault="0003279C"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4.02%</w:t>
                </w:r>
              </w:p>
            </w:tc>
            <w:tc>
              <w:tcPr>
                <w:tcW w:w="301" w:type="pct"/>
                <w:shd w:val="clear" w:color="auto" w:fill="FFFFFF" w:themeFill="background2"/>
                <w:vAlign w:val="center"/>
              </w:tcPr>
              <w:p w14:paraId="45551A30" w14:textId="0DB2180B" w:rsidR="0003279C" w:rsidRPr="00B80369" w:rsidRDefault="0003279C"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2.02%</w:t>
                </w:r>
              </w:p>
            </w:tc>
            <w:tc>
              <w:tcPr>
                <w:tcW w:w="301" w:type="pct"/>
                <w:shd w:val="clear" w:color="auto" w:fill="FFFFFF" w:themeFill="background2"/>
                <w:vAlign w:val="center"/>
              </w:tcPr>
              <w:p w14:paraId="6CDA7748" w14:textId="18C037B9"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w:t>
                </w:r>
                <w:r w:rsidR="00B510B0" w:rsidRPr="00B80369">
                  <w:rPr>
                    <w:rFonts w:eastAsia="Times New Roman" w:cs="Segoe UI"/>
                    <w:sz w:val="14"/>
                    <w:szCs w:val="14"/>
                    <w:lang w:val="en-GB" w:eastAsia="it-IT"/>
                  </w:rPr>
                  <w:t>.</w:t>
                </w:r>
                <w:r w:rsidRPr="00B80369">
                  <w:rPr>
                    <w:rFonts w:eastAsia="Times New Roman" w:cs="Segoe UI"/>
                    <w:sz w:val="14"/>
                    <w:szCs w:val="14"/>
                    <w:lang w:val="en-GB" w:eastAsia="it-IT"/>
                  </w:rPr>
                  <w:t>71%</w:t>
                </w:r>
              </w:p>
            </w:tc>
            <w:tc>
              <w:tcPr>
                <w:tcW w:w="325" w:type="pct"/>
                <w:shd w:val="clear" w:color="auto" w:fill="FFFFFF" w:themeFill="background2"/>
                <w:vAlign w:val="center"/>
              </w:tcPr>
              <w:p w14:paraId="141EE8D0" w14:textId="7483AC6A"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r>
          <w:tr w:rsidR="0003279C" w:rsidRPr="00B80369" w14:paraId="5BAB6ED9"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3602D582" w14:textId="77777777" w:rsidR="0003279C" w:rsidRPr="00B80369" w:rsidRDefault="0003279C"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C1.2</w:t>
                </w:r>
              </w:p>
            </w:tc>
            <w:tc>
              <w:tcPr>
                <w:tcW w:w="357" w:type="pct"/>
                <w:shd w:val="clear" w:color="auto" w:fill="FFFFFF" w:themeFill="background2"/>
                <w:tcMar>
                  <w:top w:w="60" w:type="dxa"/>
                  <w:left w:w="114" w:type="dxa"/>
                  <w:bottom w:w="60" w:type="dxa"/>
                  <w:right w:w="114" w:type="dxa"/>
                </w:tcMar>
                <w:vAlign w:val="center"/>
              </w:tcPr>
              <w:p w14:paraId="25C5ACED" w14:textId="35FB366A"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28.43%</w:t>
                </w:r>
              </w:p>
            </w:tc>
            <w:tc>
              <w:tcPr>
                <w:tcW w:w="396" w:type="pct"/>
                <w:shd w:val="clear" w:color="auto" w:fill="FFFFFF" w:themeFill="background2"/>
                <w:tcMar>
                  <w:top w:w="60" w:type="dxa"/>
                  <w:left w:w="114" w:type="dxa"/>
                  <w:bottom w:w="60" w:type="dxa"/>
                  <w:right w:w="114" w:type="dxa"/>
                </w:tcMar>
                <w:vAlign w:val="center"/>
              </w:tcPr>
              <w:p w14:paraId="2B87D717" w14:textId="58B0DAFB"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25.50%</w:t>
                </w:r>
              </w:p>
            </w:tc>
            <w:tc>
              <w:tcPr>
                <w:tcW w:w="301" w:type="pct"/>
                <w:shd w:val="clear" w:color="auto" w:fill="FFFFFF" w:themeFill="background2"/>
                <w:vAlign w:val="center"/>
              </w:tcPr>
              <w:p w14:paraId="155362C7" w14:textId="560AAF19"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25.44%</w:t>
                </w:r>
              </w:p>
            </w:tc>
            <w:tc>
              <w:tcPr>
                <w:tcW w:w="301" w:type="pct"/>
                <w:shd w:val="clear" w:color="auto" w:fill="FFFFFF" w:themeFill="background2"/>
                <w:vAlign w:val="center"/>
              </w:tcPr>
              <w:p w14:paraId="3B012277" w14:textId="68669987"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28.34%</w:t>
                </w:r>
              </w:p>
            </w:tc>
            <w:tc>
              <w:tcPr>
                <w:tcW w:w="301" w:type="pct"/>
                <w:shd w:val="clear" w:color="auto" w:fill="FFFFFF" w:themeFill="background2"/>
                <w:vAlign w:val="center"/>
              </w:tcPr>
              <w:p w14:paraId="35941595" w14:textId="3EFB85C6"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31.30%</w:t>
                </w:r>
              </w:p>
            </w:tc>
            <w:tc>
              <w:tcPr>
                <w:tcW w:w="301" w:type="pct"/>
                <w:shd w:val="clear" w:color="auto" w:fill="FFFFFF" w:themeFill="background2"/>
                <w:vAlign w:val="center"/>
              </w:tcPr>
              <w:p w14:paraId="0D0CD39E" w14:textId="264F7489"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21.36%</w:t>
                </w:r>
              </w:p>
            </w:tc>
            <w:tc>
              <w:tcPr>
                <w:tcW w:w="301" w:type="pct"/>
                <w:shd w:val="clear" w:color="auto" w:fill="FFFFFF" w:themeFill="background2"/>
                <w:vAlign w:val="center"/>
              </w:tcPr>
              <w:p w14:paraId="401F09BF" w14:textId="33998461"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16.42%</w:t>
                </w:r>
              </w:p>
            </w:tc>
            <w:tc>
              <w:tcPr>
                <w:tcW w:w="302" w:type="pct"/>
                <w:shd w:val="clear" w:color="auto" w:fill="FFFFFF" w:themeFill="background2"/>
                <w:vAlign w:val="center"/>
              </w:tcPr>
              <w:p w14:paraId="01C5CAD1" w14:textId="59D13606"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18.48%</w:t>
                </w:r>
              </w:p>
            </w:tc>
            <w:tc>
              <w:tcPr>
                <w:tcW w:w="302" w:type="pct"/>
                <w:shd w:val="clear" w:color="auto" w:fill="FFFFFF" w:themeFill="background2"/>
                <w:vAlign w:val="center"/>
              </w:tcPr>
              <w:p w14:paraId="1C027305" w14:textId="3FCA1F2D"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10.12%</w:t>
                </w:r>
              </w:p>
            </w:tc>
            <w:tc>
              <w:tcPr>
                <w:tcW w:w="302" w:type="pct"/>
                <w:shd w:val="clear" w:color="auto" w:fill="FFFFFF" w:themeFill="background2"/>
                <w:vAlign w:val="center"/>
              </w:tcPr>
              <w:p w14:paraId="2503380C" w14:textId="4826DFD1"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11.25%</w:t>
                </w:r>
              </w:p>
            </w:tc>
            <w:tc>
              <w:tcPr>
                <w:tcW w:w="301" w:type="pct"/>
                <w:shd w:val="clear" w:color="auto" w:fill="FFFFFF" w:themeFill="background2"/>
                <w:vAlign w:val="center"/>
              </w:tcPr>
              <w:p w14:paraId="0789FBCE" w14:textId="44E7CE0B" w:rsidR="0003279C" w:rsidRPr="00B80369" w:rsidRDefault="0003279C"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13.52%</w:t>
                </w:r>
              </w:p>
            </w:tc>
            <w:tc>
              <w:tcPr>
                <w:tcW w:w="301" w:type="pct"/>
                <w:shd w:val="clear" w:color="auto" w:fill="FFFFFF" w:themeFill="background2"/>
                <w:vAlign w:val="center"/>
              </w:tcPr>
              <w:p w14:paraId="538DC056" w14:textId="07786C5D" w:rsidR="0003279C" w:rsidRPr="00B80369" w:rsidRDefault="0003279C"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5.67%</w:t>
                </w:r>
              </w:p>
            </w:tc>
            <w:tc>
              <w:tcPr>
                <w:tcW w:w="301" w:type="pct"/>
                <w:shd w:val="clear" w:color="auto" w:fill="FFFFFF" w:themeFill="background2"/>
                <w:vAlign w:val="center"/>
              </w:tcPr>
              <w:p w14:paraId="00188D6B" w14:textId="414A5E7F" w:rsidR="0003279C" w:rsidRPr="00B80369" w:rsidRDefault="0003279C"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3.57%</w:t>
                </w:r>
              </w:p>
            </w:tc>
            <w:tc>
              <w:tcPr>
                <w:tcW w:w="301" w:type="pct"/>
                <w:shd w:val="clear" w:color="auto" w:fill="FFFFFF" w:themeFill="background2"/>
                <w:vAlign w:val="center"/>
              </w:tcPr>
              <w:p w14:paraId="48F6041C" w14:textId="58190B80"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w:t>
                </w:r>
                <w:r w:rsidR="00B510B0" w:rsidRPr="00B80369">
                  <w:rPr>
                    <w:rFonts w:eastAsia="Times New Roman" w:cs="Segoe UI"/>
                    <w:sz w:val="14"/>
                    <w:szCs w:val="14"/>
                    <w:lang w:val="en-GB" w:eastAsia="it-IT"/>
                  </w:rPr>
                  <w:t>.</w:t>
                </w:r>
                <w:r w:rsidRPr="00B80369">
                  <w:rPr>
                    <w:rFonts w:eastAsia="Times New Roman" w:cs="Segoe UI"/>
                    <w:sz w:val="14"/>
                    <w:szCs w:val="14"/>
                    <w:lang w:val="en-GB" w:eastAsia="it-IT"/>
                  </w:rPr>
                  <w:t>40%</w:t>
                </w:r>
              </w:p>
            </w:tc>
            <w:tc>
              <w:tcPr>
                <w:tcW w:w="325" w:type="pct"/>
                <w:shd w:val="clear" w:color="auto" w:fill="FFFFFF" w:themeFill="background2"/>
                <w:vAlign w:val="center"/>
              </w:tcPr>
              <w:p w14:paraId="21086F88" w14:textId="48C469CA"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r>
          <w:tr w:rsidR="0003279C" w:rsidRPr="00B80369" w14:paraId="5A33DF31"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5AC86EBF" w14:textId="77777777" w:rsidR="0003279C" w:rsidRPr="00B80369" w:rsidRDefault="0003279C"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C2.1</w:t>
                </w:r>
              </w:p>
            </w:tc>
            <w:tc>
              <w:tcPr>
                <w:tcW w:w="357" w:type="pct"/>
                <w:shd w:val="clear" w:color="auto" w:fill="FFFFFF" w:themeFill="background2"/>
                <w:tcMar>
                  <w:top w:w="60" w:type="dxa"/>
                  <w:left w:w="114" w:type="dxa"/>
                  <w:bottom w:w="60" w:type="dxa"/>
                  <w:right w:w="114" w:type="dxa"/>
                </w:tcMar>
                <w:vAlign w:val="center"/>
              </w:tcPr>
              <w:p w14:paraId="564D6F26" w14:textId="7B6D30B7"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68.16%</w:t>
                </w:r>
              </w:p>
            </w:tc>
            <w:tc>
              <w:tcPr>
                <w:tcW w:w="396" w:type="pct"/>
                <w:shd w:val="clear" w:color="auto" w:fill="FFFFFF" w:themeFill="background2"/>
                <w:tcMar>
                  <w:top w:w="60" w:type="dxa"/>
                  <w:left w:w="114" w:type="dxa"/>
                  <w:bottom w:w="60" w:type="dxa"/>
                  <w:right w:w="114" w:type="dxa"/>
                </w:tcMar>
                <w:vAlign w:val="center"/>
              </w:tcPr>
              <w:p w14:paraId="73ADF5DE" w14:textId="4F8FE5BB"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61.77%</w:t>
                </w:r>
              </w:p>
            </w:tc>
            <w:tc>
              <w:tcPr>
                <w:tcW w:w="301" w:type="pct"/>
                <w:shd w:val="clear" w:color="auto" w:fill="FFFFFF" w:themeFill="background2"/>
                <w:vAlign w:val="center"/>
              </w:tcPr>
              <w:p w14:paraId="73BE4985" w14:textId="1C62487D"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55.64%</w:t>
                </w:r>
              </w:p>
            </w:tc>
            <w:tc>
              <w:tcPr>
                <w:tcW w:w="301" w:type="pct"/>
                <w:shd w:val="clear" w:color="auto" w:fill="FFFFFF" w:themeFill="background2"/>
                <w:vAlign w:val="center"/>
              </w:tcPr>
              <w:p w14:paraId="66176787" w14:textId="312929AA"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54.39%</w:t>
                </w:r>
              </w:p>
            </w:tc>
            <w:tc>
              <w:tcPr>
                <w:tcW w:w="301" w:type="pct"/>
                <w:shd w:val="clear" w:color="auto" w:fill="FFFFFF" w:themeFill="background2"/>
                <w:vAlign w:val="center"/>
              </w:tcPr>
              <w:p w14:paraId="2AEB9BC2" w14:textId="37DEF1F6"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69.93%</w:t>
                </w:r>
              </w:p>
            </w:tc>
            <w:tc>
              <w:tcPr>
                <w:tcW w:w="301" w:type="pct"/>
                <w:shd w:val="clear" w:color="auto" w:fill="FFFFFF" w:themeFill="background2"/>
                <w:vAlign w:val="center"/>
              </w:tcPr>
              <w:p w14:paraId="2BC322AA" w14:textId="1FDB02C3"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66.57%</w:t>
                </w:r>
              </w:p>
            </w:tc>
            <w:tc>
              <w:tcPr>
                <w:tcW w:w="301" w:type="pct"/>
                <w:shd w:val="clear" w:color="auto" w:fill="FFFFFF" w:themeFill="background2"/>
                <w:vAlign w:val="center"/>
              </w:tcPr>
              <w:p w14:paraId="7815AEA5" w14:textId="640F3FFE"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51.80%</w:t>
                </w:r>
              </w:p>
            </w:tc>
            <w:tc>
              <w:tcPr>
                <w:tcW w:w="302" w:type="pct"/>
                <w:shd w:val="clear" w:color="auto" w:fill="FFFFFF" w:themeFill="background2"/>
                <w:vAlign w:val="center"/>
              </w:tcPr>
              <w:p w14:paraId="72D9D671" w14:textId="6023480C"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54.59%</w:t>
                </w:r>
              </w:p>
            </w:tc>
            <w:tc>
              <w:tcPr>
                <w:tcW w:w="302" w:type="pct"/>
                <w:shd w:val="clear" w:color="auto" w:fill="FFFFFF" w:themeFill="background2"/>
                <w:vAlign w:val="center"/>
              </w:tcPr>
              <w:p w14:paraId="2A049979" w14:textId="5E5EAFBF"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43.10%</w:t>
                </w:r>
              </w:p>
            </w:tc>
            <w:tc>
              <w:tcPr>
                <w:tcW w:w="302" w:type="pct"/>
                <w:shd w:val="clear" w:color="auto" w:fill="FFFFFF" w:themeFill="background2"/>
                <w:vAlign w:val="center"/>
              </w:tcPr>
              <w:p w14:paraId="0D808A81" w14:textId="33B20735"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43.11%</w:t>
                </w:r>
              </w:p>
            </w:tc>
            <w:tc>
              <w:tcPr>
                <w:tcW w:w="301" w:type="pct"/>
                <w:shd w:val="clear" w:color="auto" w:fill="FFFFFF" w:themeFill="background2"/>
                <w:vAlign w:val="center"/>
              </w:tcPr>
              <w:p w14:paraId="174E3EA6" w14:textId="4376CDA3" w:rsidR="0003279C" w:rsidRPr="00B80369" w:rsidRDefault="0003279C"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45.14%</w:t>
                </w:r>
              </w:p>
            </w:tc>
            <w:tc>
              <w:tcPr>
                <w:tcW w:w="301" w:type="pct"/>
                <w:shd w:val="clear" w:color="auto" w:fill="FFFFFF" w:themeFill="background2"/>
                <w:vAlign w:val="center"/>
              </w:tcPr>
              <w:p w14:paraId="2FC61A3B" w14:textId="20566FAD" w:rsidR="0003279C" w:rsidRPr="00B80369" w:rsidRDefault="0003279C"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44.21%</w:t>
                </w:r>
              </w:p>
            </w:tc>
            <w:tc>
              <w:tcPr>
                <w:tcW w:w="301" w:type="pct"/>
                <w:shd w:val="clear" w:color="auto" w:fill="FFFFFF" w:themeFill="background2"/>
                <w:vAlign w:val="center"/>
              </w:tcPr>
              <w:p w14:paraId="5DE91E8D" w14:textId="3919042B" w:rsidR="0003279C" w:rsidRPr="00B80369" w:rsidRDefault="0003279C"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37.50%</w:t>
                </w:r>
              </w:p>
            </w:tc>
            <w:tc>
              <w:tcPr>
                <w:tcW w:w="301" w:type="pct"/>
                <w:shd w:val="clear" w:color="auto" w:fill="FFFFFF" w:themeFill="background2"/>
                <w:vAlign w:val="center"/>
              </w:tcPr>
              <w:p w14:paraId="5345EE40" w14:textId="03A0EE7D"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18</w:t>
                </w:r>
                <w:r w:rsidR="00B510B0" w:rsidRPr="00B80369">
                  <w:rPr>
                    <w:rFonts w:eastAsia="Times New Roman" w:cs="Segoe UI"/>
                    <w:sz w:val="14"/>
                    <w:szCs w:val="14"/>
                    <w:lang w:val="en-GB" w:eastAsia="it-IT"/>
                  </w:rPr>
                  <w:t>.</w:t>
                </w:r>
                <w:r w:rsidRPr="00B80369">
                  <w:rPr>
                    <w:rFonts w:eastAsia="Times New Roman" w:cs="Segoe UI"/>
                    <w:sz w:val="14"/>
                    <w:szCs w:val="14"/>
                    <w:lang w:val="en-GB" w:eastAsia="it-IT"/>
                  </w:rPr>
                  <w:t>56%</w:t>
                </w:r>
              </w:p>
            </w:tc>
            <w:tc>
              <w:tcPr>
                <w:tcW w:w="325" w:type="pct"/>
                <w:shd w:val="clear" w:color="auto" w:fill="FFFFFF" w:themeFill="background2"/>
                <w:vAlign w:val="center"/>
              </w:tcPr>
              <w:p w14:paraId="3CD1DDB9" w14:textId="5760BBB3" w:rsidR="0003279C" w:rsidRPr="00B80369" w:rsidRDefault="0003279C"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r>
          <w:tr w:rsidR="00EA4B0F" w:rsidRPr="00B80369" w14:paraId="4F2A4F24" w14:textId="77777777" w:rsidTr="00B47881">
            <w:trPr>
              <w:trHeight w:val="227"/>
            </w:trPr>
            <w:tc>
              <w:tcPr>
                <w:tcW w:w="307" w:type="pct"/>
                <w:shd w:val="clear" w:color="auto" w:fill="FFFFFF" w:themeFill="background2"/>
                <w:tcMar>
                  <w:top w:w="60" w:type="dxa"/>
                  <w:left w:w="114" w:type="dxa"/>
                  <w:bottom w:w="60" w:type="dxa"/>
                  <w:right w:w="114" w:type="dxa"/>
                </w:tcMar>
                <w:vAlign w:val="center"/>
              </w:tcPr>
              <w:p w14:paraId="1306449A" w14:textId="77777777" w:rsidR="00EA4B0F" w:rsidRPr="00B80369" w:rsidRDefault="00EA4B0F" w:rsidP="00B80369">
                <w:pPr>
                  <w:spacing w:before="0" w:line="240" w:lineRule="auto"/>
                  <w:jc w:val="center"/>
                  <w:rPr>
                    <w:rFonts w:cs="Segoe UI"/>
                    <w:b/>
                    <w:bCs/>
                    <w:sz w:val="14"/>
                    <w:szCs w:val="14"/>
                    <w:lang w:eastAsia="it-IT"/>
                  </w:rPr>
                </w:pPr>
                <w:r w:rsidRPr="00B80369">
                  <w:rPr>
                    <w:rFonts w:cs="Segoe UI"/>
                    <w:b/>
                    <w:bCs/>
                    <w:sz w:val="14"/>
                    <w:szCs w:val="14"/>
                    <w:lang w:eastAsia="it-IT"/>
                  </w:rPr>
                  <w:t>TOTAL</w:t>
                </w:r>
              </w:p>
            </w:tc>
            <w:tc>
              <w:tcPr>
                <w:tcW w:w="357" w:type="pct"/>
                <w:shd w:val="clear" w:color="auto" w:fill="FFFFFF" w:themeFill="background2"/>
                <w:tcMar>
                  <w:top w:w="60" w:type="dxa"/>
                  <w:left w:w="114" w:type="dxa"/>
                  <w:bottom w:w="60" w:type="dxa"/>
                  <w:right w:w="114" w:type="dxa"/>
                </w:tcMar>
                <w:vAlign w:val="center"/>
              </w:tcPr>
              <w:p w14:paraId="72828DB3" w14:textId="178D1B86" w:rsidR="00EA4B0F" w:rsidRPr="00B80369" w:rsidRDefault="00EA4B0F"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8.14%</w:t>
                </w:r>
              </w:p>
            </w:tc>
            <w:tc>
              <w:tcPr>
                <w:tcW w:w="396" w:type="pct"/>
                <w:shd w:val="clear" w:color="auto" w:fill="FFFFFF" w:themeFill="background2"/>
                <w:tcMar>
                  <w:top w:w="60" w:type="dxa"/>
                  <w:left w:w="114" w:type="dxa"/>
                  <w:bottom w:w="60" w:type="dxa"/>
                  <w:right w:w="114" w:type="dxa"/>
                </w:tcMar>
                <w:vAlign w:val="center"/>
              </w:tcPr>
              <w:p w14:paraId="1583105B" w14:textId="2547957A" w:rsidR="00EA4B0F" w:rsidRPr="00B80369" w:rsidRDefault="00EA4B0F"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6.87%</w:t>
                </w:r>
              </w:p>
            </w:tc>
            <w:tc>
              <w:tcPr>
                <w:tcW w:w="301" w:type="pct"/>
                <w:shd w:val="clear" w:color="auto" w:fill="FFFFFF" w:themeFill="background2"/>
                <w:vAlign w:val="center"/>
              </w:tcPr>
              <w:p w14:paraId="60171E24" w14:textId="5D4D1172" w:rsidR="00EA4B0F" w:rsidRPr="00B80369" w:rsidRDefault="00EA4B0F"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6.88%</w:t>
                </w:r>
              </w:p>
            </w:tc>
            <w:tc>
              <w:tcPr>
                <w:tcW w:w="301" w:type="pct"/>
                <w:shd w:val="clear" w:color="auto" w:fill="FFFFFF" w:themeFill="background2"/>
                <w:vAlign w:val="center"/>
              </w:tcPr>
              <w:p w14:paraId="71EC35EC" w14:textId="3DB62D52" w:rsidR="00EA4B0F" w:rsidRPr="00B80369" w:rsidRDefault="00EA4B0F"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6.28%</w:t>
                </w:r>
              </w:p>
            </w:tc>
            <w:tc>
              <w:tcPr>
                <w:tcW w:w="301" w:type="pct"/>
                <w:shd w:val="clear" w:color="auto" w:fill="FFFFFF" w:themeFill="background2"/>
                <w:vAlign w:val="center"/>
              </w:tcPr>
              <w:p w14:paraId="0DDD9FB0" w14:textId="313A2683" w:rsidR="00EA4B0F" w:rsidRPr="00B80369" w:rsidRDefault="00EA4B0F"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6.53%</w:t>
                </w:r>
              </w:p>
            </w:tc>
            <w:tc>
              <w:tcPr>
                <w:tcW w:w="301" w:type="pct"/>
                <w:shd w:val="clear" w:color="auto" w:fill="FFFFFF" w:themeFill="background2"/>
                <w:vAlign w:val="center"/>
              </w:tcPr>
              <w:p w14:paraId="0A43EDA5" w14:textId="3407B37C" w:rsidR="00EA4B0F" w:rsidRPr="00B80369" w:rsidRDefault="00EA4B0F"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5.95%</w:t>
                </w:r>
              </w:p>
            </w:tc>
            <w:tc>
              <w:tcPr>
                <w:tcW w:w="301" w:type="pct"/>
                <w:shd w:val="clear" w:color="auto" w:fill="FFFFFF" w:themeFill="background2"/>
                <w:vAlign w:val="center"/>
              </w:tcPr>
              <w:p w14:paraId="6B008A16" w14:textId="31F3073F" w:rsidR="00EA4B0F" w:rsidRPr="00B80369" w:rsidRDefault="00EA4B0F"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5.12%</w:t>
                </w:r>
              </w:p>
            </w:tc>
            <w:tc>
              <w:tcPr>
                <w:tcW w:w="302" w:type="pct"/>
                <w:shd w:val="clear" w:color="auto" w:fill="FFFFFF" w:themeFill="background2"/>
                <w:vAlign w:val="center"/>
              </w:tcPr>
              <w:p w14:paraId="0EBE6236" w14:textId="1DEE559B" w:rsidR="00EA4B0F" w:rsidRPr="00B80369" w:rsidRDefault="00EA4B0F"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4.10%</w:t>
                </w:r>
              </w:p>
            </w:tc>
            <w:tc>
              <w:tcPr>
                <w:tcW w:w="302" w:type="pct"/>
                <w:shd w:val="clear" w:color="auto" w:fill="FFFFFF" w:themeFill="background2"/>
                <w:vAlign w:val="center"/>
              </w:tcPr>
              <w:p w14:paraId="38CA5A9B" w14:textId="30C592F6" w:rsidR="00EA4B0F" w:rsidRPr="00B80369" w:rsidRDefault="00EA4B0F"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2.82%</w:t>
                </w:r>
              </w:p>
            </w:tc>
            <w:tc>
              <w:tcPr>
                <w:tcW w:w="302" w:type="pct"/>
                <w:shd w:val="clear" w:color="auto" w:fill="FFFFFF" w:themeFill="background2"/>
                <w:vAlign w:val="center"/>
              </w:tcPr>
              <w:p w14:paraId="4602AD7F" w14:textId="73549EA1" w:rsidR="00EA4B0F" w:rsidRPr="00B80369" w:rsidRDefault="00EA4B0F"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2.63%</w:t>
                </w:r>
              </w:p>
            </w:tc>
            <w:tc>
              <w:tcPr>
                <w:tcW w:w="301" w:type="pct"/>
                <w:shd w:val="clear" w:color="auto" w:fill="FFFFFF" w:themeFill="background2"/>
                <w:vAlign w:val="center"/>
              </w:tcPr>
              <w:p w14:paraId="6FC6BC06" w14:textId="61FB8BBC" w:rsidR="00EA4B0F" w:rsidRPr="00B80369" w:rsidRDefault="00EA4B0F"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2.33%</w:t>
                </w:r>
              </w:p>
            </w:tc>
            <w:tc>
              <w:tcPr>
                <w:tcW w:w="301" w:type="pct"/>
                <w:shd w:val="clear" w:color="auto" w:fill="FFFFFF" w:themeFill="background2"/>
                <w:vAlign w:val="center"/>
              </w:tcPr>
              <w:p w14:paraId="362818AF" w14:textId="6E23C606" w:rsidR="00EA4B0F" w:rsidRPr="00B80369" w:rsidRDefault="00EA4B0F"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1.40%</w:t>
                </w:r>
              </w:p>
            </w:tc>
            <w:tc>
              <w:tcPr>
                <w:tcW w:w="301" w:type="pct"/>
                <w:shd w:val="clear" w:color="auto" w:fill="FFFFFF" w:themeFill="background2"/>
                <w:vAlign w:val="center"/>
              </w:tcPr>
              <w:p w14:paraId="3B47B7A2" w14:textId="1ABBFA5B" w:rsidR="00EA4B0F" w:rsidRPr="00B80369" w:rsidRDefault="00EA4B0F"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0.92%</w:t>
                </w:r>
              </w:p>
            </w:tc>
            <w:tc>
              <w:tcPr>
                <w:tcW w:w="301" w:type="pct"/>
                <w:shd w:val="clear" w:color="auto" w:fill="FFFFFF" w:themeFill="background2"/>
                <w:vAlign w:val="center"/>
              </w:tcPr>
              <w:p w14:paraId="495C9552" w14:textId="54FC7AB3" w:rsidR="00EA4B0F" w:rsidRPr="00B80369" w:rsidRDefault="00A540BB"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1</w:t>
                </w:r>
                <w:r w:rsidR="00B510B0" w:rsidRPr="00B80369">
                  <w:rPr>
                    <w:rFonts w:eastAsia="Times New Roman" w:cs="Segoe UI"/>
                    <w:b/>
                    <w:bCs/>
                    <w:sz w:val="14"/>
                    <w:szCs w:val="14"/>
                    <w:lang w:val="en-GB" w:eastAsia="it-IT"/>
                  </w:rPr>
                  <w:t>.09%</w:t>
                </w:r>
              </w:p>
            </w:tc>
            <w:tc>
              <w:tcPr>
                <w:tcW w:w="325" w:type="pct"/>
                <w:shd w:val="clear" w:color="auto" w:fill="FFFFFF" w:themeFill="background2"/>
                <w:vAlign w:val="center"/>
              </w:tcPr>
              <w:p w14:paraId="7FD951F6" w14:textId="6AC3D645" w:rsidR="00EA4B0F" w:rsidRPr="00B80369" w:rsidRDefault="00EA4B0F"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r>
        </w:tbl>
        <w:p w14:paraId="3EE07708" w14:textId="77777777" w:rsidR="00C013B2" w:rsidRPr="00C013B2" w:rsidRDefault="00C013B2" w:rsidP="00C013B2">
          <w:pPr>
            <w:rPr>
              <w:lang w:val="en-GB"/>
            </w:rPr>
          </w:pPr>
        </w:p>
        <w:p w14:paraId="2B42C6C4" w14:textId="32F89556" w:rsidR="000B4CD1" w:rsidRPr="00A56FBA" w:rsidRDefault="004101BF" w:rsidP="00A56FBA">
          <w:pPr>
            <w:pStyle w:val="Didascalia"/>
            <w:rPr>
              <w:rFonts w:ascii="Segoe UI" w:hAnsi="Segoe UI" w:cs="Segoe UI"/>
              <w:i/>
              <w:sz w:val="14"/>
              <w:lang w:val="en-GB"/>
            </w:rPr>
          </w:pPr>
          <w:bookmarkStart w:id="161" w:name="_Toc130806347"/>
          <w:bookmarkStart w:id="162" w:name="_Toc166675688"/>
          <w:bookmarkStart w:id="163" w:name="_Toc167131815"/>
          <w:r w:rsidRPr="0032337D">
            <w:rPr>
              <w:rFonts w:ascii="Segoe UI" w:hAnsi="Segoe UI" w:cs="Segoe UI"/>
              <w:i/>
              <w:sz w:val="14"/>
              <w:lang w:val="en-GB"/>
            </w:rPr>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47</w:t>
          </w:r>
          <w:r>
            <w:rPr>
              <w:rFonts w:ascii="Segoe UI" w:hAnsi="Segoe UI" w:cs="Segoe UI"/>
              <w:i/>
              <w:sz w:val="14"/>
              <w:lang w:val="en-GB"/>
            </w:rPr>
            <w:fldChar w:fldCharType="end"/>
          </w:r>
          <w:r w:rsidRPr="0032337D">
            <w:rPr>
              <w:rFonts w:ascii="Segoe UI" w:hAnsi="Segoe UI" w:cs="Segoe UI"/>
              <w:i/>
              <w:sz w:val="14"/>
              <w:lang w:val="en-GB"/>
            </w:rPr>
            <w:t>: 3-Y default rates</w:t>
          </w:r>
          <w:bookmarkEnd w:id="161"/>
          <w:bookmarkEnd w:id="162"/>
          <w:bookmarkEnd w:id="163"/>
        </w:p>
        <w:tbl>
          <w:tblPr>
            <w:tblW w:w="5000" w:type="pct"/>
            <w:tblBorders>
              <w:top w:val="single" w:sz="4" w:space="0" w:color="AFAFB4" w:themeColor="accent4"/>
              <w:bottom w:val="single" w:sz="4" w:space="0" w:color="AFAFB4" w:themeColor="accent4"/>
              <w:insideH w:val="single" w:sz="4" w:space="0" w:color="AFAFB4" w:themeColor="accent4"/>
            </w:tblBorders>
            <w:shd w:val="clear" w:color="auto" w:fill="FFFFFF" w:themeFill="background2"/>
            <w:tblCellMar>
              <w:left w:w="0" w:type="dxa"/>
              <w:right w:w="0" w:type="dxa"/>
            </w:tblCellMar>
            <w:tblLook w:val="0620" w:firstRow="1" w:lastRow="0" w:firstColumn="0" w:lastColumn="0" w:noHBand="1" w:noVBand="1"/>
            <w:tblDescription w:val="{&quot;Ott&quot;:{&quot;FirstRow&quot;:{&quot;BackgroundColor&quot;:{&quot;Key&quot;:&quot;Light2&quot;},&quot;Font&quot;:{&quot;Name&quot;:&quot;Source Sans Pro&quot;,&quot;Size&quot;:14.0,&quot;Bold&quot;:false,&quot;Italic&quot;:false,&quot;Color&quot;:{&quot;Key&quot;:&quot;Dark2&quot;}},&quot;ExcelCellFormatting&quot;:&quot;General&quot;,&quot;Alignment&quot;:{&quot;Horizontal&quot;:&quot;Left&quot;,&quot;Vertical&quot;:&quot;Bottom&quot;},&quot;Borders&quot;:{&quot;Vertical&quot;:{&quot;Visible&quot;:false},&quot;Left&quot;:{&quot;Visible&quot;:false},&quot;Top&quot;:{&quot;Visible&quot;:false},&quot;Right&quot;:{&quot;Visible&quot;:false},&quot;Bottom&quot;:{&quot;Color&quot;:{&quot;Key&quot;:&quot;Accent4&quot;},&quot;BorderWeight&quot;:&quot;Pt1_5&quot;,&quot;Type&quot;:&quot;Solid&quot;,&quot;Visible&quot;:true}}},&quot;FitRowHeightPp&quot;:true,&quot;ZeroMarginsWord&quot;:true,&quot;BackgroundColor&quot;:{&quot;Key&quot;:&quot;Light2&quot;},&quot;Font&quot;:{&quot;Name&quot;:&quot;Source Sans Pro&quot;,&quot;Size&quot;:11.0,&quot;Bold&quot;:false,&quot;Italic&quot;:false,&quot;Color&quot;:{&quot;Key&quot;:&quot;Dark2&quot;}},&quot;LineSpacing&quot;:{&quot;Rule&quot;:&quot;Single&quot;},&quot;Alignment&quot;:{&quot;Horizontal&quot;:&quot;Left&quot;,&quot;Vertical&quot;:&quot;Top&quot;},&quot;Margin&quot;:{&quot;Left&quot;:5.7,&quot;Top&quot;:3.0,&quot;Right&quot;:5.7,&quot;Bottom&quot;:3.0},&quot;Borders&quot;:{&quot;Vertical&quot;:{&quot;Visible&quot;:false},&quot;Horizontal&quot;:{&quot;Color&quot;:{&quot;Key&quot;:&quot;Accent4&quot;},&quot;BorderWeight&quot;:&quot;Pt0_5&quot;,&quot;Type&quot;:&quot;Solid&quot;,&quot;Visible&quot;:true}},&quot;ParagraphSpacing&quot;:{&quot;SpaceBefore&quot;:2.0,&quot;SpaceAfter&quot;:2.0},&quot;ExcelWrapText&quot;:true},&quot;Ccs&quot;:{&quot;DarkBlue&quot;:&quot;0, 20, 55&quot;,&quot;Turquoise&quot;:&quot;0, 164, 230&quot;,&quot;Red&quot;:&quot;214, 70, 65&quot;,&quot;LightGrey&quot;:&quot;174, 174, 180&quot;,&quot;BlueGrey&quot;:&quot;77, 91, 115&quot;,&quot;IceBlue&quot;:&quot;178, 184, 195&quot;,&quot;Grey&quot;:&quot;145, 147, 153&quot;,&quot;Background&quot;:&quot;0, 0, 0, 0&quot;,&quot;White&quot;:&quot;White&quot;,&quot;Accent1&quot;:&quot;1, 1, 1, 1&quot;,&quot;Accent2&quot;:&quot;1, 1, 1, 2&quot;,&quot;Accent3&quot;:&quot;1, 1, 1, 3&quot;,&quot;Accent4&quot;:&quot;1, 1, 1, 4&quot;,&quot;Accent5&quot;:&quot;1, 1, 1, 5&quot;,&quot;Accent6&quot;:&quot;1, 1, 1, 6&quot;,&quot;Dark1&quot;:&quot;1, 1, 1, 7&quot;,&quot;Dark2&quot;:&quot;1, 1, 1, 9&quot;,&quot;Light1&quot;:&quot;1, 1, 1, 8&quot;,&quot;Light2&quot;:&quot;1, 1, 1, 10&quot;},&quot;Cop&quot;:{&quot;FirstRow&quot;:true,&quot;LastRow&quot;:false,&quot;FirstColumn&quot;:false,&quot;LastColumn&quot;:false,&quot;BandedRows&quot;:false,&quot;BandedColumns&quot;:false},&quot;Aaf&quot;:false}"/>
          </w:tblPr>
          <w:tblGrid>
            <w:gridCol w:w="635"/>
            <w:gridCol w:w="738"/>
            <w:gridCol w:w="820"/>
            <w:gridCol w:w="623"/>
            <w:gridCol w:w="623"/>
            <w:gridCol w:w="623"/>
            <w:gridCol w:w="623"/>
            <w:gridCol w:w="623"/>
            <w:gridCol w:w="625"/>
            <w:gridCol w:w="625"/>
            <w:gridCol w:w="625"/>
            <w:gridCol w:w="623"/>
            <w:gridCol w:w="623"/>
            <w:gridCol w:w="623"/>
            <w:gridCol w:w="623"/>
            <w:gridCol w:w="673"/>
          </w:tblGrid>
          <w:tr w:rsidR="000B4CD1" w:rsidRPr="00B80369" w14:paraId="0805C187" w14:textId="77777777" w:rsidTr="00B47881">
            <w:trPr>
              <w:trHeight w:val="227"/>
              <w:tblHeader/>
            </w:trPr>
            <w:tc>
              <w:tcPr>
                <w:tcW w:w="307" w:type="pct"/>
                <w:vMerge w:val="restar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00349772" w14:textId="77777777" w:rsidR="000B4CD1" w:rsidRPr="00B80369" w:rsidRDefault="000B4CD1" w:rsidP="00B80369">
                <w:pPr>
                  <w:spacing w:before="0" w:line="240" w:lineRule="auto"/>
                  <w:jc w:val="center"/>
                  <w:rPr>
                    <w:b/>
                    <w:color w:val="33A1AB" w:themeColor="accent2"/>
                    <w:sz w:val="14"/>
                    <w:szCs w:val="14"/>
                  </w:rPr>
                </w:pPr>
                <w:r w:rsidRPr="00B80369">
                  <w:rPr>
                    <w:b/>
                    <w:color w:val="33A1AB" w:themeColor="accent2"/>
                    <w:sz w:val="14"/>
                    <w:szCs w:val="14"/>
                  </w:rPr>
                  <w:t>Rating</w:t>
                </w:r>
              </w:p>
            </w:tc>
            <w:tc>
              <w:tcPr>
                <w:tcW w:w="4693" w:type="pct"/>
                <w:gridSpan w:val="15"/>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7CA2AE4D" w14:textId="680A405F" w:rsidR="000B4CD1" w:rsidRPr="00B80369" w:rsidRDefault="00A56FBA" w:rsidP="00B80369">
                <w:pPr>
                  <w:spacing w:before="0" w:line="240" w:lineRule="auto"/>
                  <w:jc w:val="center"/>
                  <w:rPr>
                    <w:b/>
                    <w:color w:val="33A1AB" w:themeColor="accent2"/>
                    <w:sz w:val="14"/>
                    <w:szCs w:val="14"/>
                  </w:rPr>
                </w:pPr>
                <w:r w:rsidRPr="00B80369">
                  <w:rPr>
                    <w:b/>
                    <w:color w:val="33A1AB" w:themeColor="accent2"/>
                    <w:sz w:val="14"/>
                    <w:szCs w:val="14"/>
                  </w:rPr>
                  <w:t>3</w:t>
                </w:r>
                <w:r w:rsidR="000B4CD1" w:rsidRPr="00B80369">
                  <w:rPr>
                    <w:b/>
                    <w:color w:val="33A1AB" w:themeColor="accent2"/>
                    <w:sz w:val="14"/>
                    <w:szCs w:val="14"/>
                  </w:rPr>
                  <w:t>-Y DEFAULT RATES</w:t>
                </w:r>
              </w:p>
            </w:tc>
          </w:tr>
          <w:tr w:rsidR="000B4CD1" w:rsidRPr="00B80369" w14:paraId="2B0753A1" w14:textId="77777777" w:rsidTr="00B47881">
            <w:trPr>
              <w:trHeight w:val="227"/>
              <w:tblHeader/>
            </w:trPr>
            <w:tc>
              <w:tcPr>
                <w:tcW w:w="307" w:type="pct"/>
                <w:vMerge/>
                <w:shd w:val="clear" w:color="auto" w:fill="FFFFFF" w:themeFill="background2"/>
                <w:tcMar>
                  <w:top w:w="60" w:type="dxa"/>
                  <w:left w:w="114" w:type="dxa"/>
                  <w:bottom w:w="60" w:type="dxa"/>
                  <w:right w:w="114" w:type="dxa"/>
                </w:tcMar>
                <w:vAlign w:val="center"/>
              </w:tcPr>
              <w:p w14:paraId="5FDE1C27" w14:textId="77777777" w:rsidR="000B4CD1" w:rsidRPr="00B80369" w:rsidRDefault="000B4CD1" w:rsidP="00B80369">
                <w:pPr>
                  <w:spacing w:before="0" w:line="240" w:lineRule="auto"/>
                  <w:jc w:val="center"/>
                  <w:rPr>
                    <w:b/>
                    <w:color w:val="33A1AB" w:themeColor="accent2"/>
                    <w:sz w:val="14"/>
                    <w:szCs w:val="14"/>
                  </w:rPr>
                </w:pPr>
              </w:p>
            </w:tc>
            <w:tc>
              <w:tcPr>
                <w:tcW w:w="357"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66EAE247" w14:textId="77777777" w:rsidR="000B4CD1" w:rsidRPr="00B80369" w:rsidRDefault="000B4CD1" w:rsidP="00B80369">
                <w:pPr>
                  <w:spacing w:before="0" w:line="240" w:lineRule="auto"/>
                  <w:jc w:val="center"/>
                  <w:rPr>
                    <w:b/>
                    <w:color w:val="33A1AB" w:themeColor="accent2"/>
                    <w:sz w:val="14"/>
                    <w:szCs w:val="14"/>
                  </w:rPr>
                </w:pPr>
                <w:r w:rsidRPr="00B80369">
                  <w:rPr>
                    <w:b/>
                    <w:color w:val="33A1AB" w:themeColor="accent2"/>
                    <w:sz w:val="14"/>
                    <w:szCs w:val="14"/>
                  </w:rPr>
                  <w:t>31 Dec 2008</w:t>
                </w:r>
              </w:p>
            </w:tc>
            <w:tc>
              <w:tcPr>
                <w:tcW w:w="396"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5BF79D07" w14:textId="77777777" w:rsidR="000B4CD1" w:rsidRPr="00B80369" w:rsidRDefault="000B4CD1" w:rsidP="00B80369">
                <w:pPr>
                  <w:spacing w:before="0" w:line="240" w:lineRule="auto"/>
                  <w:jc w:val="center"/>
                  <w:rPr>
                    <w:b/>
                    <w:color w:val="33A1AB" w:themeColor="accent2"/>
                    <w:sz w:val="14"/>
                    <w:szCs w:val="14"/>
                  </w:rPr>
                </w:pPr>
                <w:r w:rsidRPr="00B80369">
                  <w:rPr>
                    <w:b/>
                    <w:color w:val="33A1AB" w:themeColor="accent2"/>
                    <w:sz w:val="14"/>
                    <w:szCs w:val="14"/>
                  </w:rPr>
                  <w:t>31 Dec 2009</w:t>
                </w:r>
              </w:p>
            </w:tc>
            <w:tc>
              <w:tcPr>
                <w:tcW w:w="301" w:type="pct"/>
                <w:tcBorders>
                  <w:top w:val="single" w:sz="12" w:space="0" w:color="AFAFB4" w:themeColor="accent4"/>
                </w:tcBorders>
                <w:shd w:val="clear" w:color="auto" w:fill="FFFFFF" w:themeFill="background2"/>
                <w:vAlign w:val="center"/>
              </w:tcPr>
              <w:p w14:paraId="454FEA36" w14:textId="77777777" w:rsidR="000B4CD1" w:rsidRPr="00B80369" w:rsidRDefault="000B4CD1" w:rsidP="00B80369">
                <w:pPr>
                  <w:spacing w:before="0" w:line="240" w:lineRule="auto"/>
                  <w:jc w:val="center"/>
                  <w:rPr>
                    <w:b/>
                    <w:color w:val="33A1AB" w:themeColor="accent2"/>
                    <w:sz w:val="14"/>
                    <w:szCs w:val="14"/>
                  </w:rPr>
                </w:pPr>
                <w:r w:rsidRPr="00B80369">
                  <w:rPr>
                    <w:b/>
                    <w:color w:val="33A1AB" w:themeColor="accent2"/>
                    <w:sz w:val="14"/>
                    <w:szCs w:val="14"/>
                  </w:rPr>
                  <w:t>31 Dec 2010</w:t>
                </w:r>
              </w:p>
            </w:tc>
            <w:tc>
              <w:tcPr>
                <w:tcW w:w="301" w:type="pct"/>
                <w:tcBorders>
                  <w:top w:val="single" w:sz="12" w:space="0" w:color="AFAFB4" w:themeColor="accent4"/>
                </w:tcBorders>
                <w:shd w:val="clear" w:color="auto" w:fill="FFFFFF" w:themeFill="background2"/>
                <w:vAlign w:val="center"/>
              </w:tcPr>
              <w:p w14:paraId="25D8FD33" w14:textId="77777777" w:rsidR="000B4CD1" w:rsidRPr="00B80369" w:rsidRDefault="000B4CD1" w:rsidP="00B80369">
                <w:pPr>
                  <w:spacing w:before="0" w:line="240" w:lineRule="auto"/>
                  <w:jc w:val="center"/>
                  <w:rPr>
                    <w:b/>
                    <w:color w:val="33A1AB" w:themeColor="accent2"/>
                    <w:sz w:val="14"/>
                    <w:szCs w:val="14"/>
                  </w:rPr>
                </w:pPr>
                <w:r w:rsidRPr="00B80369">
                  <w:rPr>
                    <w:b/>
                    <w:color w:val="33A1AB" w:themeColor="accent2"/>
                    <w:sz w:val="14"/>
                    <w:szCs w:val="14"/>
                  </w:rPr>
                  <w:t>31 Dec 2011</w:t>
                </w:r>
              </w:p>
            </w:tc>
            <w:tc>
              <w:tcPr>
                <w:tcW w:w="301" w:type="pct"/>
                <w:tcBorders>
                  <w:top w:val="single" w:sz="12" w:space="0" w:color="AFAFB4" w:themeColor="accent4"/>
                </w:tcBorders>
                <w:shd w:val="clear" w:color="auto" w:fill="FFFFFF" w:themeFill="background2"/>
                <w:vAlign w:val="center"/>
              </w:tcPr>
              <w:p w14:paraId="1076505E" w14:textId="77777777" w:rsidR="000B4CD1" w:rsidRPr="00B80369" w:rsidRDefault="000B4CD1" w:rsidP="00B80369">
                <w:pPr>
                  <w:spacing w:before="0" w:line="240" w:lineRule="auto"/>
                  <w:jc w:val="center"/>
                  <w:rPr>
                    <w:b/>
                    <w:color w:val="33A1AB" w:themeColor="accent2"/>
                    <w:sz w:val="14"/>
                    <w:szCs w:val="14"/>
                  </w:rPr>
                </w:pPr>
                <w:r w:rsidRPr="00B80369">
                  <w:rPr>
                    <w:b/>
                    <w:color w:val="33A1AB" w:themeColor="accent2"/>
                    <w:sz w:val="14"/>
                    <w:szCs w:val="14"/>
                  </w:rPr>
                  <w:t>31 Dec 2012</w:t>
                </w:r>
              </w:p>
            </w:tc>
            <w:tc>
              <w:tcPr>
                <w:tcW w:w="301" w:type="pct"/>
                <w:tcBorders>
                  <w:top w:val="single" w:sz="12" w:space="0" w:color="AFAFB4" w:themeColor="accent4"/>
                </w:tcBorders>
                <w:shd w:val="clear" w:color="auto" w:fill="FFFFFF" w:themeFill="background2"/>
                <w:vAlign w:val="center"/>
              </w:tcPr>
              <w:p w14:paraId="25F5DA86" w14:textId="77777777" w:rsidR="000B4CD1" w:rsidRPr="00B80369" w:rsidRDefault="000B4CD1" w:rsidP="00B80369">
                <w:pPr>
                  <w:spacing w:before="0" w:line="240" w:lineRule="auto"/>
                  <w:jc w:val="center"/>
                  <w:rPr>
                    <w:b/>
                    <w:color w:val="33A1AB" w:themeColor="accent2"/>
                    <w:sz w:val="14"/>
                    <w:szCs w:val="14"/>
                  </w:rPr>
                </w:pPr>
                <w:r w:rsidRPr="00B80369">
                  <w:rPr>
                    <w:b/>
                    <w:color w:val="33A1AB" w:themeColor="accent2"/>
                    <w:sz w:val="14"/>
                    <w:szCs w:val="14"/>
                  </w:rPr>
                  <w:t>31 Dec 2013</w:t>
                </w:r>
              </w:p>
            </w:tc>
            <w:tc>
              <w:tcPr>
                <w:tcW w:w="301" w:type="pct"/>
                <w:tcBorders>
                  <w:top w:val="single" w:sz="12" w:space="0" w:color="AFAFB4" w:themeColor="accent4"/>
                </w:tcBorders>
                <w:shd w:val="clear" w:color="auto" w:fill="FFFFFF" w:themeFill="background2"/>
                <w:vAlign w:val="center"/>
              </w:tcPr>
              <w:p w14:paraId="63CD1F3E" w14:textId="77777777" w:rsidR="000B4CD1" w:rsidRPr="00B80369" w:rsidRDefault="000B4CD1" w:rsidP="00B80369">
                <w:pPr>
                  <w:spacing w:before="0" w:line="240" w:lineRule="auto"/>
                  <w:jc w:val="center"/>
                  <w:rPr>
                    <w:b/>
                    <w:color w:val="33A1AB" w:themeColor="accent2"/>
                    <w:sz w:val="14"/>
                    <w:szCs w:val="14"/>
                  </w:rPr>
                </w:pPr>
                <w:r w:rsidRPr="00B80369">
                  <w:rPr>
                    <w:b/>
                    <w:color w:val="33A1AB" w:themeColor="accent2"/>
                    <w:sz w:val="14"/>
                    <w:szCs w:val="14"/>
                  </w:rPr>
                  <w:t>31 Dec 2014</w:t>
                </w:r>
              </w:p>
            </w:tc>
            <w:tc>
              <w:tcPr>
                <w:tcW w:w="302" w:type="pct"/>
                <w:tcBorders>
                  <w:top w:val="single" w:sz="12" w:space="0" w:color="AFAFB4" w:themeColor="accent4"/>
                </w:tcBorders>
                <w:shd w:val="clear" w:color="auto" w:fill="FFFFFF" w:themeFill="background2"/>
                <w:vAlign w:val="center"/>
              </w:tcPr>
              <w:p w14:paraId="4F348230" w14:textId="77777777" w:rsidR="000B4CD1" w:rsidRPr="00B80369" w:rsidRDefault="000B4CD1" w:rsidP="00B80369">
                <w:pPr>
                  <w:spacing w:before="0" w:line="240" w:lineRule="auto"/>
                  <w:jc w:val="center"/>
                  <w:rPr>
                    <w:b/>
                    <w:color w:val="33A1AB" w:themeColor="accent2"/>
                    <w:sz w:val="14"/>
                    <w:szCs w:val="14"/>
                  </w:rPr>
                </w:pPr>
                <w:r w:rsidRPr="00B80369">
                  <w:rPr>
                    <w:b/>
                    <w:color w:val="33A1AB" w:themeColor="accent2"/>
                    <w:sz w:val="14"/>
                    <w:szCs w:val="14"/>
                  </w:rPr>
                  <w:t>31 Dec 2015</w:t>
                </w:r>
              </w:p>
            </w:tc>
            <w:tc>
              <w:tcPr>
                <w:tcW w:w="302" w:type="pct"/>
                <w:tcBorders>
                  <w:top w:val="single" w:sz="12" w:space="0" w:color="AFAFB4" w:themeColor="accent4"/>
                </w:tcBorders>
                <w:shd w:val="clear" w:color="auto" w:fill="FFFFFF" w:themeFill="background2"/>
                <w:vAlign w:val="center"/>
              </w:tcPr>
              <w:p w14:paraId="2C733E29" w14:textId="77777777" w:rsidR="000B4CD1" w:rsidRPr="00B80369" w:rsidRDefault="000B4CD1" w:rsidP="00B80369">
                <w:pPr>
                  <w:spacing w:before="0" w:line="240" w:lineRule="auto"/>
                  <w:jc w:val="center"/>
                  <w:rPr>
                    <w:b/>
                    <w:color w:val="33A1AB" w:themeColor="accent2"/>
                    <w:sz w:val="14"/>
                    <w:szCs w:val="14"/>
                  </w:rPr>
                </w:pPr>
                <w:r w:rsidRPr="00B80369">
                  <w:rPr>
                    <w:b/>
                    <w:color w:val="33A1AB" w:themeColor="accent2"/>
                    <w:sz w:val="14"/>
                    <w:szCs w:val="14"/>
                  </w:rPr>
                  <w:t>31 Dec 2016</w:t>
                </w:r>
              </w:p>
            </w:tc>
            <w:tc>
              <w:tcPr>
                <w:tcW w:w="302" w:type="pct"/>
                <w:tcBorders>
                  <w:top w:val="single" w:sz="12" w:space="0" w:color="AFAFB4" w:themeColor="accent4"/>
                </w:tcBorders>
                <w:shd w:val="clear" w:color="auto" w:fill="FFFFFF" w:themeFill="background2"/>
                <w:vAlign w:val="center"/>
              </w:tcPr>
              <w:p w14:paraId="5C2472C0" w14:textId="77777777" w:rsidR="000B4CD1" w:rsidRPr="00B80369" w:rsidRDefault="000B4CD1" w:rsidP="00B80369">
                <w:pPr>
                  <w:spacing w:before="0" w:line="240" w:lineRule="auto"/>
                  <w:jc w:val="center"/>
                  <w:rPr>
                    <w:b/>
                    <w:color w:val="33A1AB" w:themeColor="accent2"/>
                    <w:sz w:val="14"/>
                    <w:szCs w:val="14"/>
                  </w:rPr>
                </w:pPr>
                <w:r w:rsidRPr="00B80369">
                  <w:rPr>
                    <w:b/>
                    <w:color w:val="33A1AB" w:themeColor="accent2"/>
                    <w:sz w:val="14"/>
                    <w:szCs w:val="14"/>
                  </w:rPr>
                  <w:t>31 Dec 2017</w:t>
                </w:r>
              </w:p>
            </w:tc>
            <w:tc>
              <w:tcPr>
                <w:tcW w:w="301" w:type="pct"/>
                <w:tcBorders>
                  <w:top w:val="single" w:sz="12" w:space="0" w:color="AFAFB4" w:themeColor="accent4"/>
                </w:tcBorders>
                <w:shd w:val="clear" w:color="auto" w:fill="FFFFFF" w:themeFill="background2"/>
                <w:vAlign w:val="center"/>
              </w:tcPr>
              <w:p w14:paraId="7D531101" w14:textId="77777777" w:rsidR="000B4CD1" w:rsidRPr="00B80369" w:rsidRDefault="000B4CD1" w:rsidP="00B80369">
                <w:pPr>
                  <w:spacing w:before="0" w:line="240" w:lineRule="auto"/>
                  <w:jc w:val="center"/>
                  <w:rPr>
                    <w:b/>
                    <w:color w:val="33A1AB" w:themeColor="accent2"/>
                    <w:sz w:val="14"/>
                    <w:szCs w:val="14"/>
                  </w:rPr>
                </w:pPr>
                <w:r w:rsidRPr="00B80369">
                  <w:rPr>
                    <w:b/>
                    <w:color w:val="33A1AB" w:themeColor="accent2"/>
                    <w:sz w:val="14"/>
                    <w:szCs w:val="14"/>
                  </w:rPr>
                  <w:t>31 Dec 2018</w:t>
                </w:r>
              </w:p>
            </w:tc>
            <w:tc>
              <w:tcPr>
                <w:tcW w:w="301" w:type="pct"/>
                <w:tcBorders>
                  <w:top w:val="single" w:sz="12" w:space="0" w:color="AFAFB4" w:themeColor="accent4"/>
                </w:tcBorders>
                <w:shd w:val="clear" w:color="auto" w:fill="FFFFFF" w:themeFill="background2"/>
                <w:vAlign w:val="center"/>
              </w:tcPr>
              <w:p w14:paraId="76C04AB9" w14:textId="77777777" w:rsidR="000B4CD1" w:rsidRPr="00B80369" w:rsidRDefault="000B4CD1" w:rsidP="00B80369">
                <w:pPr>
                  <w:spacing w:before="0" w:line="240" w:lineRule="auto"/>
                  <w:jc w:val="center"/>
                  <w:rPr>
                    <w:b/>
                    <w:color w:val="33A1AB" w:themeColor="accent2"/>
                    <w:sz w:val="14"/>
                    <w:szCs w:val="14"/>
                  </w:rPr>
                </w:pPr>
                <w:r w:rsidRPr="00B80369">
                  <w:rPr>
                    <w:b/>
                    <w:color w:val="33A1AB" w:themeColor="accent2"/>
                    <w:sz w:val="14"/>
                    <w:szCs w:val="14"/>
                  </w:rPr>
                  <w:t>31 Dec 2019</w:t>
                </w:r>
              </w:p>
            </w:tc>
            <w:tc>
              <w:tcPr>
                <w:tcW w:w="301" w:type="pct"/>
                <w:tcBorders>
                  <w:top w:val="single" w:sz="12" w:space="0" w:color="AFAFB4" w:themeColor="accent4"/>
                </w:tcBorders>
                <w:shd w:val="clear" w:color="auto" w:fill="FFFFFF" w:themeFill="background2"/>
                <w:vAlign w:val="center"/>
              </w:tcPr>
              <w:p w14:paraId="49FF82AF" w14:textId="77777777" w:rsidR="000B4CD1" w:rsidRPr="00B80369" w:rsidRDefault="000B4CD1" w:rsidP="00B80369">
                <w:pPr>
                  <w:spacing w:before="0" w:line="240" w:lineRule="auto"/>
                  <w:jc w:val="center"/>
                  <w:rPr>
                    <w:b/>
                    <w:color w:val="33A1AB" w:themeColor="accent2"/>
                    <w:sz w:val="14"/>
                    <w:szCs w:val="14"/>
                  </w:rPr>
                </w:pPr>
                <w:r w:rsidRPr="00B80369">
                  <w:rPr>
                    <w:b/>
                    <w:color w:val="33A1AB" w:themeColor="accent2"/>
                    <w:sz w:val="14"/>
                    <w:szCs w:val="14"/>
                  </w:rPr>
                  <w:t>31 Dec 2020</w:t>
                </w:r>
              </w:p>
            </w:tc>
            <w:tc>
              <w:tcPr>
                <w:tcW w:w="301" w:type="pct"/>
                <w:tcBorders>
                  <w:top w:val="single" w:sz="12" w:space="0" w:color="AFAFB4" w:themeColor="accent4"/>
                </w:tcBorders>
                <w:shd w:val="clear" w:color="auto" w:fill="FFFFFF" w:themeFill="background2"/>
                <w:vAlign w:val="center"/>
              </w:tcPr>
              <w:p w14:paraId="6A454791" w14:textId="77777777" w:rsidR="000B4CD1" w:rsidRPr="00B80369" w:rsidRDefault="000B4CD1" w:rsidP="00B80369">
                <w:pPr>
                  <w:spacing w:before="0" w:line="240" w:lineRule="auto"/>
                  <w:jc w:val="center"/>
                  <w:rPr>
                    <w:b/>
                    <w:color w:val="33A1AB" w:themeColor="accent2"/>
                    <w:sz w:val="14"/>
                    <w:szCs w:val="14"/>
                  </w:rPr>
                </w:pPr>
                <w:r w:rsidRPr="00B80369">
                  <w:rPr>
                    <w:b/>
                    <w:color w:val="33A1AB" w:themeColor="accent2"/>
                    <w:sz w:val="14"/>
                    <w:szCs w:val="14"/>
                  </w:rPr>
                  <w:t>31 Dec 2021</w:t>
                </w:r>
              </w:p>
            </w:tc>
            <w:tc>
              <w:tcPr>
                <w:tcW w:w="325" w:type="pct"/>
                <w:tcBorders>
                  <w:top w:val="single" w:sz="12" w:space="0" w:color="AFAFB4" w:themeColor="accent4"/>
                </w:tcBorders>
                <w:shd w:val="clear" w:color="auto" w:fill="FFFFFF" w:themeFill="background2"/>
                <w:vAlign w:val="center"/>
              </w:tcPr>
              <w:p w14:paraId="7ED77743" w14:textId="77777777" w:rsidR="000B4CD1" w:rsidRPr="00B80369" w:rsidRDefault="000B4CD1" w:rsidP="00B80369">
                <w:pPr>
                  <w:spacing w:before="0" w:line="240" w:lineRule="auto"/>
                  <w:jc w:val="center"/>
                  <w:rPr>
                    <w:b/>
                    <w:color w:val="33A1AB" w:themeColor="accent2"/>
                    <w:sz w:val="14"/>
                    <w:szCs w:val="14"/>
                  </w:rPr>
                </w:pPr>
                <w:r w:rsidRPr="00B80369">
                  <w:rPr>
                    <w:b/>
                    <w:color w:val="33A1AB" w:themeColor="accent2"/>
                    <w:sz w:val="14"/>
                    <w:szCs w:val="14"/>
                  </w:rPr>
                  <w:t>31 Dec 2022</w:t>
                </w:r>
              </w:p>
            </w:tc>
          </w:tr>
          <w:tr w:rsidR="00AA3B54" w:rsidRPr="00B80369" w14:paraId="7BC444F3"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53201EEE" w14:textId="77777777" w:rsidR="00AA3B54" w:rsidRPr="00B80369" w:rsidRDefault="00AA3B54"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A1.1</w:t>
                </w:r>
              </w:p>
            </w:tc>
            <w:tc>
              <w:tcPr>
                <w:tcW w:w="357" w:type="pct"/>
                <w:shd w:val="clear" w:color="auto" w:fill="FFFFFF" w:themeFill="background2"/>
                <w:tcMar>
                  <w:top w:w="60" w:type="dxa"/>
                  <w:left w:w="114" w:type="dxa"/>
                  <w:bottom w:w="60" w:type="dxa"/>
                  <w:right w:w="114" w:type="dxa"/>
                </w:tcMar>
                <w:vAlign w:val="center"/>
              </w:tcPr>
              <w:p w14:paraId="124F6954" w14:textId="060B5B78"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96" w:type="pct"/>
                <w:shd w:val="clear" w:color="auto" w:fill="FFFFFF" w:themeFill="background2"/>
                <w:tcMar>
                  <w:top w:w="60" w:type="dxa"/>
                  <w:left w:w="114" w:type="dxa"/>
                  <w:bottom w:w="60" w:type="dxa"/>
                  <w:right w:w="114" w:type="dxa"/>
                </w:tcMar>
                <w:vAlign w:val="center"/>
              </w:tcPr>
              <w:p w14:paraId="0B887F54" w14:textId="0A737CC4"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0E897BC1" w14:textId="324B56C8"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4B5D6478" w14:textId="19C0F259"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58E422C3" w14:textId="0A9218B4"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43168482" w14:textId="6AC63EC0"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51E637C2" w14:textId="1FCF23FA"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07F5E0BA" w14:textId="73DB7D33"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7EBAEB7A" w14:textId="449F1323"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63E89217" w14:textId="1D4BF21E"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6C397669" w14:textId="1EE3371C" w:rsidR="00AA3B54" w:rsidRPr="00B80369" w:rsidRDefault="00AA3B54"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73809639" w14:textId="7C1FA846" w:rsidR="00AA3B54" w:rsidRPr="00B80369" w:rsidRDefault="00AA3B54"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2710011E" w14:textId="540152EB"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2C07B1D8" w14:textId="2867DEE4"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325" w:type="pct"/>
                <w:shd w:val="clear" w:color="auto" w:fill="FFFFFF" w:themeFill="background2"/>
                <w:vAlign w:val="center"/>
              </w:tcPr>
              <w:p w14:paraId="3E3E6C0F" w14:textId="77777777"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r>
          <w:tr w:rsidR="00AA3B54" w:rsidRPr="00B80369" w14:paraId="7B16C828"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339625C0" w14:textId="77777777" w:rsidR="00AA3B54" w:rsidRPr="00B80369" w:rsidRDefault="00AA3B54"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A1.2</w:t>
                </w:r>
              </w:p>
            </w:tc>
            <w:tc>
              <w:tcPr>
                <w:tcW w:w="357" w:type="pct"/>
                <w:shd w:val="clear" w:color="auto" w:fill="FFFFFF" w:themeFill="background2"/>
                <w:tcMar>
                  <w:top w:w="60" w:type="dxa"/>
                  <w:left w:w="114" w:type="dxa"/>
                  <w:bottom w:w="60" w:type="dxa"/>
                  <w:right w:w="114" w:type="dxa"/>
                </w:tcMar>
                <w:vAlign w:val="center"/>
              </w:tcPr>
              <w:p w14:paraId="2232F9D0" w14:textId="1AB9CE0D"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96" w:type="pct"/>
                <w:shd w:val="clear" w:color="auto" w:fill="FFFFFF" w:themeFill="background2"/>
                <w:tcMar>
                  <w:top w:w="60" w:type="dxa"/>
                  <w:left w:w="114" w:type="dxa"/>
                  <w:bottom w:w="60" w:type="dxa"/>
                  <w:right w:w="114" w:type="dxa"/>
                </w:tcMar>
                <w:vAlign w:val="center"/>
              </w:tcPr>
              <w:p w14:paraId="18A669D8" w14:textId="652298E5"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43374FAC" w14:textId="7B5070AA"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3BF848E9" w14:textId="57FF240A"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3F11DACD" w14:textId="72167E41"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2B03C13E" w14:textId="00267D8A"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4A192809" w14:textId="3798A3EC"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4221CA2B" w14:textId="1664C192"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2555B8DA" w14:textId="11464F59"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64A145E1" w14:textId="3E3E37AD"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1A02BBE8" w14:textId="10B6475F" w:rsidR="00AA3B54" w:rsidRPr="00B80369" w:rsidRDefault="00AA3B54"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75EF6DB9" w14:textId="1DDBCF23" w:rsidR="00AA3B54" w:rsidRPr="00B80369" w:rsidRDefault="00AA3B54"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7D51461E" w14:textId="4E586231"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31FBED1A" w14:textId="33DE97C9"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325" w:type="pct"/>
                <w:shd w:val="clear" w:color="auto" w:fill="FFFFFF" w:themeFill="background2"/>
                <w:vAlign w:val="center"/>
              </w:tcPr>
              <w:p w14:paraId="28C3D032" w14:textId="77777777"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r>
          <w:tr w:rsidR="00AA3B54" w:rsidRPr="00B80369" w14:paraId="5357C487"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34099700" w14:textId="77777777" w:rsidR="00AA3B54" w:rsidRPr="00B80369" w:rsidRDefault="00AA3B54"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A1.3</w:t>
                </w:r>
              </w:p>
            </w:tc>
            <w:tc>
              <w:tcPr>
                <w:tcW w:w="357" w:type="pct"/>
                <w:shd w:val="clear" w:color="auto" w:fill="FFFFFF" w:themeFill="background2"/>
                <w:tcMar>
                  <w:top w:w="60" w:type="dxa"/>
                  <w:left w:w="114" w:type="dxa"/>
                  <w:bottom w:w="60" w:type="dxa"/>
                  <w:right w:w="114" w:type="dxa"/>
                </w:tcMar>
                <w:vAlign w:val="center"/>
              </w:tcPr>
              <w:p w14:paraId="6EF2A733" w14:textId="4685C81C"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96" w:type="pct"/>
                <w:shd w:val="clear" w:color="auto" w:fill="FFFFFF" w:themeFill="background2"/>
                <w:tcMar>
                  <w:top w:w="60" w:type="dxa"/>
                  <w:left w:w="114" w:type="dxa"/>
                  <w:bottom w:w="60" w:type="dxa"/>
                  <w:right w:w="114" w:type="dxa"/>
                </w:tcMar>
                <w:vAlign w:val="center"/>
              </w:tcPr>
              <w:p w14:paraId="6E054550" w14:textId="5231BA59"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5B40FC95" w14:textId="5F837C15"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6726B6F8" w14:textId="653D4481"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534635F0" w14:textId="341A011C"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47901CF7" w14:textId="52E6617C"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7EB41554" w14:textId="2C13ADA3"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5DA34368" w14:textId="33EB1ACC"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5B5DCB6A" w14:textId="23A8F2BC"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38518B28" w14:textId="52848191"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2B545BB8" w14:textId="75AC5E16" w:rsidR="00AA3B54" w:rsidRPr="00B80369" w:rsidRDefault="00AA3B54"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5E4F61AE" w14:textId="226E40A3" w:rsidR="00AA3B54" w:rsidRPr="00B80369" w:rsidRDefault="00AA3B54"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26634720" w14:textId="289331C4"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49AC5437" w14:textId="7D71D461"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325" w:type="pct"/>
                <w:shd w:val="clear" w:color="auto" w:fill="FFFFFF" w:themeFill="background2"/>
                <w:vAlign w:val="center"/>
              </w:tcPr>
              <w:p w14:paraId="7327A7A8" w14:textId="77777777"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r>
          <w:tr w:rsidR="00AA3B54" w:rsidRPr="00B80369" w14:paraId="2E049BBC"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691B497B" w14:textId="77777777" w:rsidR="00AA3B54" w:rsidRPr="00B80369" w:rsidRDefault="00AA3B54"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A2.1</w:t>
                </w:r>
              </w:p>
            </w:tc>
            <w:tc>
              <w:tcPr>
                <w:tcW w:w="357" w:type="pct"/>
                <w:shd w:val="clear" w:color="auto" w:fill="FFFFFF" w:themeFill="background2"/>
                <w:tcMar>
                  <w:top w:w="60" w:type="dxa"/>
                  <w:left w:w="114" w:type="dxa"/>
                  <w:bottom w:w="60" w:type="dxa"/>
                  <w:right w:w="114" w:type="dxa"/>
                </w:tcMar>
                <w:vAlign w:val="center"/>
              </w:tcPr>
              <w:p w14:paraId="56DED6BD" w14:textId="2C8F85CC"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96" w:type="pct"/>
                <w:shd w:val="clear" w:color="auto" w:fill="FFFFFF" w:themeFill="background2"/>
                <w:tcMar>
                  <w:top w:w="60" w:type="dxa"/>
                  <w:left w:w="114" w:type="dxa"/>
                  <w:bottom w:w="60" w:type="dxa"/>
                  <w:right w:w="114" w:type="dxa"/>
                </w:tcMar>
                <w:vAlign w:val="center"/>
              </w:tcPr>
              <w:p w14:paraId="3DE0EF72" w14:textId="14C5B57A"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0.22%</w:t>
                </w:r>
              </w:p>
            </w:tc>
            <w:tc>
              <w:tcPr>
                <w:tcW w:w="301" w:type="pct"/>
                <w:shd w:val="clear" w:color="auto" w:fill="FFFFFF" w:themeFill="background2"/>
                <w:vAlign w:val="center"/>
              </w:tcPr>
              <w:p w14:paraId="794EB9A2" w14:textId="5E657CF9"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5C347828" w14:textId="7C7756E6"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0.22%</w:t>
                </w:r>
              </w:p>
            </w:tc>
            <w:tc>
              <w:tcPr>
                <w:tcW w:w="301" w:type="pct"/>
                <w:shd w:val="clear" w:color="auto" w:fill="FFFFFF" w:themeFill="background2"/>
                <w:vAlign w:val="center"/>
              </w:tcPr>
              <w:p w14:paraId="63F27D8E" w14:textId="0542A53A"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0.34%</w:t>
                </w:r>
              </w:p>
            </w:tc>
            <w:tc>
              <w:tcPr>
                <w:tcW w:w="301" w:type="pct"/>
                <w:shd w:val="clear" w:color="auto" w:fill="FFFFFF" w:themeFill="background2"/>
                <w:vAlign w:val="center"/>
              </w:tcPr>
              <w:p w14:paraId="68C7A76C" w14:textId="0FDDC248"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4E6EB738" w14:textId="5E4488F9"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0877C925" w14:textId="067BB47A"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766C5632" w14:textId="482E2A33"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0.47%</w:t>
                </w:r>
              </w:p>
            </w:tc>
            <w:tc>
              <w:tcPr>
                <w:tcW w:w="302" w:type="pct"/>
                <w:shd w:val="clear" w:color="auto" w:fill="FFFFFF" w:themeFill="background2"/>
                <w:vAlign w:val="center"/>
              </w:tcPr>
              <w:p w14:paraId="3533C07D" w14:textId="14EEB766"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1D6C4CDC" w14:textId="53393730" w:rsidR="00AA3B54" w:rsidRPr="00B80369" w:rsidRDefault="00AA3B54"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0.54%</w:t>
                </w:r>
              </w:p>
            </w:tc>
            <w:tc>
              <w:tcPr>
                <w:tcW w:w="301" w:type="pct"/>
                <w:shd w:val="clear" w:color="auto" w:fill="FFFFFF" w:themeFill="background2"/>
                <w:vAlign w:val="center"/>
              </w:tcPr>
              <w:p w14:paraId="5ECD5868" w14:textId="09634526" w:rsidR="00AA3B54" w:rsidRPr="00B80369" w:rsidRDefault="00AA3B54"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06C56860" w14:textId="54C70F47"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5E41CF24" w14:textId="12ED8FB1"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325" w:type="pct"/>
                <w:shd w:val="clear" w:color="auto" w:fill="FFFFFF" w:themeFill="background2"/>
                <w:vAlign w:val="center"/>
              </w:tcPr>
              <w:p w14:paraId="1DB46E9F" w14:textId="77777777"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r>
          <w:tr w:rsidR="00AA3B54" w:rsidRPr="00B80369" w14:paraId="316C9DE5"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01D74A33" w14:textId="77777777" w:rsidR="00AA3B54" w:rsidRPr="00B80369" w:rsidRDefault="00AA3B54"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A2.2</w:t>
                </w:r>
              </w:p>
            </w:tc>
            <w:tc>
              <w:tcPr>
                <w:tcW w:w="357" w:type="pct"/>
                <w:shd w:val="clear" w:color="auto" w:fill="FFFFFF" w:themeFill="background2"/>
                <w:tcMar>
                  <w:top w:w="60" w:type="dxa"/>
                  <w:left w:w="114" w:type="dxa"/>
                  <w:bottom w:w="60" w:type="dxa"/>
                  <w:right w:w="114" w:type="dxa"/>
                </w:tcMar>
                <w:vAlign w:val="center"/>
              </w:tcPr>
              <w:p w14:paraId="3B464445" w14:textId="51DCC05A"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0.24%</w:t>
                </w:r>
              </w:p>
            </w:tc>
            <w:tc>
              <w:tcPr>
                <w:tcW w:w="396" w:type="pct"/>
                <w:shd w:val="clear" w:color="auto" w:fill="FFFFFF" w:themeFill="background2"/>
                <w:tcMar>
                  <w:top w:w="60" w:type="dxa"/>
                  <w:left w:w="114" w:type="dxa"/>
                  <w:bottom w:w="60" w:type="dxa"/>
                  <w:right w:w="114" w:type="dxa"/>
                </w:tcMar>
                <w:vAlign w:val="center"/>
              </w:tcPr>
              <w:p w14:paraId="11B5D853" w14:textId="5B8982F3"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0.17%</w:t>
                </w:r>
              </w:p>
            </w:tc>
            <w:tc>
              <w:tcPr>
                <w:tcW w:w="301" w:type="pct"/>
                <w:shd w:val="clear" w:color="auto" w:fill="FFFFFF" w:themeFill="background2"/>
                <w:vAlign w:val="center"/>
              </w:tcPr>
              <w:p w14:paraId="083896B0" w14:textId="3127D23B"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0.18%</w:t>
                </w:r>
              </w:p>
            </w:tc>
            <w:tc>
              <w:tcPr>
                <w:tcW w:w="301" w:type="pct"/>
                <w:shd w:val="clear" w:color="auto" w:fill="FFFFFF" w:themeFill="background2"/>
                <w:vAlign w:val="center"/>
              </w:tcPr>
              <w:p w14:paraId="7DF989B1" w14:textId="556A2B2A"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0.31%</w:t>
                </w:r>
              </w:p>
            </w:tc>
            <w:tc>
              <w:tcPr>
                <w:tcW w:w="301" w:type="pct"/>
                <w:shd w:val="clear" w:color="auto" w:fill="FFFFFF" w:themeFill="background2"/>
                <w:vAlign w:val="center"/>
              </w:tcPr>
              <w:p w14:paraId="69244E7F" w14:textId="4EAF2F7D"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0.48%</w:t>
                </w:r>
              </w:p>
            </w:tc>
            <w:tc>
              <w:tcPr>
                <w:tcW w:w="301" w:type="pct"/>
                <w:shd w:val="clear" w:color="auto" w:fill="FFFFFF" w:themeFill="background2"/>
                <w:vAlign w:val="center"/>
              </w:tcPr>
              <w:p w14:paraId="30E46070" w14:textId="535F9742"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0.17%</w:t>
                </w:r>
              </w:p>
            </w:tc>
            <w:tc>
              <w:tcPr>
                <w:tcW w:w="301" w:type="pct"/>
                <w:shd w:val="clear" w:color="auto" w:fill="FFFFFF" w:themeFill="background2"/>
                <w:vAlign w:val="center"/>
              </w:tcPr>
              <w:p w14:paraId="44547DA8" w14:textId="05782AEB"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0.11%</w:t>
                </w:r>
              </w:p>
            </w:tc>
            <w:tc>
              <w:tcPr>
                <w:tcW w:w="302" w:type="pct"/>
                <w:shd w:val="clear" w:color="auto" w:fill="FFFFFF" w:themeFill="background2"/>
                <w:vAlign w:val="center"/>
              </w:tcPr>
              <w:p w14:paraId="78656F1E" w14:textId="716CE9D6"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0.45%</w:t>
                </w:r>
              </w:p>
            </w:tc>
            <w:tc>
              <w:tcPr>
                <w:tcW w:w="302" w:type="pct"/>
                <w:shd w:val="clear" w:color="auto" w:fill="FFFFFF" w:themeFill="background2"/>
                <w:vAlign w:val="center"/>
              </w:tcPr>
              <w:p w14:paraId="6664D0FA" w14:textId="776D815E"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44B1E30F" w14:textId="52E2F2AB"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0.32%</w:t>
                </w:r>
              </w:p>
            </w:tc>
            <w:tc>
              <w:tcPr>
                <w:tcW w:w="301" w:type="pct"/>
                <w:shd w:val="clear" w:color="auto" w:fill="FFFFFF" w:themeFill="background2"/>
                <w:vAlign w:val="center"/>
              </w:tcPr>
              <w:p w14:paraId="776080ED" w14:textId="5F8DE86C" w:rsidR="00AA3B54" w:rsidRPr="00B80369" w:rsidRDefault="00AA3B54"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0.16%</w:t>
                </w:r>
              </w:p>
            </w:tc>
            <w:tc>
              <w:tcPr>
                <w:tcW w:w="301" w:type="pct"/>
                <w:shd w:val="clear" w:color="auto" w:fill="FFFFFF" w:themeFill="background2"/>
                <w:vAlign w:val="center"/>
              </w:tcPr>
              <w:p w14:paraId="4C3EF311" w14:textId="28E11DD7" w:rsidR="00AA3B54" w:rsidRPr="00B80369" w:rsidRDefault="00AA3B54"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0.14%</w:t>
                </w:r>
              </w:p>
            </w:tc>
            <w:tc>
              <w:tcPr>
                <w:tcW w:w="301" w:type="pct"/>
                <w:shd w:val="clear" w:color="auto" w:fill="FFFFFF" w:themeFill="background2"/>
                <w:vAlign w:val="center"/>
              </w:tcPr>
              <w:p w14:paraId="25FFAD77" w14:textId="69047E8E"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5CAE8359" w14:textId="3EAE35EB"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325" w:type="pct"/>
                <w:shd w:val="clear" w:color="auto" w:fill="FFFFFF" w:themeFill="background2"/>
                <w:vAlign w:val="center"/>
              </w:tcPr>
              <w:p w14:paraId="2DF1D45C" w14:textId="77777777"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r>
          <w:tr w:rsidR="00AA3B54" w:rsidRPr="00B80369" w14:paraId="2F6F4CE7"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2EF2372E" w14:textId="77777777" w:rsidR="00AA3B54" w:rsidRPr="00B80369" w:rsidRDefault="00AA3B54"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A3.1</w:t>
                </w:r>
              </w:p>
            </w:tc>
            <w:tc>
              <w:tcPr>
                <w:tcW w:w="357" w:type="pct"/>
                <w:shd w:val="clear" w:color="auto" w:fill="FFFFFF" w:themeFill="background2"/>
                <w:tcMar>
                  <w:top w:w="60" w:type="dxa"/>
                  <w:left w:w="114" w:type="dxa"/>
                  <w:bottom w:w="60" w:type="dxa"/>
                  <w:right w:w="114" w:type="dxa"/>
                </w:tcMar>
                <w:vAlign w:val="center"/>
              </w:tcPr>
              <w:p w14:paraId="1D3BA326" w14:textId="17030153"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0.44%</w:t>
                </w:r>
              </w:p>
            </w:tc>
            <w:tc>
              <w:tcPr>
                <w:tcW w:w="396" w:type="pct"/>
                <w:shd w:val="clear" w:color="auto" w:fill="FFFFFF" w:themeFill="background2"/>
                <w:tcMar>
                  <w:top w:w="60" w:type="dxa"/>
                  <w:left w:w="114" w:type="dxa"/>
                  <w:bottom w:w="60" w:type="dxa"/>
                  <w:right w:w="114" w:type="dxa"/>
                </w:tcMar>
                <w:vAlign w:val="center"/>
              </w:tcPr>
              <w:p w14:paraId="13EEAE91" w14:textId="38AAF9FA"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0.39%</w:t>
                </w:r>
              </w:p>
            </w:tc>
            <w:tc>
              <w:tcPr>
                <w:tcW w:w="301" w:type="pct"/>
                <w:shd w:val="clear" w:color="auto" w:fill="FFFFFF" w:themeFill="background2"/>
                <w:vAlign w:val="center"/>
              </w:tcPr>
              <w:p w14:paraId="46ABA846" w14:textId="72CD1CA9"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0.47%</w:t>
                </w:r>
              </w:p>
            </w:tc>
            <w:tc>
              <w:tcPr>
                <w:tcW w:w="301" w:type="pct"/>
                <w:shd w:val="clear" w:color="auto" w:fill="FFFFFF" w:themeFill="background2"/>
                <w:vAlign w:val="center"/>
              </w:tcPr>
              <w:p w14:paraId="426356BA" w14:textId="1A0825B6"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0.68%</w:t>
                </w:r>
              </w:p>
            </w:tc>
            <w:tc>
              <w:tcPr>
                <w:tcW w:w="301" w:type="pct"/>
                <w:shd w:val="clear" w:color="auto" w:fill="FFFFFF" w:themeFill="background2"/>
                <w:vAlign w:val="center"/>
              </w:tcPr>
              <w:p w14:paraId="7802FA7A" w14:textId="7A3A8E03"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0.76%</w:t>
                </w:r>
              </w:p>
            </w:tc>
            <w:tc>
              <w:tcPr>
                <w:tcW w:w="301" w:type="pct"/>
                <w:shd w:val="clear" w:color="auto" w:fill="FFFFFF" w:themeFill="background2"/>
                <w:vAlign w:val="center"/>
              </w:tcPr>
              <w:p w14:paraId="25502384" w14:textId="1135C6EF"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0.90%</w:t>
                </w:r>
              </w:p>
            </w:tc>
            <w:tc>
              <w:tcPr>
                <w:tcW w:w="301" w:type="pct"/>
                <w:shd w:val="clear" w:color="auto" w:fill="FFFFFF" w:themeFill="background2"/>
                <w:vAlign w:val="center"/>
              </w:tcPr>
              <w:p w14:paraId="0E6F48E9" w14:textId="1E71F443"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0.78%</w:t>
                </w:r>
              </w:p>
            </w:tc>
            <w:tc>
              <w:tcPr>
                <w:tcW w:w="302" w:type="pct"/>
                <w:shd w:val="clear" w:color="auto" w:fill="FFFFFF" w:themeFill="background2"/>
                <w:vAlign w:val="center"/>
              </w:tcPr>
              <w:p w14:paraId="5E4CD0D5" w14:textId="67D43830"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0.75%</w:t>
                </w:r>
              </w:p>
            </w:tc>
            <w:tc>
              <w:tcPr>
                <w:tcW w:w="302" w:type="pct"/>
                <w:shd w:val="clear" w:color="auto" w:fill="FFFFFF" w:themeFill="background2"/>
                <w:vAlign w:val="center"/>
              </w:tcPr>
              <w:p w14:paraId="43F47271" w14:textId="6BC1C9DC"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0.56%</w:t>
                </w:r>
              </w:p>
            </w:tc>
            <w:tc>
              <w:tcPr>
                <w:tcW w:w="302" w:type="pct"/>
                <w:shd w:val="clear" w:color="auto" w:fill="FFFFFF" w:themeFill="background2"/>
                <w:vAlign w:val="center"/>
              </w:tcPr>
              <w:p w14:paraId="13D72495" w14:textId="6F34FC69"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0.31%</w:t>
                </w:r>
              </w:p>
            </w:tc>
            <w:tc>
              <w:tcPr>
                <w:tcW w:w="301" w:type="pct"/>
                <w:shd w:val="clear" w:color="auto" w:fill="FFFFFF" w:themeFill="background2"/>
                <w:vAlign w:val="center"/>
              </w:tcPr>
              <w:p w14:paraId="3FA31F34" w14:textId="27669AB4" w:rsidR="00AA3B54" w:rsidRPr="00B80369" w:rsidRDefault="00AA3B54"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0.30%</w:t>
                </w:r>
              </w:p>
            </w:tc>
            <w:tc>
              <w:tcPr>
                <w:tcW w:w="301" w:type="pct"/>
                <w:shd w:val="clear" w:color="auto" w:fill="FFFFFF" w:themeFill="background2"/>
                <w:vAlign w:val="center"/>
              </w:tcPr>
              <w:p w14:paraId="6FF0D4C5" w14:textId="755CEE68" w:rsidR="00AA3B54" w:rsidRPr="00B80369" w:rsidRDefault="00AA3B54"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0.20%</w:t>
                </w:r>
              </w:p>
            </w:tc>
            <w:tc>
              <w:tcPr>
                <w:tcW w:w="301" w:type="pct"/>
                <w:shd w:val="clear" w:color="auto" w:fill="FFFFFF" w:themeFill="background2"/>
                <w:vAlign w:val="center"/>
              </w:tcPr>
              <w:p w14:paraId="051F8354" w14:textId="2FD88713"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0.08%</w:t>
                </w:r>
              </w:p>
            </w:tc>
            <w:tc>
              <w:tcPr>
                <w:tcW w:w="301" w:type="pct"/>
                <w:shd w:val="clear" w:color="auto" w:fill="FFFFFF" w:themeFill="background2"/>
                <w:vAlign w:val="center"/>
              </w:tcPr>
              <w:p w14:paraId="24FDE770" w14:textId="3C575030"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325" w:type="pct"/>
                <w:shd w:val="clear" w:color="auto" w:fill="FFFFFF" w:themeFill="background2"/>
                <w:vAlign w:val="center"/>
              </w:tcPr>
              <w:p w14:paraId="3BA476D3" w14:textId="77777777"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r>
          <w:tr w:rsidR="00AA3B54" w:rsidRPr="00B80369" w14:paraId="36DE5549"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5BE601FF" w14:textId="77777777" w:rsidR="00AA3B54" w:rsidRPr="00B80369" w:rsidRDefault="00AA3B54"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B1.1</w:t>
                </w:r>
              </w:p>
            </w:tc>
            <w:tc>
              <w:tcPr>
                <w:tcW w:w="357" w:type="pct"/>
                <w:shd w:val="clear" w:color="auto" w:fill="FFFFFF" w:themeFill="background2"/>
                <w:tcMar>
                  <w:top w:w="60" w:type="dxa"/>
                  <w:left w:w="114" w:type="dxa"/>
                  <w:bottom w:w="60" w:type="dxa"/>
                  <w:right w:w="114" w:type="dxa"/>
                </w:tcMar>
                <w:vAlign w:val="center"/>
              </w:tcPr>
              <w:p w14:paraId="21E789CD" w14:textId="0587FDEC"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0.85%</w:t>
                </w:r>
              </w:p>
            </w:tc>
            <w:tc>
              <w:tcPr>
                <w:tcW w:w="396" w:type="pct"/>
                <w:shd w:val="clear" w:color="auto" w:fill="FFFFFF" w:themeFill="background2"/>
                <w:tcMar>
                  <w:top w:w="60" w:type="dxa"/>
                  <w:left w:w="114" w:type="dxa"/>
                  <w:bottom w:w="60" w:type="dxa"/>
                  <w:right w:w="114" w:type="dxa"/>
                </w:tcMar>
                <w:vAlign w:val="center"/>
              </w:tcPr>
              <w:p w14:paraId="4A9E421B" w14:textId="1EE1D851"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1.07%</w:t>
                </w:r>
              </w:p>
            </w:tc>
            <w:tc>
              <w:tcPr>
                <w:tcW w:w="301" w:type="pct"/>
                <w:shd w:val="clear" w:color="auto" w:fill="FFFFFF" w:themeFill="background2"/>
                <w:vAlign w:val="center"/>
              </w:tcPr>
              <w:p w14:paraId="345AEE56" w14:textId="49BD8351"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1.17%</w:t>
                </w:r>
              </w:p>
            </w:tc>
            <w:tc>
              <w:tcPr>
                <w:tcW w:w="301" w:type="pct"/>
                <w:shd w:val="clear" w:color="auto" w:fill="FFFFFF" w:themeFill="background2"/>
                <w:vAlign w:val="center"/>
              </w:tcPr>
              <w:p w14:paraId="1F761BA2" w14:textId="383B43D9"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1.96%</w:t>
                </w:r>
              </w:p>
            </w:tc>
            <w:tc>
              <w:tcPr>
                <w:tcW w:w="301" w:type="pct"/>
                <w:shd w:val="clear" w:color="auto" w:fill="FFFFFF" w:themeFill="background2"/>
                <w:vAlign w:val="center"/>
              </w:tcPr>
              <w:p w14:paraId="110EC6C8" w14:textId="1697E712"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1.80%</w:t>
                </w:r>
              </w:p>
            </w:tc>
            <w:tc>
              <w:tcPr>
                <w:tcW w:w="301" w:type="pct"/>
                <w:shd w:val="clear" w:color="auto" w:fill="FFFFFF" w:themeFill="background2"/>
                <w:vAlign w:val="center"/>
              </w:tcPr>
              <w:p w14:paraId="7EECB195" w14:textId="754DEFF9"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2.26%</w:t>
                </w:r>
              </w:p>
            </w:tc>
            <w:tc>
              <w:tcPr>
                <w:tcW w:w="301" w:type="pct"/>
                <w:shd w:val="clear" w:color="auto" w:fill="FFFFFF" w:themeFill="background2"/>
                <w:vAlign w:val="center"/>
              </w:tcPr>
              <w:p w14:paraId="5965938B" w14:textId="6A35AD73"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2.05%</w:t>
                </w:r>
              </w:p>
            </w:tc>
            <w:tc>
              <w:tcPr>
                <w:tcW w:w="302" w:type="pct"/>
                <w:shd w:val="clear" w:color="auto" w:fill="FFFFFF" w:themeFill="background2"/>
                <w:vAlign w:val="center"/>
              </w:tcPr>
              <w:p w14:paraId="28DA236C" w14:textId="08F05CD1"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1.10%</w:t>
                </w:r>
              </w:p>
            </w:tc>
            <w:tc>
              <w:tcPr>
                <w:tcW w:w="302" w:type="pct"/>
                <w:shd w:val="clear" w:color="auto" w:fill="FFFFFF" w:themeFill="background2"/>
                <w:vAlign w:val="center"/>
              </w:tcPr>
              <w:p w14:paraId="538DBD9A" w14:textId="20FA9CE4"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1.30%</w:t>
                </w:r>
              </w:p>
            </w:tc>
            <w:tc>
              <w:tcPr>
                <w:tcW w:w="302" w:type="pct"/>
                <w:shd w:val="clear" w:color="auto" w:fill="FFFFFF" w:themeFill="background2"/>
                <w:vAlign w:val="center"/>
              </w:tcPr>
              <w:p w14:paraId="7FAF8ED7" w14:textId="420B9594"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0.85%</w:t>
                </w:r>
              </w:p>
            </w:tc>
            <w:tc>
              <w:tcPr>
                <w:tcW w:w="301" w:type="pct"/>
                <w:shd w:val="clear" w:color="auto" w:fill="FFFFFF" w:themeFill="background2"/>
                <w:vAlign w:val="center"/>
              </w:tcPr>
              <w:p w14:paraId="0D07BC67" w14:textId="3F7057EB" w:rsidR="00AA3B54" w:rsidRPr="00B80369" w:rsidRDefault="00AA3B54"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0.66%</w:t>
                </w:r>
              </w:p>
            </w:tc>
            <w:tc>
              <w:tcPr>
                <w:tcW w:w="301" w:type="pct"/>
                <w:shd w:val="clear" w:color="auto" w:fill="FFFFFF" w:themeFill="background2"/>
                <w:vAlign w:val="center"/>
              </w:tcPr>
              <w:p w14:paraId="7CD37D47" w14:textId="44A61AA1" w:rsidR="00AA3B54" w:rsidRPr="00B80369" w:rsidRDefault="00AA3B54"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0.47%</w:t>
                </w:r>
              </w:p>
            </w:tc>
            <w:tc>
              <w:tcPr>
                <w:tcW w:w="301" w:type="pct"/>
                <w:shd w:val="clear" w:color="auto" w:fill="FFFFFF" w:themeFill="background2"/>
                <w:vAlign w:val="center"/>
              </w:tcPr>
              <w:p w14:paraId="587A0008" w14:textId="5D06934F"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0.31%</w:t>
                </w:r>
              </w:p>
            </w:tc>
            <w:tc>
              <w:tcPr>
                <w:tcW w:w="301" w:type="pct"/>
                <w:shd w:val="clear" w:color="auto" w:fill="FFFFFF" w:themeFill="background2"/>
                <w:vAlign w:val="center"/>
              </w:tcPr>
              <w:p w14:paraId="5B601AD5" w14:textId="7CAC16C7"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325" w:type="pct"/>
                <w:shd w:val="clear" w:color="auto" w:fill="FFFFFF" w:themeFill="background2"/>
                <w:vAlign w:val="center"/>
              </w:tcPr>
              <w:p w14:paraId="10F234C0" w14:textId="77777777"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r>
          <w:tr w:rsidR="00AA3B54" w:rsidRPr="00B80369" w14:paraId="07A380D8"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0A7A9974" w14:textId="77777777" w:rsidR="00AA3B54" w:rsidRPr="00B80369" w:rsidRDefault="00AA3B54"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B1.2</w:t>
                </w:r>
              </w:p>
            </w:tc>
            <w:tc>
              <w:tcPr>
                <w:tcW w:w="357" w:type="pct"/>
                <w:shd w:val="clear" w:color="auto" w:fill="FFFFFF" w:themeFill="background2"/>
                <w:tcMar>
                  <w:top w:w="60" w:type="dxa"/>
                  <w:left w:w="114" w:type="dxa"/>
                  <w:bottom w:w="60" w:type="dxa"/>
                  <w:right w:w="114" w:type="dxa"/>
                </w:tcMar>
                <w:vAlign w:val="center"/>
              </w:tcPr>
              <w:p w14:paraId="1C5DB901" w14:textId="609A1732"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2.56%</w:t>
                </w:r>
              </w:p>
            </w:tc>
            <w:tc>
              <w:tcPr>
                <w:tcW w:w="396" w:type="pct"/>
                <w:shd w:val="clear" w:color="auto" w:fill="FFFFFF" w:themeFill="background2"/>
                <w:tcMar>
                  <w:top w:w="60" w:type="dxa"/>
                  <w:left w:w="114" w:type="dxa"/>
                  <w:bottom w:w="60" w:type="dxa"/>
                  <w:right w:w="114" w:type="dxa"/>
                </w:tcMar>
                <w:vAlign w:val="center"/>
              </w:tcPr>
              <w:p w14:paraId="528F283D" w14:textId="3FF2EB6F"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2.68%</w:t>
                </w:r>
              </w:p>
            </w:tc>
            <w:tc>
              <w:tcPr>
                <w:tcW w:w="301" w:type="pct"/>
                <w:shd w:val="clear" w:color="auto" w:fill="FFFFFF" w:themeFill="background2"/>
                <w:vAlign w:val="center"/>
              </w:tcPr>
              <w:p w14:paraId="590793EF" w14:textId="38258386"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2.37%</w:t>
                </w:r>
              </w:p>
            </w:tc>
            <w:tc>
              <w:tcPr>
                <w:tcW w:w="301" w:type="pct"/>
                <w:shd w:val="clear" w:color="auto" w:fill="FFFFFF" w:themeFill="background2"/>
                <w:vAlign w:val="center"/>
              </w:tcPr>
              <w:p w14:paraId="12C3279F" w14:textId="5D9EB099"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5.18%</w:t>
                </w:r>
              </w:p>
            </w:tc>
            <w:tc>
              <w:tcPr>
                <w:tcW w:w="301" w:type="pct"/>
                <w:shd w:val="clear" w:color="auto" w:fill="FFFFFF" w:themeFill="background2"/>
                <w:vAlign w:val="center"/>
              </w:tcPr>
              <w:p w14:paraId="63D3B289" w14:textId="4402AFCE"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4.19%</w:t>
                </w:r>
              </w:p>
            </w:tc>
            <w:tc>
              <w:tcPr>
                <w:tcW w:w="301" w:type="pct"/>
                <w:shd w:val="clear" w:color="auto" w:fill="FFFFFF" w:themeFill="background2"/>
                <w:vAlign w:val="center"/>
              </w:tcPr>
              <w:p w14:paraId="4B751F50" w14:textId="6BB505DA"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4.83%</w:t>
                </w:r>
              </w:p>
            </w:tc>
            <w:tc>
              <w:tcPr>
                <w:tcW w:w="301" w:type="pct"/>
                <w:shd w:val="clear" w:color="auto" w:fill="FFFFFF" w:themeFill="background2"/>
                <w:vAlign w:val="center"/>
              </w:tcPr>
              <w:p w14:paraId="673F2F54" w14:textId="2F0D3316"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3.28%</w:t>
                </w:r>
              </w:p>
            </w:tc>
            <w:tc>
              <w:tcPr>
                <w:tcW w:w="302" w:type="pct"/>
                <w:shd w:val="clear" w:color="auto" w:fill="FFFFFF" w:themeFill="background2"/>
                <w:vAlign w:val="center"/>
              </w:tcPr>
              <w:p w14:paraId="7E079F99" w14:textId="1197E40C"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2.92%</w:t>
                </w:r>
              </w:p>
            </w:tc>
            <w:tc>
              <w:tcPr>
                <w:tcW w:w="302" w:type="pct"/>
                <w:shd w:val="clear" w:color="auto" w:fill="FFFFFF" w:themeFill="background2"/>
                <w:vAlign w:val="center"/>
              </w:tcPr>
              <w:p w14:paraId="0582BAFA" w14:textId="26906287"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1.74%</w:t>
                </w:r>
              </w:p>
            </w:tc>
            <w:tc>
              <w:tcPr>
                <w:tcW w:w="302" w:type="pct"/>
                <w:shd w:val="clear" w:color="auto" w:fill="FFFFFF" w:themeFill="background2"/>
                <w:vAlign w:val="center"/>
              </w:tcPr>
              <w:p w14:paraId="034BCF2F" w14:textId="59A32B26"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1.54%</w:t>
                </w:r>
              </w:p>
            </w:tc>
            <w:tc>
              <w:tcPr>
                <w:tcW w:w="301" w:type="pct"/>
                <w:shd w:val="clear" w:color="auto" w:fill="FFFFFF" w:themeFill="background2"/>
                <w:vAlign w:val="center"/>
              </w:tcPr>
              <w:p w14:paraId="0E57E0B2" w14:textId="1E90AB6B" w:rsidR="00AA3B54" w:rsidRPr="00B80369" w:rsidRDefault="00AA3B54"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1.38%</w:t>
                </w:r>
              </w:p>
            </w:tc>
            <w:tc>
              <w:tcPr>
                <w:tcW w:w="301" w:type="pct"/>
                <w:shd w:val="clear" w:color="auto" w:fill="FFFFFF" w:themeFill="background2"/>
                <w:vAlign w:val="center"/>
              </w:tcPr>
              <w:p w14:paraId="5C53BCFE" w14:textId="1C364C46" w:rsidR="00AA3B54" w:rsidRPr="00B80369" w:rsidRDefault="00AA3B54"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0.75%</w:t>
                </w:r>
              </w:p>
            </w:tc>
            <w:tc>
              <w:tcPr>
                <w:tcW w:w="301" w:type="pct"/>
                <w:shd w:val="clear" w:color="auto" w:fill="FFFFFF" w:themeFill="background2"/>
                <w:vAlign w:val="center"/>
              </w:tcPr>
              <w:p w14:paraId="13865330" w14:textId="7E3CF173"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0.69%</w:t>
                </w:r>
              </w:p>
            </w:tc>
            <w:tc>
              <w:tcPr>
                <w:tcW w:w="301" w:type="pct"/>
                <w:shd w:val="clear" w:color="auto" w:fill="FFFFFF" w:themeFill="background2"/>
                <w:vAlign w:val="center"/>
              </w:tcPr>
              <w:p w14:paraId="23321608" w14:textId="70F2CC39"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325" w:type="pct"/>
                <w:shd w:val="clear" w:color="auto" w:fill="FFFFFF" w:themeFill="background2"/>
                <w:vAlign w:val="center"/>
              </w:tcPr>
              <w:p w14:paraId="5383F038" w14:textId="77777777"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r>
          <w:tr w:rsidR="00AA3B54" w:rsidRPr="00B80369" w14:paraId="4AC261AA"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2692928C" w14:textId="77777777" w:rsidR="00AA3B54" w:rsidRPr="00B80369" w:rsidRDefault="00AA3B54"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B2.1</w:t>
                </w:r>
              </w:p>
            </w:tc>
            <w:tc>
              <w:tcPr>
                <w:tcW w:w="357" w:type="pct"/>
                <w:shd w:val="clear" w:color="auto" w:fill="FFFFFF" w:themeFill="background2"/>
                <w:tcMar>
                  <w:top w:w="60" w:type="dxa"/>
                  <w:left w:w="114" w:type="dxa"/>
                  <w:bottom w:w="60" w:type="dxa"/>
                  <w:right w:w="114" w:type="dxa"/>
                </w:tcMar>
                <w:vAlign w:val="center"/>
              </w:tcPr>
              <w:p w14:paraId="600CC18D" w14:textId="54E40D2B"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5.98%</w:t>
                </w:r>
              </w:p>
            </w:tc>
            <w:tc>
              <w:tcPr>
                <w:tcW w:w="396" w:type="pct"/>
                <w:shd w:val="clear" w:color="auto" w:fill="FFFFFF" w:themeFill="background2"/>
                <w:tcMar>
                  <w:top w:w="60" w:type="dxa"/>
                  <w:left w:w="114" w:type="dxa"/>
                  <w:bottom w:w="60" w:type="dxa"/>
                  <w:right w:w="114" w:type="dxa"/>
                </w:tcMar>
                <w:vAlign w:val="center"/>
              </w:tcPr>
              <w:p w14:paraId="646A1D01" w14:textId="05FE13A3"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6.07%</w:t>
                </w:r>
              </w:p>
            </w:tc>
            <w:tc>
              <w:tcPr>
                <w:tcW w:w="301" w:type="pct"/>
                <w:shd w:val="clear" w:color="auto" w:fill="FFFFFF" w:themeFill="background2"/>
                <w:vAlign w:val="center"/>
              </w:tcPr>
              <w:p w14:paraId="55E7A6F3" w14:textId="7143B352"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5.11%</w:t>
                </w:r>
              </w:p>
            </w:tc>
            <w:tc>
              <w:tcPr>
                <w:tcW w:w="301" w:type="pct"/>
                <w:shd w:val="clear" w:color="auto" w:fill="FFFFFF" w:themeFill="background2"/>
                <w:vAlign w:val="center"/>
              </w:tcPr>
              <w:p w14:paraId="32FC8E39" w14:textId="2A7B728A"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9.58%</w:t>
                </w:r>
              </w:p>
            </w:tc>
            <w:tc>
              <w:tcPr>
                <w:tcW w:w="301" w:type="pct"/>
                <w:shd w:val="clear" w:color="auto" w:fill="FFFFFF" w:themeFill="background2"/>
                <w:vAlign w:val="center"/>
              </w:tcPr>
              <w:p w14:paraId="1DE8E14C" w14:textId="7A3369A3"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7.70%</w:t>
                </w:r>
              </w:p>
            </w:tc>
            <w:tc>
              <w:tcPr>
                <w:tcW w:w="301" w:type="pct"/>
                <w:shd w:val="clear" w:color="auto" w:fill="FFFFFF" w:themeFill="background2"/>
                <w:vAlign w:val="center"/>
              </w:tcPr>
              <w:p w14:paraId="0A17EA1E" w14:textId="43D443E5"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7.48%</w:t>
                </w:r>
              </w:p>
            </w:tc>
            <w:tc>
              <w:tcPr>
                <w:tcW w:w="301" w:type="pct"/>
                <w:shd w:val="clear" w:color="auto" w:fill="FFFFFF" w:themeFill="background2"/>
                <w:vAlign w:val="center"/>
              </w:tcPr>
              <w:p w14:paraId="527D3BA4" w14:textId="724A40B3"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5.74%</w:t>
                </w:r>
              </w:p>
            </w:tc>
            <w:tc>
              <w:tcPr>
                <w:tcW w:w="302" w:type="pct"/>
                <w:shd w:val="clear" w:color="auto" w:fill="FFFFFF" w:themeFill="background2"/>
                <w:vAlign w:val="center"/>
              </w:tcPr>
              <w:p w14:paraId="2965EC01" w14:textId="306B6499"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5.25%</w:t>
                </w:r>
              </w:p>
            </w:tc>
            <w:tc>
              <w:tcPr>
                <w:tcW w:w="302" w:type="pct"/>
                <w:shd w:val="clear" w:color="auto" w:fill="FFFFFF" w:themeFill="background2"/>
                <w:vAlign w:val="center"/>
              </w:tcPr>
              <w:p w14:paraId="461BABA5" w14:textId="2C8195CD"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3.28%</w:t>
                </w:r>
              </w:p>
            </w:tc>
            <w:tc>
              <w:tcPr>
                <w:tcW w:w="302" w:type="pct"/>
                <w:shd w:val="clear" w:color="auto" w:fill="FFFFFF" w:themeFill="background2"/>
                <w:vAlign w:val="center"/>
              </w:tcPr>
              <w:p w14:paraId="2E94A525" w14:textId="3641594D"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3.39%</w:t>
                </w:r>
              </w:p>
            </w:tc>
            <w:tc>
              <w:tcPr>
                <w:tcW w:w="301" w:type="pct"/>
                <w:shd w:val="clear" w:color="auto" w:fill="FFFFFF" w:themeFill="background2"/>
                <w:vAlign w:val="center"/>
              </w:tcPr>
              <w:p w14:paraId="17904BDE" w14:textId="4E092B68" w:rsidR="00AA3B54" w:rsidRPr="00B80369" w:rsidRDefault="00AA3B54"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3.07%</w:t>
                </w:r>
              </w:p>
            </w:tc>
            <w:tc>
              <w:tcPr>
                <w:tcW w:w="301" w:type="pct"/>
                <w:shd w:val="clear" w:color="auto" w:fill="FFFFFF" w:themeFill="background2"/>
                <w:vAlign w:val="center"/>
              </w:tcPr>
              <w:p w14:paraId="15BB4BCF" w14:textId="49D3D33B" w:rsidR="00AA3B54" w:rsidRPr="00B80369" w:rsidRDefault="00AA3B54"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1.60%</w:t>
                </w:r>
              </w:p>
            </w:tc>
            <w:tc>
              <w:tcPr>
                <w:tcW w:w="301" w:type="pct"/>
                <w:shd w:val="clear" w:color="auto" w:fill="FFFFFF" w:themeFill="background2"/>
                <w:vAlign w:val="center"/>
              </w:tcPr>
              <w:p w14:paraId="4D57F49A" w14:textId="0842197A"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1.17%</w:t>
                </w:r>
              </w:p>
            </w:tc>
            <w:tc>
              <w:tcPr>
                <w:tcW w:w="301" w:type="pct"/>
                <w:shd w:val="clear" w:color="auto" w:fill="FFFFFF" w:themeFill="background2"/>
                <w:vAlign w:val="center"/>
              </w:tcPr>
              <w:p w14:paraId="424F9ED2" w14:textId="2D919155"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325" w:type="pct"/>
                <w:shd w:val="clear" w:color="auto" w:fill="FFFFFF" w:themeFill="background2"/>
                <w:vAlign w:val="center"/>
              </w:tcPr>
              <w:p w14:paraId="038CC731" w14:textId="77777777"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r>
          <w:tr w:rsidR="00AA3B54" w:rsidRPr="00B80369" w14:paraId="1B099000"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1E299FCF" w14:textId="77777777" w:rsidR="00AA3B54" w:rsidRPr="00B80369" w:rsidRDefault="00AA3B54"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B2.2</w:t>
                </w:r>
              </w:p>
            </w:tc>
            <w:tc>
              <w:tcPr>
                <w:tcW w:w="357" w:type="pct"/>
                <w:shd w:val="clear" w:color="auto" w:fill="FFFFFF" w:themeFill="background2"/>
                <w:tcMar>
                  <w:top w:w="60" w:type="dxa"/>
                  <w:left w:w="114" w:type="dxa"/>
                  <w:bottom w:w="60" w:type="dxa"/>
                  <w:right w:w="114" w:type="dxa"/>
                </w:tcMar>
                <w:vAlign w:val="center"/>
              </w:tcPr>
              <w:p w14:paraId="3DE49500" w14:textId="6FEC1765"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11.13%</w:t>
                </w:r>
              </w:p>
            </w:tc>
            <w:tc>
              <w:tcPr>
                <w:tcW w:w="396" w:type="pct"/>
                <w:shd w:val="clear" w:color="auto" w:fill="FFFFFF" w:themeFill="background2"/>
                <w:tcMar>
                  <w:top w:w="60" w:type="dxa"/>
                  <w:left w:w="114" w:type="dxa"/>
                  <w:bottom w:w="60" w:type="dxa"/>
                  <w:right w:w="114" w:type="dxa"/>
                </w:tcMar>
                <w:vAlign w:val="center"/>
              </w:tcPr>
              <w:p w14:paraId="053501D0" w14:textId="750F2B7E"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11.52%</w:t>
                </w:r>
              </w:p>
            </w:tc>
            <w:tc>
              <w:tcPr>
                <w:tcW w:w="301" w:type="pct"/>
                <w:shd w:val="clear" w:color="auto" w:fill="FFFFFF" w:themeFill="background2"/>
                <w:vAlign w:val="center"/>
              </w:tcPr>
              <w:p w14:paraId="5D932FC0" w14:textId="5E4591A3"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10.61%</w:t>
                </w:r>
              </w:p>
            </w:tc>
            <w:tc>
              <w:tcPr>
                <w:tcW w:w="301" w:type="pct"/>
                <w:shd w:val="clear" w:color="auto" w:fill="FFFFFF" w:themeFill="background2"/>
                <w:vAlign w:val="center"/>
              </w:tcPr>
              <w:p w14:paraId="729BB283" w14:textId="122293FE"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15.45%</w:t>
                </w:r>
              </w:p>
            </w:tc>
            <w:tc>
              <w:tcPr>
                <w:tcW w:w="301" w:type="pct"/>
                <w:shd w:val="clear" w:color="auto" w:fill="FFFFFF" w:themeFill="background2"/>
                <w:vAlign w:val="center"/>
              </w:tcPr>
              <w:p w14:paraId="5A1C3CA8" w14:textId="74CBC9D8"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14.64%</w:t>
                </w:r>
              </w:p>
            </w:tc>
            <w:tc>
              <w:tcPr>
                <w:tcW w:w="301" w:type="pct"/>
                <w:shd w:val="clear" w:color="auto" w:fill="FFFFFF" w:themeFill="background2"/>
                <w:vAlign w:val="center"/>
              </w:tcPr>
              <w:p w14:paraId="084FD69F" w14:textId="52DC47BF"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12.56%</w:t>
                </w:r>
              </w:p>
            </w:tc>
            <w:tc>
              <w:tcPr>
                <w:tcW w:w="301" w:type="pct"/>
                <w:shd w:val="clear" w:color="auto" w:fill="FFFFFF" w:themeFill="background2"/>
                <w:vAlign w:val="center"/>
              </w:tcPr>
              <w:p w14:paraId="79E94037" w14:textId="4D3E2B6B"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9.32%</w:t>
                </w:r>
              </w:p>
            </w:tc>
            <w:tc>
              <w:tcPr>
                <w:tcW w:w="302" w:type="pct"/>
                <w:shd w:val="clear" w:color="auto" w:fill="FFFFFF" w:themeFill="background2"/>
                <w:vAlign w:val="center"/>
              </w:tcPr>
              <w:p w14:paraId="04516F80" w14:textId="5EC3D4A8"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7.95%</w:t>
                </w:r>
              </w:p>
            </w:tc>
            <w:tc>
              <w:tcPr>
                <w:tcW w:w="302" w:type="pct"/>
                <w:shd w:val="clear" w:color="auto" w:fill="FFFFFF" w:themeFill="background2"/>
                <w:vAlign w:val="center"/>
              </w:tcPr>
              <w:p w14:paraId="432F3C2B" w14:textId="4938445B"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5.99%</w:t>
                </w:r>
              </w:p>
            </w:tc>
            <w:tc>
              <w:tcPr>
                <w:tcW w:w="302" w:type="pct"/>
                <w:shd w:val="clear" w:color="auto" w:fill="FFFFFF" w:themeFill="background2"/>
                <w:vAlign w:val="center"/>
              </w:tcPr>
              <w:p w14:paraId="06242015" w14:textId="28B3F568"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5.18%</w:t>
                </w:r>
              </w:p>
            </w:tc>
            <w:tc>
              <w:tcPr>
                <w:tcW w:w="301" w:type="pct"/>
                <w:shd w:val="clear" w:color="auto" w:fill="FFFFFF" w:themeFill="background2"/>
                <w:vAlign w:val="center"/>
              </w:tcPr>
              <w:p w14:paraId="32EF6CAB" w14:textId="44B5A842" w:rsidR="00AA3B54" w:rsidRPr="00B80369" w:rsidRDefault="00AA3B54"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5.01%</w:t>
                </w:r>
              </w:p>
            </w:tc>
            <w:tc>
              <w:tcPr>
                <w:tcW w:w="301" w:type="pct"/>
                <w:shd w:val="clear" w:color="auto" w:fill="FFFFFF" w:themeFill="background2"/>
                <w:vAlign w:val="center"/>
              </w:tcPr>
              <w:p w14:paraId="2628A7F3" w14:textId="3B538705" w:rsidR="00AA3B54" w:rsidRPr="00B80369" w:rsidRDefault="00AA3B54"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3.57%</w:t>
                </w:r>
              </w:p>
            </w:tc>
            <w:tc>
              <w:tcPr>
                <w:tcW w:w="301" w:type="pct"/>
                <w:shd w:val="clear" w:color="auto" w:fill="FFFFFF" w:themeFill="background2"/>
                <w:vAlign w:val="center"/>
              </w:tcPr>
              <w:p w14:paraId="00BFE83A" w14:textId="05351939"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2.34%</w:t>
                </w:r>
              </w:p>
            </w:tc>
            <w:tc>
              <w:tcPr>
                <w:tcW w:w="301" w:type="pct"/>
                <w:shd w:val="clear" w:color="auto" w:fill="FFFFFF" w:themeFill="background2"/>
                <w:vAlign w:val="center"/>
              </w:tcPr>
              <w:p w14:paraId="5D3CAF78" w14:textId="44812FA3"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325" w:type="pct"/>
                <w:shd w:val="clear" w:color="auto" w:fill="FFFFFF" w:themeFill="background2"/>
                <w:vAlign w:val="center"/>
              </w:tcPr>
              <w:p w14:paraId="7C24637C" w14:textId="77777777"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r>
          <w:tr w:rsidR="00AA3B54" w:rsidRPr="00B80369" w14:paraId="34BBD8FD"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58E5FE87" w14:textId="77777777" w:rsidR="00AA3B54" w:rsidRPr="00B80369" w:rsidRDefault="00AA3B54"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C1.1</w:t>
                </w:r>
              </w:p>
            </w:tc>
            <w:tc>
              <w:tcPr>
                <w:tcW w:w="357" w:type="pct"/>
                <w:shd w:val="clear" w:color="auto" w:fill="FFFFFF" w:themeFill="background2"/>
                <w:tcMar>
                  <w:top w:w="60" w:type="dxa"/>
                  <w:left w:w="114" w:type="dxa"/>
                  <w:bottom w:w="60" w:type="dxa"/>
                  <w:right w:w="114" w:type="dxa"/>
                </w:tcMar>
                <w:vAlign w:val="center"/>
              </w:tcPr>
              <w:p w14:paraId="0A627988" w14:textId="6A6045F8"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20.32%</w:t>
                </w:r>
              </w:p>
            </w:tc>
            <w:tc>
              <w:tcPr>
                <w:tcW w:w="396" w:type="pct"/>
                <w:shd w:val="clear" w:color="auto" w:fill="FFFFFF" w:themeFill="background2"/>
                <w:tcMar>
                  <w:top w:w="60" w:type="dxa"/>
                  <w:left w:w="114" w:type="dxa"/>
                  <w:bottom w:w="60" w:type="dxa"/>
                  <w:right w:w="114" w:type="dxa"/>
                </w:tcMar>
                <w:vAlign w:val="center"/>
              </w:tcPr>
              <w:p w14:paraId="7EDD0CE0" w14:textId="020C04AC"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18.51%</w:t>
                </w:r>
              </w:p>
            </w:tc>
            <w:tc>
              <w:tcPr>
                <w:tcW w:w="301" w:type="pct"/>
                <w:shd w:val="clear" w:color="auto" w:fill="FFFFFF" w:themeFill="background2"/>
                <w:vAlign w:val="center"/>
              </w:tcPr>
              <w:p w14:paraId="0143EF9B" w14:textId="264DD37B"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16.30%</w:t>
                </w:r>
              </w:p>
            </w:tc>
            <w:tc>
              <w:tcPr>
                <w:tcW w:w="301" w:type="pct"/>
                <w:shd w:val="clear" w:color="auto" w:fill="FFFFFF" w:themeFill="background2"/>
                <w:vAlign w:val="center"/>
              </w:tcPr>
              <w:p w14:paraId="264BB519" w14:textId="0C3B59F2"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23.51%</w:t>
                </w:r>
              </w:p>
            </w:tc>
            <w:tc>
              <w:tcPr>
                <w:tcW w:w="301" w:type="pct"/>
                <w:shd w:val="clear" w:color="auto" w:fill="FFFFFF" w:themeFill="background2"/>
                <w:vAlign w:val="center"/>
              </w:tcPr>
              <w:p w14:paraId="416F44DE" w14:textId="1333A620"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24.35%</w:t>
                </w:r>
              </w:p>
            </w:tc>
            <w:tc>
              <w:tcPr>
                <w:tcW w:w="301" w:type="pct"/>
                <w:shd w:val="clear" w:color="auto" w:fill="FFFFFF" w:themeFill="background2"/>
                <w:vAlign w:val="center"/>
              </w:tcPr>
              <w:p w14:paraId="64B1D43F" w14:textId="17083FA4"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21.35%</w:t>
                </w:r>
              </w:p>
            </w:tc>
            <w:tc>
              <w:tcPr>
                <w:tcW w:w="301" w:type="pct"/>
                <w:shd w:val="clear" w:color="auto" w:fill="FFFFFF" w:themeFill="background2"/>
                <w:vAlign w:val="center"/>
              </w:tcPr>
              <w:p w14:paraId="15286415" w14:textId="2C6DF4C7"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14.86%</w:t>
                </w:r>
              </w:p>
            </w:tc>
            <w:tc>
              <w:tcPr>
                <w:tcW w:w="302" w:type="pct"/>
                <w:shd w:val="clear" w:color="auto" w:fill="FFFFFF" w:themeFill="background2"/>
                <w:vAlign w:val="center"/>
              </w:tcPr>
              <w:p w14:paraId="49944262" w14:textId="688D914D"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11.95%</w:t>
                </w:r>
              </w:p>
            </w:tc>
            <w:tc>
              <w:tcPr>
                <w:tcW w:w="302" w:type="pct"/>
                <w:shd w:val="clear" w:color="auto" w:fill="FFFFFF" w:themeFill="background2"/>
                <w:vAlign w:val="center"/>
              </w:tcPr>
              <w:p w14:paraId="57C391C0" w14:textId="5DCAF7C4"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9.61%</w:t>
                </w:r>
              </w:p>
            </w:tc>
            <w:tc>
              <w:tcPr>
                <w:tcW w:w="302" w:type="pct"/>
                <w:shd w:val="clear" w:color="auto" w:fill="FFFFFF" w:themeFill="background2"/>
                <w:vAlign w:val="center"/>
              </w:tcPr>
              <w:p w14:paraId="04BB5F06" w14:textId="04781153"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8.84%</w:t>
                </w:r>
              </w:p>
            </w:tc>
            <w:tc>
              <w:tcPr>
                <w:tcW w:w="301" w:type="pct"/>
                <w:shd w:val="clear" w:color="auto" w:fill="FFFFFF" w:themeFill="background2"/>
                <w:vAlign w:val="center"/>
              </w:tcPr>
              <w:p w14:paraId="23392EB7" w14:textId="068FA80A" w:rsidR="00AA3B54" w:rsidRPr="00B80369" w:rsidRDefault="00AA3B54"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7.18%</w:t>
                </w:r>
              </w:p>
            </w:tc>
            <w:tc>
              <w:tcPr>
                <w:tcW w:w="301" w:type="pct"/>
                <w:shd w:val="clear" w:color="auto" w:fill="FFFFFF" w:themeFill="background2"/>
                <w:vAlign w:val="center"/>
              </w:tcPr>
              <w:p w14:paraId="63C1EB89" w14:textId="1A47DFB5" w:rsidR="00AA3B54" w:rsidRPr="00B80369" w:rsidRDefault="00AA3B54"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5.75%</w:t>
                </w:r>
              </w:p>
            </w:tc>
            <w:tc>
              <w:tcPr>
                <w:tcW w:w="301" w:type="pct"/>
                <w:shd w:val="clear" w:color="auto" w:fill="FFFFFF" w:themeFill="background2"/>
                <w:vAlign w:val="center"/>
              </w:tcPr>
              <w:p w14:paraId="2175C46F" w14:textId="51E54697"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3.78%</w:t>
                </w:r>
              </w:p>
            </w:tc>
            <w:tc>
              <w:tcPr>
                <w:tcW w:w="301" w:type="pct"/>
                <w:shd w:val="clear" w:color="auto" w:fill="FFFFFF" w:themeFill="background2"/>
                <w:vAlign w:val="center"/>
              </w:tcPr>
              <w:p w14:paraId="3DFD8BC0" w14:textId="2B0D5E2D"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325" w:type="pct"/>
                <w:shd w:val="clear" w:color="auto" w:fill="FFFFFF" w:themeFill="background2"/>
                <w:vAlign w:val="center"/>
              </w:tcPr>
              <w:p w14:paraId="42E70BC8" w14:textId="77777777"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r>
          <w:tr w:rsidR="00AA3B54" w:rsidRPr="00B80369" w14:paraId="310898BD"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258039E1" w14:textId="77777777" w:rsidR="00AA3B54" w:rsidRPr="00B80369" w:rsidRDefault="00AA3B54"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C1.2</w:t>
                </w:r>
              </w:p>
            </w:tc>
            <w:tc>
              <w:tcPr>
                <w:tcW w:w="357" w:type="pct"/>
                <w:shd w:val="clear" w:color="auto" w:fill="FFFFFF" w:themeFill="background2"/>
                <w:tcMar>
                  <w:top w:w="60" w:type="dxa"/>
                  <w:left w:w="114" w:type="dxa"/>
                  <w:bottom w:w="60" w:type="dxa"/>
                  <w:right w:w="114" w:type="dxa"/>
                </w:tcMar>
                <w:vAlign w:val="center"/>
              </w:tcPr>
              <w:p w14:paraId="433929A8" w14:textId="7574A127"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37.16%</w:t>
                </w:r>
              </w:p>
            </w:tc>
            <w:tc>
              <w:tcPr>
                <w:tcW w:w="396" w:type="pct"/>
                <w:shd w:val="clear" w:color="auto" w:fill="FFFFFF" w:themeFill="background2"/>
                <w:tcMar>
                  <w:top w:w="60" w:type="dxa"/>
                  <w:left w:w="114" w:type="dxa"/>
                  <w:bottom w:w="60" w:type="dxa"/>
                  <w:right w:w="114" w:type="dxa"/>
                </w:tcMar>
                <w:vAlign w:val="center"/>
              </w:tcPr>
              <w:p w14:paraId="02FFDF5C" w14:textId="2FB7EC28"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34.71%</w:t>
                </w:r>
              </w:p>
            </w:tc>
            <w:tc>
              <w:tcPr>
                <w:tcW w:w="301" w:type="pct"/>
                <w:shd w:val="clear" w:color="auto" w:fill="FFFFFF" w:themeFill="background2"/>
                <w:vAlign w:val="center"/>
              </w:tcPr>
              <w:p w14:paraId="2D289148" w14:textId="0F4F0D37"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28.10%</w:t>
                </w:r>
              </w:p>
            </w:tc>
            <w:tc>
              <w:tcPr>
                <w:tcW w:w="301" w:type="pct"/>
                <w:shd w:val="clear" w:color="auto" w:fill="FFFFFF" w:themeFill="background2"/>
                <w:vAlign w:val="center"/>
              </w:tcPr>
              <w:p w14:paraId="085A4E3B" w14:textId="24B0DF14"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39.27%</w:t>
                </w:r>
              </w:p>
            </w:tc>
            <w:tc>
              <w:tcPr>
                <w:tcW w:w="301" w:type="pct"/>
                <w:shd w:val="clear" w:color="auto" w:fill="FFFFFF" w:themeFill="background2"/>
                <w:vAlign w:val="center"/>
              </w:tcPr>
              <w:p w14:paraId="0B77D41A" w14:textId="0D7F7583"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41.01%</w:t>
                </w:r>
              </w:p>
            </w:tc>
            <w:tc>
              <w:tcPr>
                <w:tcW w:w="301" w:type="pct"/>
                <w:shd w:val="clear" w:color="auto" w:fill="FFFFFF" w:themeFill="background2"/>
                <w:vAlign w:val="center"/>
              </w:tcPr>
              <w:p w14:paraId="0F10926F" w14:textId="3FC07D45"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26.84%</w:t>
                </w:r>
              </w:p>
            </w:tc>
            <w:tc>
              <w:tcPr>
                <w:tcW w:w="301" w:type="pct"/>
                <w:shd w:val="clear" w:color="auto" w:fill="FFFFFF" w:themeFill="background2"/>
                <w:vAlign w:val="center"/>
              </w:tcPr>
              <w:p w14:paraId="09CE6D84" w14:textId="52241F92"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20.23%</w:t>
                </w:r>
              </w:p>
            </w:tc>
            <w:tc>
              <w:tcPr>
                <w:tcW w:w="302" w:type="pct"/>
                <w:shd w:val="clear" w:color="auto" w:fill="FFFFFF" w:themeFill="background2"/>
                <w:vAlign w:val="center"/>
              </w:tcPr>
              <w:p w14:paraId="4F4C157A" w14:textId="6BBB0EF9"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21.29%</w:t>
                </w:r>
              </w:p>
            </w:tc>
            <w:tc>
              <w:tcPr>
                <w:tcW w:w="302" w:type="pct"/>
                <w:shd w:val="clear" w:color="auto" w:fill="FFFFFF" w:themeFill="background2"/>
                <w:vAlign w:val="center"/>
              </w:tcPr>
              <w:p w14:paraId="34E0CFD3" w14:textId="12F1D0A1"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14.39%</w:t>
                </w:r>
              </w:p>
            </w:tc>
            <w:tc>
              <w:tcPr>
                <w:tcW w:w="302" w:type="pct"/>
                <w:shd w:val="clear" w:color="auto" w:fill="FFFFFF" w:themeFill="background2"/>
                <w:vAlign w:val="center"/>
              </w:tcPr>
              <w:p w14:paraId="2F9197B6" w14:textId="091F5791"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13.78%</w:t>
                </w:r>
              </w:p>
            </w:tc>
            <w:tc>
              <w:tcPr>
                <w:tcW w:w="301" w:type="pct"/>
                <w:shd w:val="clear" w:color="auto" w:fill="FFFFFF" w:themeFill="background2"/>
                <w:vAlign w:val="center"/>
              </w:tcPr>
              <w:p w14:paraId="7F75F495" w14:textId="4AAD5898" w:rsidR="00AA3B54" w:rsidRPr="00B80369" w:rsidRDefault="00AA3B54"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16.55%</w:t>
                </w:r>
              </w:p>
            </w:tc>
            <w:tc>
              <w:tcPr>
                <w:tcW w:w="301" w:type="pct"/>
                <w:shd w:val="clear" w:color="auto" w:fill="FFFFFF" w:themeFill="background2"/>
                <w:vAlign w:val="center"/>
              </w:tcPr>
              <w:p w14:paraId="6B3505AB" w14:textId="07E9C43E" w:rsidR="00AA3B54" w:rsidRPr="00B80369" w:rsidRDefault="00AA3B54"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6.93%</w:t>
                </w:r>
              </w:p>
            </w:tc>
            <w:tc>
              <w:tcPr>
                <w:tcW w:w="301" w:type="pct"/>
                <w:shd w:val="clear" w:color="auto" w:fill="FFFFFF" w:themeFill="background2"/>
                <w:vAlign w:val="center"/>
              </w:tcPr>
              <w:p w14:paraId="6C274F9A" w14:textId="083274A8"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6.36%</w:t>
                </w:r>
              </w:p>
            </w:tc>
            <w:tc>
              <w:tcPr>
                <w:tcW w:w="301" w:type="pct"/>
                <w:shd w:val="clear" w:color="auto" w:fill="FFFFFF" w:themeFill="background2"/>
                <w:vAlign w:val="center"/>
              </w:tcPr>
              <w:p w14:paraId="3B25C919" w14:textId="3AE2B5A5"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325" w:type="pct"/>
                <w:shd w:val="clear" w:color="auto" w:fill="FFFFFF" w:themeFill="background2"/>
                <w:vAlign w:val="center"/>
              </w:tcPr>
              <w:p w14:paraId="33A08B31" w14:textId="77777777"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r>
          <w:tr w:rsidR="00AA3B54" w:rsidRPr="00B80369" w14:paraId="6BD9D0E0"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31D85E82" w14:textId="77777777" w:rsidR="00AA3B54" w:rsidRPr="00B80369" w:rsidRDefault="00AA3B54"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C2.1</w:t>
                </w:r>
              </w:p>
            </w:tc>
            <w:tc>
              <w:tcPr>
                <w:tcW w:w="357" w:type="pct"/>
                <w:shd w:val="clear" w:color="auto" w:fill="FFFFFF" w:themeFill="background2"/>
                <w:tcMar>
                  <w:top w:w="60" w:type="dxa"/>
                  <w:left w:w="114" w:type="dxa"/>
                  <w:bottom w:w="60" w:type="dxa"/>
                  <w:right w:w="114" w:type="dxa"/>
                </w:tcMar>
                <w:vAlign w:val="center"/>
              </w:tcPr>
              <w:p w14:paraId="54AE5E84" w14:textId="3D170605"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72.32%</w:t>
                </w:r>
              </w:p>
            </w:tc>
            <w:tc>
              <w:tcPr>
                <w:tcW w:w="396" w:type="pct"/>
                <w:shd w:val="clear" w:color="auto" w:fill="FFFFFF" w:themeFill="background2"/>
                <w:tcMar>
                  <w:top w:w="60" w:type="dxa"/>
                  <w:left w:w="114" w:type="dxa"/>
                  <w:bottom w:w="60" w:type="dxa"/>
                  <w:right w:w="114" w:type="dxa"/>
                </w:tcMar>
                <w:vAlign w:val="center"/>
              </w:tcPr>
              <w:p w14:paraId="406CDE1F" w14:textId="61E72561"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66.51%</w:t>
                </w:r>
              </w:p>
            </w:tc>
            <w:tc>
              <w:tcPr>
                <w:tcW w:w="301" w:type="pct"/>
                <w:shd w:val="clear" w:color="auto" w:fill="FFFFFF" w:themeFill="background2"/>
                <w:vAlign w:val="center"/>
              </w:tcPr>
              <w:p w14:paraId="2B9221E1" w14:textId="245F567E"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56.43%</w:t>
                </w:r>
              </w:p>
            </w:tc>
            <w:tc>
              <w:tcPr>
                <w:tcW w:w="301" w:type="pct"/>
                <w:shd w:val="clear" w:color="auto" w:fill="FFFFFF" w:themeFill="background2"/>
                <w:vAlign w:val="center"/>
              </w:tcPr>
              <w:p w14:paraId="202A8DAE" w14:textId="42A3FD4D"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62.67%</w:t>
                </w:r>
              </w:p>
            </w:tc>
            <w:tc>
              <w:tcPr>
                <w:tcW w:w="301" w:type="pct"/>
                <w:shd w:val="clear" w:color="auto" w:fill="FFFFFF" w:themeFill="background2"/>
                <w:vAlign w:val="center"/>
              </w:tcPr>
              <w:p w14:paraId="1B8A16FE" w14:textId="368738CA"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75.35%</w:t>
                </w:r>
              </w:p>
            </w:tc>
            <w:tc>
              <w:tcPr>
                <w:tcW w:w="301" w:type="pct"/>
                <w:shd w:val="clear" w:color="auto" w:fill="FFFFFF" w:themeFill="background2"/>
                <w:vAlign w:val="center"/>
              </w:tcPr>
              <w:p w14:paraId="1BA0CC64" w14:textId="4E01CA30"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70.43%</w:t>
                </w:r>
              </w:p>
            </w:tc>
            <w:tc>
              <w:tcPr>
                <w:tcW w:w="301" w:type="pct"/>
                <w:shd w:val="clear" w:color="auto" w:fill="FFFFFF" w:themeFill="background2"/>
                <w:vAlign w:val="center"/>
              </w:tcPr>
              <w:p w14:paraId="02CDE210" w14:textId="32B90C66"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55.52%</w:t>
                </w:r>
              </w:p>
            </w:tc>
            <w:tc>
              <w:tcPr>
                <w:tcW w:w="302" w:type="pct"/>
                <w:shd w:val="clear" w:color="auto" w:fill="FFFFFF" w:themeFill="background2"/>
                <w:vAlign w:val="center"/>
              </w:tcPr>
              <w:p w14:paraId="2F662919" w14:textId="0266D93C"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60.79%</w:t>
                </w:r>
              </w:p>
            </w:tc>
            <w:tc>
              <w:tcPr>
                <w:tcW w:w="302" w:type="pct"/>
                <w:shd w:val="clear" w:color="auto" w:fill="FFFFFF" w:themeFill="background2"/>
                <w:vAlign w:val="center"/>
              </w:tcPr>
              <w:p w14:paraId="7D438124" w14:textId="6325809C"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46.97%</w:t>
                </w:r>
              </w:p>
            </w:tc>
            <w:tc>
              <w:tcPr>
                <w:tcW w:w="302" w:type="pct"/>
                <w:shd w:val="clear" w:color="auto" w:fill="FFFFFF" w:themeFill="background2"/>
                <w:vAlign w:val="center"/>
              </w:tcPr>
              <w:p w14:paraId="21BE49DA" w14:textId="64ADED85"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48.09%</w:t>
                </w:r>
              </w:p>
            </w:tc>
            <w:tc>
              <w:tcPr>
                <w:tcW w:w="301" w:type="pct"/>
                <w:shd w:val="clear" w:color="auto" w:fill="FFFFFF" w:themeFill="background2"/>
                <w:vAlign w:val="center"/>
              </w:tcPr>
              <w:p w14:paraId="1C23E8C5" w14:textId="1F2A3F8E" w:rsidR="00AA3B54" w:rsidRPr="00B80369" w:rsidRDefault="00AA3B54"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49.81%</w:t>
                </w:r>
              </w:p>
            </w:tc>
            <w:tc>
              <w:tcPr>
                <w:tcW w:w="301" w:type="pct"/>
                <w:shd w:val="clear" w:color="auto" w:fill="FFFFFF" w:themeFill="background2"/>
                <w:vAlign w:val="center"/>
              </w:tcPr>
              <w:p w14:paraId="28A5865D" w14:textId="2BBF58D5" w:rsidR="00AA3B54" w:rsidRPr="00B80369" w:rsidRDefault="00AA3B54"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48.50%</w:t>
                </w:r>
              </w:p>
            </w:tc>
            <w:tc>
              <w:tcPr>
                <w:tcW w:w="301" w:type="pct"/>
                <w:shd w:val="clear" w:color="auto" w:fill="FFFFFF" w:themeFill="background2"/>
                <w:vAlign w:val="center"/>
              </w:tcPr>
              <w:p w14:paraId="71206B7C" w14:textId="2E6E5753"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40.83%</w:t>
                </w:r>
              </w:p>
            </w:tc>
            <w:tc>
              <w:tcPr>
                <w:tcW w:w="301" w:type="pct"/>
                <w:shd w:val="clear" w:color="auto" w:fill="FFFFFF" w:themeFill="background2"/>
                <w:vAlign w:val="center"/>
              </w:tcPr>
              <w:p w14:paraId="03C85BC0" w14:textId="265F57DB"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325" w:type="pct"/>
                <w:shd w:val="clear" w:color="auto" w:fill="FFFFFF" w:themeFill="background2"/>
                <w:vAlign w:val="center"/>
              </w:tcPr>
              <w:p w14:paraId="38749736" w14:textId="77777777"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r>
          <w:tr w:rsidR="00AA3B54" w:rsidRPr="00B80369" w14:paraId="62562C2B" w14:textId="77777777" w:rsidTr="00B47881">
            <w:trPr>
              <w:trHeight w:val="227"/>
            </w:trPr>
            <w:tc>
              <w:tcPr>
                <w:tcW w:w="307" w:type="pct"/>
                <w:shd w:val="clear" w:color="auto" w:fill="FFFFFF" w:themeFill="background2"/>
                <w:tcMar>
                  <w:top w:w="60" w:type="dxa"/>
                  <w:left w:w="114" w:type="dxa"/>
                  <w:bottom w:w="60" w:type="dxa"/>
                  <w:right w:w="114" w:type="dxa"/>
                </w:tcMar>
                <w:vAlign w:val="center"/>
              </w:tcPr>
              <w:p w14:paraId="1E2F0E8C" w14:textId="77777777" w:rsidR="00AA3B54" w:rsidRPr="00B80369" w:rsidRDefault="00AA3B54" w:rsidP="00B80369">
                <w:pPr>
                  <w:spacing w:before="0" w:line="240" w:lineRule="auto"/>
                  <w:jc w:val="center"/>
                  <w:rPr>
                    <w:rFonts w:cs="Segoe UI"/>
                    <w:b/>
                    <w:bCs/>
                    <w:sz w:val="14"/>
                    <w:szCs w:val="14"/>
                    <w:lang w:eastAsia="it-IT"/>
                  </w:rPr>
                </w:pPr>
                <w:r w:rsidRPr="00B80369">
                  <w:rPr>
                    <w:rFonts w:cs="Segoe UI"/>
                    <w:b/>
                    <w:bCs/>
                    <w:sz w:val="14"/>
                    <w:szCs w:val="14"/>
                    <w:lang w:eastAsia="it-IT"/>
                  </w:rPr>
                  <w:t>TOTAL</w:t>
                </w:r>
              </w:p>
            </w:tc>
            <w:tc>
              <w:tcPr>
                <w:tcW w:w="357" w:type="pct"/>
                <w:shd w:val="clear" w:color="auto" w:fill="FFFFFF" w:themeFill="background2"/>
                <w:tcMar>
                  <w:top w:w="60" w:type="dxa"/>
                  <w:left w:w="114" w:type="dxa"/>
                  <w:bottom w:w="60" w:type="dxa"/>
                  <w:right w:w="114" w:type="dxa"/>
                </w:tcMar>
                <w:vAlign w:val="center"/>
              </w:tcPr>
              <w:p w14:paraId="0E4DDD5D" w14:textId="5FBD5936" w:rsidR="00AA3B54" w:rsidRPr="00B80369" w:rsidRDefault="00AA3B54"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10.90%</w:t>
                </w:r>
              </w:p>
            </w:tc>
            <w:tc>
              <w:tcPr>
                <w:tcW w:w="396" w:type="pct"/>
                <w:shd w:val="clear" w:color="auto" w:fill="FFFFFF" w:themeFill="background2"/>
                <w:tcMar>
                  <w:top w:w="60" w:type="dxa"/>
                  <w:left w:w="114" w:type="dxa"/>
                  <w:bottom w:w="60" w:type="dxa"/>
                  <w:right w:w="114" w:type="dxa"/>
                </w:tcMar>
                <w:vAlign w:val="center"/>
              </w:tcPr>
              <w:p w14:paraId="5C31FDB8" w14:textId="6CC2B272" w:rsidR="00AA3B54" w:rsidRPr="00B80369" w:rsidRDefault="00AA3B54"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9.90%</w:t>
                </w:r>
              </w:p>
            </w:tc>
            <w:tc>
              <w:tcPr>
                <w:tcW w:w="301" w:type="pct"/>
                <w:shd w:val="clear" w:color="auto" w:fill="FFFFFF" w:themeFill="background2"/>
                <w:vAlign w:val="center"/>
              </w:tcPr>
              <w:p w14:paraId="04DF59E2" w14:textId="5C2765C4" w:rsidR="00AA3B54" w:rsidRPr="00B80369" w:rsidRDefault="00AA3B54"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8.04%</w:t>
                </w:r>
              </w:p>
            </w:tc>
            <w:tc>
              <w:tcPr>
                <w:tcW w:w="301" w:type="pct"/>
                <w:shd w:val="clear" w:color="auto" w:fill="FFFFFF" w:themeFill="background2"/>
                <w:vAlign w:val="center"/>
              </w:tcPr>
              <w:p w14:paraId="0787E502" w14:textId="0A600DE7" w:rsidR="00AA3B54" w:rsidRPr="00B80369" w:rsidRDefault="00AA3B54"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9.88%</w:t>
                </w:r>
              </w:p>
            </w:tc>
            <w:tc>
              <w:tcPr>
                <w:tcW w:w="301" w:type="pct"/>
                <w:shd w:val="clear" w:color="auto" w:fill="FFFFFF" w:themeFill="background2"/>
                <w:vAlign w:val="center"/>
              </w:tcPr>
              <w:p w14:paraId="03693028" w14:textId="4491C823" w:rsidR="00AA3B54" w:rsidRPr="00B80369" w:rsidRDefault="00AA3B54"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9.29%</w:t>
                </w:r>
              </w:p>
            </w:tc>
            <w:tc>
              <w:tcPr>
                <w:tcW w:w="301" w:type="pct"/>
                <w:shd w:val="clear" w:color="auto" w:fill="FFFFFF" w:themeFill="background2"/>
                <w:vAlign w:val="center"/>
              </w:tcPr>
              <w:p w14:paraId="75692B5F" w14:textId="505FCDE0"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8.09%</w:t>
                </w:r>
              </w:p>
            </w:tc>
            <w:tc>
              <w:tcPr>
                <w:tcW w:w="301" w:type="pct"/>
                <w:shd w:val="clear" w:color="auto" w:fill="FFFFFF" w:themeFill="background2"/>
                <w:vAlign w:val="center"/>
              </w:tcPr>
              <w:p w14:paraId="5EB1C83B" w14:textId="2A788038" w:rsidR="00AA3B54" w:rsidRPr="00B80369" w:rsidRDefault="00AA3B54"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6.85%</w:t>
                </w:r>
              </w:p>
            </w:tc>
            <w:tc>
              <w:tcPr>
                <w:tcW w:w="302" w:type="pct"/>
                <w:shd w:val="clear" w:color="auto" w:fill="FFFFFF" w:themeFill="background2"/>
                <w:vAlign w:val="center"/>
              </w:tcPr>
              <w:p w14:paraId="655B6EDA" w14:textId="658C803B" w:rsidR="00AA3B54" w:rsidRPr="00B80369" w:rsidRDefault="00AA3B54"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5.56%</w:t>
                </w:r>
              </w:p>
            </w:tc>
            <w:tc>
              <w:tcPr>
                <w:tcW w:w="302" w:type="pct"/>
                <w:shd w:val="clear" w:color="auto" w:fill="FFFFFF" w:themeFill="background2"/>
                <w:vAlign w:val="center"/>
              </w:tcPr>
              <w:p w14:paraId="7FB87EDA" w14:textId="22D7FC08" w:rsidR="00AA3B54" w:rsidRPr="00B80369" w:rsidRDefault="00AA3B54"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4.08%</w:t>
                </w:r>
              </w:p>
            </w:tc>
            <w:tc>
              <w:tcPr>
                <w:tcW w:w="302" w:type="pct"/>
                <w:shd w:val="clear" w:color="auto" w:fill="FFFFFF" w:themeFill="background2"/>
                <w:vAlign w:val="center"/>
              </w:tcPr>
              <w:p w14:paraId="63E77358" w14:textId="55EC9441" w:rsidR="00AA3B54" w:rsidRPr="00B80369" w:rsidRDefault="00AA3B54"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3.68%</w:t>
                </w:r>
              </w:p>
            </w:tc>
            <w:tc>
              <w:tcPr>
                <w:tcW w:w="301" w:type="pct"/>
                <w:shd w:val="clear" w:color="auto" w:fill="FFFFFF" w:themeFill="background2"/>
                <w:vAlign w:val="center"/>
              </w:tcPr>
              <w:p w14:paraId="4140E470" w14:textId="57FDCB9B" w:rsidR="00AA3B54" w:rsidRPr="00B80369" w:rsidRDefault="00AA3B54"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3.08%</w:t>
                </w:r>
              </w:p>
            </w:tc>
            <w:tc>
              <w:tcPr>
                <w:tcW w:w="301" w:type="pct"/>
                <w:shd w:val="clear" w:color="auto" w:fill="FFFFFF" w:themeFill="background2"/>
                <w:vAlign w:val="center"/>
              </w:tcPr>
              <w:p w14:paraId="718884FC" w14:textId="3DFE16D2" w:rsidR="00AA3B54" w:rsidRPr="00B80369" w:rsidRDefault="00AA3B54"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1.88%</w:t>
                </w:r>
              </w:p>
            </w:tc>
            <w:tc>
              <w:tcPr>
                <w:tcW w:w="301" w:type="pct"/>
                <w:shd w:val="clear" w:color="auto" w:fill="FFFFFF" w:themeFill="background2"/>
                <w:vAlign w:val="center"/>
              </w:tcPr>
              <w:p w14:paraId="1D62B1C2" w14:textId="542AE190" w:rsidR="00AA3B54" w:rsidRPr="00B80369" w:rsidRDefault="00AA3B54"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1.69%</w:t>
                </w:r>
              </w:p>
            </w:tc>
            <w:tc>
              <w:tcPr>
                <w:tcW w:w="301" w:type="pct"/>
                <w:shd w:val="clear" w:color="auto" w:fill="FFFFFF" w:themeFill="background2"/>
                <w:vAlign w:val="center"/>
              </w:tcPr>
              <w:p w14:paraId="6E4A1CD7" w14:textId="32BA2907" w:rsidR="00AA3B54" w:rsidRPr="00B80369" w:rsidRDefault="00AA3B54"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w:t>
                </w:r>
              </w:p>
            </w:tc>
            <w:tc>
              <w:tcPr>
                <w:tcW w:w="325" w:type="pct"/>
                <w:shd w:val="clear" w:color="auto" w:fill="FFFFFF" w:themeFill="background2"/>
                <w:vAlign w:val="center"/>
              </w:tcPr>
              <w:p w14:paraId="2C415B3E" w14:textId="77777777" w:rsidR="00AA3B54" w:rsidRPr="00B80369" w:rsidRDefault="00AA3B54"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r>
        </w:tbl>
        <w:p w14:paraId="66EFC710" w14:textId="2BA89401" w:rsidR="006E6A05" w:rsidRPr="006E6A05" w:rsidRDefault="004101BF" w:rsidP="006E6A05">
          <w:pPr>
            <w:pStyle w:val="Didascalia"/>
            <w:rPr>
              <w:rFonts w:ascii="Segoe UI" w:hAnsi="Segoe UI" w:cs="Segoe UI"/>
              <w:i/>
              <w:sz w:val="14"/>
              <w:lang w:val="en-GB"/>
            </w:rPr>
          </w:pPr>
          <w:bookmarkStart w:id="164" w:name="_Toc130806348"/>
          <w:bookmarkStart w:id="165" w:name="_Toc166675689"/>
          <w:bookmarkStart w:id="166" w:name="_Toc167131816"/>
          <w:r w:rsidRPr="0032337D">
            <w:rPr>
              <w:rFonts w:ascii="Segoe UI" w:hAnsi="Segoe UI" w:cs="Segoe UI"/>
              <w:i/>
              <w:sz w:val="14"/>
              <w:lang w:val="en-GB"/>
            </w:rPr>
            <w:lastRenderedPageBreak/>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48</w:t>
          </w:r>
          <w:r>
            <w:rPr>
              <w:rFonts w:ascii="Segoe UI" w:hAnsi="Segoe UI" w:cs="Segoe UI"/>
              <w:i/>
              <w:sz w:val="14"/>
              <w:lang w:val="en-GB"/>
            </w:rPr>
            <w:fldChar w:fldCharType="end"/>
          </w:r>
          <w:r w:rsidRPr="0032337D">
            <w:rPr>
              <w:rFonts w:ascii="Segoe UI" w:hAnsi="Segoe UI" w:cs="Segoe UI"/>
              <w:i/>
              <w:sz w:val="14"/>
              <w:lang w:val="en-GB"/>
            </w:rPr>
            <w:t>: 4-Y default rates</w:t>
          </w:r>
          <w:bookmarkEnd w:id="164"/>
          <w:bookmarkEnd w:id="165"/>
          <w:bookmarkEnd w:id="166"/>
        </w:p>
        <w:tbl>
          <w:tblPr>
            <w:tblW w:w="5000" w:type="pct"/>
            <w:tblBorders>
              <w:top w:val="single" w:sz="4" w:space="0" w:color="AFAFB4" w:themeColor="accent4"/>
              <w:bottom w:val="single" w:sz="4" w:space="0" w:color="AFAFB4" w:themeColor="accent4"/>
              <w:insideH w:val="single" w:sz="4" w:space="0" w:color="AFAFB4" w:themeColor="accent4"/>
            </w:tblBorders>
            <w:shd w:val="clear" w:color="auto" w:fill="FFFFFF" w:themeFill="background2"/>
            <w:tblCellMar>
              <w:left w:w="0" w:type="dxa"/>
              <w:right w:w="0" w:type="dxa"/>
            </w:tblCellMar>
            <w:tblLook w:val="0620" w:firstRow="1" w:lastRow="0" w:firstColumn="0" w:lastColumn="0" w:noHBand="1" w:noVBand="1"/>
            <w:tblDescription w:val="{&quot;Ott&quot;:{&quot;FirstRow&quot;:{&quot;BackgroundColor&quot;:{&quot;Key&quot;:&quot;Light2&quot;},&quot;Font&quot;:{&quot;Name&quot;:&quot;Source Sans Pro&quot;,&quot;Size&quot;:14.0,&quot;Bold&quot;:false,&quot;Italic&quot;:false,&quot;Color&quot;:{&quot;Key&quot;:&quot;Dark2&quot;}},&quot;ExcelCellFormatting&quot;:&quot;General&quot;,&quot;Alignment&quot;:{&quot;Horizontal&quot;:&quot;Left&quot;,&quot;Vertical&quot;:&quot;Bottom&quot;},&quot;Borders&quot;:{&quot;Vertical&quot;:{&quot;Visible&quot;:false},&quot;Left&quot;:{&quot;Visible&quot;:false},&quot;Top&quot;:{&quot;Visible&quot;:false},&quot;Right&quot;:{&quot;Visible&quot;:false},&quot;Bottom&quot;:{&quot;Color&quot;:{&quot;Key&quot;:&quot;Accent4&quot;},&quot;BorderWeight&quot;:&quot;Pt1_5&quot;,&quot;Type&quot;:&quot;Solid&quot;,&quot;Visible&quot;:true}}},&quot;FitRowHeightPp&quot;:true,&quot;ZeroMarginsWord&quot;:true,&quot;BackgroundColor&quot;:{&quot;Key&quot;:&quot;Light2&quot;},&quot;Font&quot;:{&quot;Name&quot;:&quot;Source Sans Pro&quot;,&quot;Size&quot;:11.0,&quot;Bold&quot;:false,&quot;Italic&quot;:false,&quot;Color&quot;:{&quot;Key&quot;:&quot;Dark2&quot;}},&quot;LineSpacing&quot;:{&quot;Rule&quot;:&quot;Single&quot;},&quot;Alignment&quot;:{&quot;Horizontal&quot;:&quot;Left&quot;,&quot;Vertical&quot;:&quot;Top&quot;},&quot;Margin&quot;:{&quot;Left&quot;:5.7,&quot;Top&quot;:3.0,&quot;Right&quot;:5.7,&quot;Bottom&quot;:3.0},&quot;Borders&quot;:{&quot;Vertical&quot;:{&quot;Visible&quot;:false},&quot;Horizontal&quot;:{&quot;Color&quot;:{&quot;Key&quot;:&quot;Accent4&quot;},&quot;BorderWeight&quot;:&quot;Pt0_5&quot;,&quot;Type&quot;:&quot;Solid&quot;,&quot;Visible&quot;:true}},&quot;ParagraphSpacing&quot;:{&quot;SpaceBefore&quot;:2.0,&quot;SpaceAfter&quot;:2.0},&quot;ExcelWrapText&quot;:true},&quot;Ccs&quot;:{&quot;DarkBlue&quot;:&quot;0, 20, 55&quot;,&quot;Turquoise&quot;:&quot;0, 164, 230&quot;,&quot;Red&quot;:&quot;214, 70, 65&quot;,&quot;LightGrey&quot;:&quot;174, 174, 180&quot;,&quot;BlueGrey&quot;:&quot;77, 91, 115&quot;,&quot;IceBlue&quot;:&quot;178, 184, 195&quot;,&quot;Grey&quot;:&quot;145, 147, 153&quot;,&quot;Background&quot;:&quot;0, 0, 0, 0&quot;,&quot;White&quot;:&quot;White&quot;,&quot;Accent1&quot;:&quot;1, 1, 1, 1&quot;,&quot;Accent2&quot;:&quot;1, 1, 1, 2&quot;,&quot;Accent3&quot;:&quot;1, 1, 1, 3&quot;,&quot;Accent4&quot;:&quot;1, 1, 1, 4&quot;,&quot;Accent5&quot;:&quot;1, 1, 1, 5&quot;,&quot;Accent6&quot;:&quot;1, 1, 1, 6&quot;,&quot;Dark1&quot;:&quot;1, 1, 1, 7&quot;,&quot;Dark2&quot;:&quot;1, 1, 1, 9&quot;,&quot;Light1&quot;:&quot;1, 1, 1, 8&quot;,&quot;Light2&quot;:&quot;1, 1, 1, 10&quot;},&quot;Cop&quot;:{&quot;FirstRow&quot;:true,&quot;LastRow&quot;:false,&quot;FirstColumn&quot;:false,&quot;LastColumn&quot;:false,&quot;BandedRows&quot;:false,&quot;BandedColumns&quot;:false},&quot;Aaf&quot;:false}"/>
          </w:tblPr>
          <w:tblGrid>
            <w:gridCol w:w="635"/>
            <w:gridCol w:w="738"/>
            <w:gridCol w:w="820"/>
            <w:gridCol w:w="623"/>
            <w:gridCol w:w="623"/>
            <w:gridCol w:w="623"/>
            <w:gridCol w:w="623"/>
            <w:gridCol w:w="623"/>
            <w:gridCol w:w="625"/>
            <w:gridCol w:w="625"/>
            <w:gridCol w:w="625"/>
            <w:gridCol w:w="623"/>
            <w:gridCol w:w="623"/>
            <w:gridCol w:w="623"/>
            <w:gridCol w:w="623"/>
            <w:gridCol w:w="673"/>
          </w:tblGrid>
          <w:tr w:rsidR="006E6A05" w:rsidRPr="00B80369" w14:paraId="3D87C4CA" w14:textId="77777777" w:rsidTr="00B47881">
            <w:trPr>
              <w:trHeight w:val="227"/>
              <w:tblHeader/>
            </w:trPr>
            <w:tc>
              <w:tcPr>
                <w:tcW w:w="307" w:type="pct"/>
                <w:vMerge w:val="restar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4E5ABACE" w14:textId="77777777" w:rsidR="006E6A05" w:rsidRPr="00B80369" w:rsidRDefault="006E6A05" w:rsidP="00B80369">
                <w:pPr>
                  <w:spacing w:before="0" w:line="240" w:lineRule="auto"/>
                  <w:jc w:val="center"/>
                  <w:rPr>
                    <w:b/>
                    <w:color w:val="33A1AB" w:themeColor="accent2"/>
                    <w:sz w:val="14"/>
                    <w:szCs w:val="14"/>
                  </w:rPr>
                </w:pPr>
                <w:r w:rsidRPr="00B80369">
                  <w:rPr>
                    <w:b/>
                    <w:color w:val="33A1AB" w:themeColor="accent2"/>
                    <w:sz w:val="14"/>
                    <w:szCs w:val="14"/>
                  </w:rPr>
                  <w:t>Rating</w:t>
                </w:r>
              </w:p>
            </w:tc>
            <w:tc>
              <w:tcPr>
                <w:tcW w:w="4693" w:type="pct"/>
                <w:gridSpan w:val="15"/>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09BD4835" w14:textId="27244776" w:rsidR="006E6A05" w:rsidRPr="00B80369" w:rsidRDefault="002913FB" w:rsidP="00B80369">
                <w:pPr>
                  <w:spacing w:before="0" w:line="240" w:lineRule="auto"/>
                  <w:jc w:val="center"/>
                  <w:rPr>
                    <w:b/>
                    <w:color w:val="33A1AB" w:themeColor="accent2"/>
                    <w:sz w:val="14"/>
                    <w:szCs w:val="14"/>
                  </w:rPr>
                </w:pPr>
                <w:r w:rsidRPr="00B80369">
                  <w:rPr>
                    <w:b/>
                    <w:color w:val="33A1AB" w:themeColor="accent2"/>
                    <w:sz w:val="14"/>
                    <w:szCs w:val="14"/>
                  </w:rPr>
                  <w:t>4</w:t>
                </w:r>
                <w:r w:rsidR="006E6A05" w:rsidRPr="00B80369">
                  <w:rPr>
                    <w:b/>
                    <w:color w:val="33A1AB" w:themeColor="accent2"/>
                    <w:sz w:val="14"/>
                    <w:szCs w:val="14"/>
                  </w:rPr>
                  <w:t>-Y DEFAULT RATES</w:t>
                </w:r>
              </w:p>
            </w:tc>
          </w:tr>
          <w:tr w:rsidR="006E6A05" w:rsidRPr="00B80369" w14:paraId="617A05A6" w14:textId="77777777" w:rsidTr="00B47881">
            <w:trPr>
              <w:trHeight w:val="227"/>
              <w:tblHeader/>
            </w:trPr>
            <w:tc>
              <w:tcPr>
                <w:tcW w:w="307" w:type="pct"/>
                <w:vMerge/>
                <w:shd w:val="clear" w:color="auto" w:fill="FFFFFF" w:themeFill="background2"/>
                <w:tcMar>
                  <w:top w:w="60" w:type="dxa"/>
                  <w:left w:w="114" w:type="dxa"/>
                  <w:bottom w:w="60" w:type="dxa"/>
                  <w:right w:w="114" w:type="dxa"/>
                </w:tcMar>
                <w:vAlign w:val="center"/>
              </w:tcPr>
              <w:p w14:paraId="1C954151" w14:textId="77777777" w:rsidR="006E6A05" w:rsidRPr="00B80369" w:rsidRDefault="006E6A05" w:rsidP="00B80369">
                <w:pPr>
                  <w:spacing w:before="0" w:line="240" w:lineRule="auto"/>
                  <w:jc w:val="center"/>
                  <w:rPr>
                    <w:b/>
                    <w:color w:val="33A1AB" w:themeColor="accent2"/>
                    <w:sz w:val="14"/>
                    <w:szCs w:val="14"/>
                  </w:rPr>
                </w:pPr>
              </w:p>
            </w:tc>
            <w:tc>
              <w:tcPr>
                <w:tcW w:w="357"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24F7824A" w14:textId="77777777" w:rsidR="006E6A05" w:rsidRPr="00B80369" w:rsidRDefault="006E6A05" w:rsidP="00B80369">
                <w:pPr>
                  <w:spacing w:before="0" w:line="240" w:lineRule="auto"/>
                  <w:jc w:val="center"/>
                  <w:rPr>
                    <w:b/>
                    <w:color w:val="33A1AB" w:themeColor="accent2"/>
                    <w:sz w:val="14"/>
                    <w:szCs w:val="14"/>
                  </w:rPr>
                </w:pPr>
                <w:r w:rsidRPr="00B80369">
                  <w:rPr>
                    <w:b/>
                    <w:color w:val="33A1AB" w:themeColor="accent2"/>
                    <w:sz w:val="14"/>
                    <w:szCs w:val="14"/>
                  </w:rPr>
                  <w:t>31 Dec 2008</w:t>
                </w:r>
              </w:p>
            </w:tc>
            <w:tc>
              <w:tcPr>
                <w:tcW w:w="396"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464E1DC2" w14:textId="77777777" w:rsidR="006E6A05" w:rsidRPr="00B80369" w:rsidRDefault="006E6A05" w:rsidP="00B80369">
                <w:pPr>
                  <w:spacing w:before="0" w:line="240" w:lineRule="auto"/>
                  <w:jc w:val="center"/>
                  <w:rPr>
                    <w:b/>
                    <w:color w:val="33A1AB" w:themeColor="accent2"/>
                    <w:sz w:val="14"/>
                    <w:szCs w:val="14"/>
                  </w:rPr>
                </w:pPr>
                <w:r w:rsidRPr="00B80369">
                  <w:rPr>
                    <w:b/>
                    <w:color w:val="33A1AB" w:themeColor="accent2"/>
                    <w:sz w:val="14"/>
                    <w:szCs w:val="14"/>
                  </w:rPr>
                  <w:t>31 Dec 2009</w:t>
                </w:r>
              </w:p>
            </w:tc>
            <w:tc>
              <w:tcPr>
                <w:tcW w:w="301" w:type="pct"/>
                <w:tcBorders>
                  <w:top w:val="single" w:sz="12" w:space="0" w:color="AFAFB4" w:themeColor="accent4"/>
                </w:tcBorders>
                <w:shd w:val="clear" w:color="auto" w:fill="FFFFFF" w:themeFill="background2"/>
                <w:vAlign w:val="center"/>
              </w:tcPr>
              <w:p w14:paraId="3DD88341" w14:textId="77777777" w:rsidR="006E6A05" w:rsidRPr="00B80369" w:rsidRDefault="006E6A05" w:rsidP="00B80369">
                <w:pPr>
                  <w:spacing w:before="0" w:line="240" w:lineRule="auto"/>
                  <w:jc w:val="center"/>
                  <w:rPr>
                    <w:b/>
                    <w:color w:val="33A1AB" w:themeColor="accent2"/>
                    <w:sz w:val="14"/>
                    <w:szCs w:val="14"/>
                  </w:rPr>
                </w:pPr>
                <w:r w:rsidRPr="00B80369">
                  <w:rPr>
                    <w:b/>
                    <w:color w:val="33A1AB" w:themeColor="accent2"/>
                    <w:sz w:val="14"/>
                    <w:szCs w:val="14"/>
                  </w:rPr>
                  <w:t>31 Dec 2010</w:t>
                </w:r>
              </w:p>
            </w:tc>
            <w:tc>
              <w:tcPr>
                <w:tcW w:w="301" w:type="pct"/>
                <w:tcBorders>
                  <w:top w:val="single" w:sz="12" w:space="0" w:color="AFAFB4" w:themeColor="accent4"/>
                </w:tcBorders>
                <w:shd w:val="clear" w:color="auto" w:fill="FFFFFF" w:themeFill="background2"/>
                <w:vAlign w:val="center"/>
              </w:tcPr>
              <w:p w14:paraId="36301E0B" w14:textId="77777777" w:rsidR="006E6A05" w:rsidRPr="00B80369" w:rsidRDefault="006E6A05" w:rsidP="00B80369">
                <w:pPr>
                  <w:spacing w:before="0" w:line="240" w:lineRule="auto"/>
                  <w:jc w:val="center"/>
                  <w:rPr>
                    <w:b/>
                    <w:color w:val="33A1AB" w:themeColor="accent2"/>
                    <w:sz w:val="14"/>
                    <w:szCs w:val="14"/>
                  </w:rPr>
                </w:pPr>
                <w:r w:rsidRPr="00B80369">
                  <w:rPr>
                    <w:b/>
                    <w:color w:val="33A1AB" w:themeColor="accent2"/>
                    <w:sz w:val="14"/>
                    <w:szCs w:val="14"/>
                  </w:rPr>
                  <w:t>31 Dec 2011</w:t>
                </w:r>
              </w:p>
            </w:tc>
            <w:tc>
              <w:tcPr>
                <w:tcW w:w="301" w:type="pct"/>
                <w:tcBorders>
                  <w:top w:val="single" w:sz="12" w:space="0" w:color="AFAFB4" w:themeColor="accent4"/>
                </w:tcBorders>
                <w:shd w:val="clear" w:color="auto" w:fill="FFFFFF" w:themeFill="background2"/>
                <w:vAlign w:val="center"/>
              </w:tcPr>
              <w:p w14:paraId="6EFD6622" w14:textId="77777777" w:rsidR="006E6A05" w:rsidRPr="00B80369" w:rsidRDefault="006E6A05" w:rsidP="00B80369">
                <w:pPr>
                  <w:spacing w:before="0" w:line="240" w:lineRule="auto"/>
                  <w:jc w:val="center"/>
                  <w:rPr>
                    <w:b/>
                    <w:color w:val="33A1AB" w:themeColor="accent2"/>
                    <w:sz w:val="14"/>
                    <w:szCs w:val="14"/>
                  </w:rPr>
                </w:pPr>
                <w:r w:rsidRPr="00B80369">
                  <w:rPr>
                    <w:b/>
                    <w:color w:val="33A1AB" w:themeColor="accent2"/>
                    <w:sz w:val="14"/>
                    <w:szCs w:val="14"/>
                  </w:rPr>
                  <w:t>31 Dec 2012</w:t>
                </w:r>
              </w:p>
            </w:tc>
            <w:tc>
              <w:tcPr>
                <w:tcW w:w="301" w:type="pct"/>
                <w:tcBorders>
                  <w:top w:val="single" w:sz="12" w:space="0" w:color="AFAFB4" w:themeColor="accent4"/>
                </w:tcBorders>
                <w:shd w:val="clear" w:color="auto" w:fill="FFFFFF" w:themeFill="background2"/>
                <w:vAlign w:val="center"/>
              </w:tcPr>
              <w:p w14:paraId="0A4413E6" w14:textId="77777777" w:rsidR="006E6A05" w:rsidRPr="00B80369" w:rsidRDefault="006E6A05" w:rsidP="00B80369">
                <w:pPr>
                  <w:spacing w:before="0" w:line="240" w:lineRule="auto"/>
                  <w:jc w:val="center"/>
                  <w:rPr>
                    <w:b/>
                    <w:color w:val="33A1AB" w:themeColor="accent2"/>
                    <w:sz w:val="14"/>
                    <w:szCs w:val="14"/>
                  </w:rPr>
                </w:pPr>
                <w:r w:rsidRPr="00B80369">
                  <w:rPr>
                    <w:b/>
                    <w:color w:val="33A1AB" w:themeColor="accent2"/>
                    <w:sz w:val="14"/>
                    <w:szCs w:val="14"/>
                  </w:rPr>
                  <w:t>31 Dec 2013</w:t>
                </w:r>
              </w:p>
            </w:tc>
            <w:tc>
              <w:tcPr>
                <w:tcW w:w="301" w:type="pct"/>
                <w:tcBorders>
                  <w:top w:val="single" w:sz="12" w:space="0" w:color="AFAFB4" w:themeColor="accent4"/>
                </w:tcBorders>
                <w:shd w:val="clear" w:color="auto" w:fill="FFFFFF" w:themeFill="background2"/>
                <w:vAlign w:val="center"/>
              </w:tcPr>
              <w:p w14:paraId="70BC279B" w14:textId="77777777" w:rsidR="006E6A05" w:rsidRPr="00B80369" w:rsidRDefault="006E6A05" w:rsidP="00B80369">
                <w:pPr>
                  <w:spacing w:before="0" w:line="240" w:lineRule="auto"/>
                  <w:jc w:val="center"/>
                  <w:rPr>
                    <w:b/>
                    <w:color w:val="33A1AB" w:themeColor="accent2"/>
                    <w:sz w:val="14"/>
                    <w:szCs w:val="14"/>
                  </w:rPr>
                </w:pPr>
                <w:r w:rsidRPr="00B80369">
                  <w:rPr>
                    <w:b/>
                    <w:color w:val="33A1AB" w:themeColor="accent2"/>
                    <w:sz w:val="14"/>
                    <w:szCs w:val="14"/>
                  </w:rPr>
                  <w:t>31 Dec 2014</w:t>
                </w:r>
              </w:p>
            </w:tc>
            <w:tc>
              <w:tcPr>
                <w:tcW w:w="302" w:type="pct"/>
                <w:tcBorders>
                  <w:top w:val="single" w:sz="12" w:space="0" w:color="AFAFB4" w:themeColor="accent4"/>
                </w:tcBorders>
                <w:shd w:val="clear" w:color="auto" w:fill="FFFFFF" w:themeFill="background2"/>
                <w:vAlign w:val="center"/>
              </w:tcPr>
              <w:p w14:paraId="7D486954" w14:textId="77777777" w:rsidR="006E6A05" w:rsidRPr="00B80369" w:rsidRDefault="006E6A05" w:rsidP="00B80369">
                <w:pPr>
                  <w:spacing w:before="0" w:line="240" w:lineRule="auto"/>
                  <w:jc w:val="center"/>
                  <w:rPr>
                    <w:b/>
                    <w:color w:val="33A1AB" w:themeColor="accent2"/>
                    <w:sz w:val="14"/>
                    <w:szCs w:val="14"/>
                  </w:rPr>
                </w:pPr>
                <w:r w:rsidRPr="00B80369">
                  <w:rPr>
                    <w:b/>
                    <w:color w:val="33A1AB" w:themeColor="accent2"/>
                    <w:sz w:val="14"/>
                    <w:szCs w:val="14"/>
                  </w:rPr>
                  <w:t>31 Dec 2015</w:t>
                </w:r>
              </w:p>
            </w:tc>
            <w:tc>
              <w:tcPr>
                <w:tcW w:w="302" w:type="pct"/>
                <w:tcBorders>
                  <w:top w:val="single" w:sz="12" w:space="0" w:color="AFAFB4" w:themeColor="accent4"/>
                </w:tcBorders>
                <w:shd w:val="clear" w:color="auto" w:fill="FFFFFF" w:themeFill="background2"/>
                <w:vAlign w:val="center"/>
              </w:tcPr>
              <w:p w14:paraId="5DFDBDD0" w14:textId="77777777" w:rsidR="006E6A05" w:rsidRPr="00B80369" w:rsidRDefault="006E6A05" w:rsidP="00B80369">
                <w:pPr>
                  <w:spacing w:before="0" w:line="240" w:lineRule="auto"/>
                  <w:jc w:val="center"/>
                  <w:rPr>
                    <w:b/>
                    <w:color w:val="33A1AB" w:themeColor="accent2"/>
                    <w:sz w:val="14"/>
                    <w:szCs w:val="14"/>
                  </w:rPr>
                </w:pPr>
                <w:r w:rsidRPr="00B80369">
                  <w:rPr>
                    <w:b/>
                    <w:color w:val="33A1AB" w:themeColor="accent2"/>
                    <w:sz w:val="14"/>
                    <w:szCs w:val="14"/>
                  </w:rPr>
                  <w:t>31 Dec 2016</w:t>
                </w:r>
              </w:p>
            </w:tc>
            <w:tc>
              <w:tcPr>
                <w:tcW w:w="302" w:type="pct"/>
                <w:tcBorders>
                  <w:top w:val="single" w:sz="12" w:space="0" w:color="AFAFB4" w:themeColor="accent4"/>
                </w:tcBorders>
                <w:shd w:val="clear" w:color="auto" w:fill="FFFFFF" w:themeFill="background2"/>
                <w:vAlign w:val="center"/>
              </w:tcPr>
              <w:p w14:paraId="6A67CFF8" w14:textId="77777777" w:rsidR="006E6A05" w:rsidRPr="00B80369" w:rsidRDefault="006E6A05" w:rsidP="00B80369">
                <w:pPr>
                  <w:spacing w:before="0" w:line="240" w:lineRule="auto"/>
                  <w:jc w:val="center"/>
                  <w:rPr>
                    <w:b/>
                    <w:color w:val="33A1AB" w:themeColor="accent2"/>
                    <w:sz w:val="14"/>
                    <w:szCs w:val="14"/>
                  </w:rPr>
                </w:pPr>
                <w:r w:rsidRPr="00B80369">
                  <w:rPr>
                    <w:b/>
                    <w:color w:val="33A1AB" w:themeColor="accent2"/>
                    <w:sz w:val="14"/>
                    <w:szCs w:val="14"/>
                  </w:rPr>
                  <w:t>31 Dec 2017</w:t>
                </w:r>
              </w:p>
            </w:tc>
            <w:tc>
              <w:tcPr>
                <w:tcW w:w="301" w:type="pct"/>
                <w:tcBorders>
                  <w:top w:val="single" w:sz="12" w:space="0" w:color="AFAFB4" w:themeColor="accent4"/>
                </w:tcBorders>
                <w:shd w:val="clear" w:color="auto" w:fill="FFFFFF" w:themeFill="background2"/>
                <w:vAlign w:val="center"/>
              </w:tcPr>
              <w:p w14:paraId="2BA23D27" w14:textId="77777777" w:rsidR="006E6A05" w:rsidRPr="00B80369" w:rsidRDefault="006E6A05" w:rsidP="00B80369">
                <w:pPr>
                  <w:spacing w:before="0" w:line="240" w:lineRule="auto"/>
                  <w:jc w:val="center"/>
                  <w:rPr>
                    <w:b/>
                    <w:color w:val="33A1AB" w:themeColor="accent2"/>
                    <w:sz w:val="14"/>
                    <w:szCs w:val="14"/>
                  </w:rPr>
                </w:pPr>
                <w:r w:rsidRPr="00B80369">
                  <w:rPr>
                    <w:b/>
                    <w:color w:val="33A1AB" w:themeColor="accent2"/>
                    <w:sz w:val="14"/>
                    <w:szCs w:val="14"/>
                  </w:rPr>
                  <w:t>31 Dec 2018</w:t>
                </w:r>
              </w:p>
            </w:tc>
            <w:tc>
              <w:tcPr>
                <w:tcW w:w="301" w:type="pct"/>
                <w:tcBorders>
                  <w:top w:val="single" w:sz="12" w:space="0" w:color="AFAFB4" w:themeColor="accent4"/>
                </w:tcBorders>
                <w:shd w:val="clear" w:color="auto" w:fill="FFFFFF" w:themeFill="background2"/>
                <w:vAlign w:val="center"/>
              </w:tcPr>
              <w:p w14:paraId="0A10D5C4" w14:textId="77777777" w:rsidR="006E6A05" w:rsidRPr="00B80369" w:rsidRDefault="006E6A05" w:rsidP="00B80369">
                <w:pPr>
                  <w:spacing w:before="0" w:line="240" w:lineRule="auto"/>
                  <w:jc w:val="center"/>
                  <w:rPr>
                    <w:b/>
                    <w:color w:val="33A1AB" w:themeColor="accent2"/>
                    <w:sz w:val="14"/>
                    <w:szCs w:val="14"/>
                  </w:rPr>
                </w:pPr>
                <w:r w:rsidRPr="00B80369">
                  <w:rPr>
                    <w:b/>
                    <w:color w:val="33A1AB" w:themeColor="accent2"/>
                    <w:sz w:val="14"/>
                    <w:szCs w:val="14"/>
                  </w:rPr>
                  <w:t>31 Dec 2019</w:t>
                </w:r>
              </w:p>
            </w:tc>
            <w:tc>
              <w:tcPr>
                <w:tcW w:w="301" w:type="pct"/>
                <w:tcBorders>
                  <w:top w:val="single" w:sz="12" w:space="0" w:color="AFAFB4" w:themeColor="accent4"/>
                </w:tcBorders>
                <w:shd w:val="clear" w:color="auto" w:fill="FFFFFF" w:themeFill="background2"/>
                <w:vAlign w:val="center"/>
              </w:tcPr>
              <w:p w14:paraId="42E57674" w14:textId="77777777" w:rsidR="006E6A05" w:rsidRPr="00B80369" w:rsidRDefault="006E6A05" w:rsidP="00B80369">
                <w:pPr>
                  <w:spacing w:before="0" w:line="240" w:lineRule="auto"/>
                  <w:jc w:val="center"/>
                  <w:rPr>
                    <w:b/>
                    <w:color w:val="33A1AB" w:themeColor="accent2"/>
                    <w:sz w:val="14"/>
                    <w:szCs w:val="14"/>
                  </w:rPr>
                </w:pPr>
                <w:r w:rsidRPr="00B80369">
                  <w:rPr>
                    <w:b/>
                    <w:color w:val="33A1AB" w:themeColor="accent2"/>
                    <w:sz w:val="14"/>
                    <w:szCs w:val="14"/>
                  </w:rPr>
                  <w:t>31 Dec 2020</w:t>
                </w:r>
              </w:p>
            </w:tc>
            <w:tc>
              <w:tcPr>
                <w:tcW w:w="301" w:type="pct"/>
                <w:tcBorders>
                  <w:top w:val="single" w:sz="12" w:space="0" w:color="AFAFB4" w:themeColor="accent4"/>
                </w:tcBorders>
                <w:shd w:val="clear" w:color="auto" w:fill="FFFFFF" w:themeFill="background2"/>
                <w:vAlign w:val="center"/>
              </w:tcPr>
              <w:p w14:paraId="77FE0718" w14:textId="77777777" w:rsidR="006E6A05" w:rsidRPr="00B80369" w:rsidRDefault="006E6A05" w:rsidP="00B80369">
                <w:pPr>
                  <w:spacing w:before="0" w:line="240" w:lineRule="auto"/>
                  <w:jc w:val="center"/>
                  <w:rPr>
                    <w:b/>
                    <w:color w:val="33A1AB" w:themeColor="accent2"/>
                    <w:sz w:val="14"/>
                    <w:szCs w:val="14"/>
                  </w:rPr>
                </w:pPr>
                <w:r w:rsidRPr="00B80369">
                  <w:rPr>
                    <w:b/>
                    <w:color w:val="33A1AB" w:themeColor="accent2"/>
                    <w:sz w:val="14"/>
                    <w:szCs w:val="14"/>
                  </w:rPr>
                  <w:t>31 Dec 2021</w:t>
                </w:r>
              </w:p>
            </w:tc>
            <w:tc>
              <w:tcPr>
                <w:tcW w:w="325" w:type="pct"/>
                <w:tcBorders>
                  <w:top w:val="single" w:sz="12" w:space="0" w:color="AFAFB4" w:themeColor="accent4"/>
                </w:tcBorders>
                <w:shd w:val="clear" w:color="auto" w:fill="FFFFFF" w:themeFill="background2"/>
                <w:vAlign w:val="center"/>
              </w:tcPr>
              <w:p w14:paraId="67632472" w14:textId="77777777" w:rsidR="006E6A05" w:rsidRPr="00B80369" w:rsidRDefault="006E6A05" w:rsidP="00B80369">
                <w:pPr>
                  <w:spacing w:before="0" w:line="240" w:lineRule="auto"/>
                  <w:jc w:val="center"/>
                  <w:rPr>
                    <w:b/>
                    <w:color w:val="33A1AB" w:themeColor="accent2"/>
                    <w:sz w:val="14"/>
                    <w:szCs w:val="14"/>
                  </w:rPr>
                </w:pPr>
                <w:r w:rsidRPr="00B80369">
                  <w:rPr>
                    <w:b/>
                    <w:color w:val="33A1AB" w:themeColor="accent2"/>
                    <w:sz w:val="14"/>
                    <w:szCs w:val="14"/>
                  </w:rPr>
                  <w:t>31 Dec 2022</w:t>
                </w:r>
              </w:p>
            </w:tc>
          </w:tr>
          <w:tr w:rsidR="00F64951" w:rsidRPr="00B80369" w14:paraId="453A9B48"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2137A226" w14:textId="77777777" w:rsidR="00F64951" w:rsidRPr="00B80369" w:rsidRDefault="00F64951"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A1.1</w:t>
                </w:r>
              </w:p>
            </w:tc>
            <w:tc>
              <w:tcPr>
                <w:tcW w:w="357" w:type="pct"/>
                <w:shd w:val="clear" w:color="auto" w:fill="FFFFFF" w:themeFill="background2"/>
                <w:tcMar>
                  <w:top w:w="60" w:type="dxa"/>
                  <w:left w:w="114" w:type="dxa"/>
                  <w:bottom w:w="60" w:type="dxa"/>
                  <w:right w:w="114" w:type="dxa"/>
                </w:tcMar>
                <w:vAlign w:val="center"/>
              </w:tcPr>
              <w:p w14:paraId="6E545468" w14:textId="0682DCB2"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96" w:type="pct"/>
                <w:shd w:val="clear" w:color="auto" w:fill="FFFFFF" w:themeFill="background2"/>
                <w:tcMar>
                  <w:top w:w="60" w:type="dxa"/>
                  <w:left w:w="114" w:type="dxa"/>
                  <w:bottom w:w="60" w:type="dxa"/>
                  <w:right w:w="114" w:type="dxa"/>
                </w:tcMar>
                <w:vAlign w:val="center"/>
              </w:tcPr>
              <w:p w14:paraId="34371A5C" w14:textId="306B747D"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40FB0993" w14:textId="09D527C1"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79AB112F" w14:textId="56E30A70"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32BF2E89" w14:textId="2B16985E"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6B691E5A" w14:textId="5B62C980"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3ABE41B4" w14:textId="5CD614CB"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2FEB7C85" w14:textId="455FF53B"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7814C3E5" w14:textId="443AC754"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4FAC1044" w14:textId="28E9F0AA"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16F8E615" w14:textId="0CB2A81B"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659F8440" w14:textId="2977D23A"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33A1762C" w14:textId="44B3D44B" w:rsidR="00F64951" w:rsidRPr="00B80369" w:rsidRDefault="00F64951" w:rsidP="00B80369">
                <w:pPr>
                  <w:spacing w:before="0" w:line="240" w:lineRule="auto"/>
                  <w:jc w:val="center"/>
                  <w:rPr>
                    <w:rFonts w:eastAsia="Times New Roman" w:cs="Segoe UI"/>
                    <w:sz w:val="14"/>
                    <w:szCs w:val="14"/>
                    <w:lang w:val="en-GB" w:eastAsia="it-IT"/>
                  </w:rPr>
                </w:pPr>
              </w:p>
            </w:tc>
            <w:tc>
              <w:tcPr>
                <w:tcW w:w="301" w:type="pct"/>
                <w:shd w:val="clear" w:color="auto" w:fill="FFFFFF" w:themeFill="background2"/>
                <w:vAlign w:val="center"/>
              </w:tcPr>
              <w:p w14:paraId="543F578A" w14:textId="77777777"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325" w:type="pct"/>
                <w:shd w:val="clear" w:color="auto" w:fill="FFFFFF" w:themeFill="background2"/>
                <w:vAlign w:val="center"/>
              </w:tcPr>
              <w:p w14:paraId="1D0E3602" w14:textId="77777777"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r>
          <w:tr w:rsidR="00F64951" w:rsidRPr="00B80369" w14:paraId="09D4E2BE"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7463E79A" w14:textId="77777777" w:rsidR="00F64951" w:rsidRPr="00B80369" w:rsidRDefault="00F64951"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A1.2</w:t>
                </w:r>
              </w:p>
            </w:tc>
            <w:tc>
              <w:tcPr>
                <w:tcW w:w="357" w:type="pct"/>
                <w:shd w:val="clear" w:color="auto" w:fill="FFFFFF" w:themeFill="background2"/>
                <w:tcMar>
                  <w:top w:w="60" w:type="dxa"/>
                  <w:left w:w="114" w:type="dxa"/>
                  <w:bottom w:w="60" w:type="dxa"/>
                  <w:right w:w="114" w:type="dxa"/>
                </w:tcMar>
                <w:vAlign w:val="center"/>
              </w:tcPr>
              <w:p w14:paraId="37B905F8" w14:textId="21C1199C"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96" w:type="pct"/>
                <w:shd w:val="clear" w:color="auto" w:fill="FFFFFF" w:themeFill="background2"/>
                <w:tcMar>
                  <w:top w:w="60" w:type="dxa"/>
                  <w:left w:w="114" w:type="dxa"/>
                  <w:bottom w:w="60" w:type="dxa"/>
                  <w:right w:w="114" w:type="dxa"/>
                </w:tcMar>
                <w:vAlign w:val="center"/>
              </w:tcPr>
              <w:p w14:paraId="5026BADB" w14:textId="080034B1"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78DB5380" w14:textId="0AF21490"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111F3D94" w14:textId="040B9CE0"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768A15C7" w14:textId="4C8DF891"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2A726A48" w14:textId="7D85BF8B"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026410B8" w14:textId="487F84BE"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53E21E09" w14:textId="28F4F231"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24A72C25" w14:textId="7936C85D"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3C554F00" w14:textId="4ABBA43D"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2FC47863" w14:textId="47177C52"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1F4B2916" w14:textId="484B0187"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474256" w:rsidRPr="00B80369">
                  <w:rPr>
                    <w:rFonts w:eastAsia="Times New Roman" w:cs="Segoe UI"/>
                    <w:sz w:val="14"/>
                    <w:szCs w:val="14"/>
                    <w:lang w:val="en-GB" w:eastAsia="it-IT"/>
                  </w:rPr>
                  <w:t>.</w:t>
                </w:r>
                <w:r w:rsidRPr="00B80369">
                  <w:rPr>
                    <w:rFonts w:eastAsia="Times New Roman" w:cs="Segoe UI"/>
                    <w:sz w:val="14"/>
                    <w:szCs w:val="14"/>
                    <w:lang w:val="en-GB" w:eastAsia="it-IT"/>
                  </w:rPr>
                  <w:t>00%</w:t>
                </w:r>
              </w:p>
            </w:tc>
            <w:tc>
              <w:tcPr>
                <w:tcW w:w="301" w:type="pct"/>
                <w:shd w:val="clear" w:color="auto" w:fill="FFFFFF" w:themeFill="background2"/>
                <w:vAlign w:val="center"/>
              </w:tcPr>
              <w:p w14:paraId="2173F089" w14:textId="5354EAF9"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301" w:type="pct"/>
                <w:shd w:val="clear" w:color="auto" w:fill="FFFFFF" w:themeFill="background2"/>
                <w:vAlign w:val="center"/>
              </w:tcPr>
              <w:p w14:paraId="77DF6C71" w14:textId="77777777"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325" w:type="pct"/>
                <w:shd w:val="clear" w:color="auto" w:fill="FFFFFF" w:themeFill="background2"/>
                <w:vAlign w:val="center"/>
              </w:tcPr>
              <w:p w14:paraId="51501F7D" w14:textId="77777777"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r>
          <w:tr w:rsidR="00F64951" w:rsidRPr="00B80369" w14:paraId="60FDF5FD"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470B4ED1" w14:textId="77777777" w:rsidR="00F64951" w:rsidRPr="00B80369" w:rsidRDefault="00F64951"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A1.3</w:t>
                </w:r>
              </w:p>
            </w:tc>
            <w:tc>
              <w:tcPr>
                <w:tcW w:w="357" w:type="pct"/>
                <w:shd w:val="clear" w:color="auto" w:fill="FFFFFF" w:themeFill="background2"/>
                <w:tcMar>
                  <w:top w:w="60" w:type="dxa"/>
                  <w:left w:w="114" w:type="dxa"/>
                  <w:bottom w:w="60" w:type="dxa"/>
                  <w:right w:w="114" w:type="dxa"/>
                </w:tcMar>
                <w:vAlign w:val="center"/>
              </w:tcPr>
              <w:p w14:paraId="17DB7FD2" w14:textId="57BA8496"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96" w:type="pct"/>
                <w:shd w:val="clear" w:color="auto" w:fill="FFFFFF" w:themeFill="background2"/>
                <w:tcMar>
                  <w:top w:w="60" w:type="dxa"/>
                  <w:left w:w="114" w:type="dxa"/>
                  <w:bottom w:w="60" w:type="dxa"/>
                  <w:right w:w="114" w:type="dxa"/>
                </w:tcMar>
                <w:vAlign w:val="center"/>
              </w:tcPr>
              <w:p w14:paraId="5AC3513C" w14:textId="297D4BEE"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1210629C" w14:textId="46D6B058"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19A3BF29" w14:textId="3537F35D"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39E93C1F" w14:textId="3E8016FE"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43B43BE4" w14:textId="52FEF0CE"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746A705E" w14:textId="67E12FF5"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3265BE7C" w14:textId="3CD5102D"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04496A1A" w14:textId="5BC754FE"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0F780CC3" w14:textId="73605735"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0B8E59DA" w14:textId="2D005A98"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6F19BED5" w14:textId="427DC93F"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474256" w:rsidRPr="00B80369">
                  <w:rPr>
                    <w:rFonts w:eastAsia="Times New Roman" w:cs="Segoe UI"/>
                    <w:sz w:val="14"/>
                    <w:szCs w:val="14"/>
                    <w:lang w:val="en-GB" w:eastAsia="it-IT"/>
                  </w:rPr>
                  <w:t>.</w:t>
                </w:r>
                <w:r w:rsidRPr="00B80369">
                  <w:rPr>
                    <w:rFonts w:eastAsia="Times New Roman" w:cs="Segoe UI"/>
                    <w:sz w:val="14"/>
                    <w:szCs w:val="14"/>
                    <w:lang w:val="en-GB" w:eastAsia="it-IT"/>
                  </w:rPr>
                  <w:t>00%</w:t>
                </w:r>
              </w:p>
            </w:tc>
            <w:tc>
              <w:tcPr>
                <w:tcW w:w="301" w:type="pct"/>
                <w:shd w:val="clear" w:color="auto" w:fill="FFFFFF" w:themeFill="background2"/>
                <w:vAlign w:val="center"/>
              </w:tcPr>
              <w:p w14:paraId="49BAEBE3" w14:textId="7BC74339"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301" w:type="pct"/>
                <w:shd w:val="clear" w:color="auto" w:fill="FFFFFF" w:themeFill="background2"/>
                <w:vAlign w:val="center"/>
              </w:tcPr>
              <w:p w14:paraId="22F83CB5" w14:textId="77777777"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325" w:type="pct"/>
                <w:shd w:val="clear" w:color="auto" w:fill="FFFFFF" w:themeFill="background2"/>
                <w:vAlign w:val="center"/>
              </w:tcPr>
              <w:p w14:paraId="283DAC0B" w14:textId="77777777"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r>
          <w:tr w:rsidR="00F64951" w:rsidRPr="00B80369" w14:paraId="2845B62D"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09D2DC81" w14:textId="77777777" w:rsidR="00F64951" w:rsidRPr="00B80369" w:rsidRDefault="00F64951"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A2.1</w:t>
                </w:r>
              </w:p>
            </w:tc>
            <w:tc>
              <w:tcPr>
                <w:tcW w:w="357" w:type="pct"/>
                <w:shd w:val="clear" w:color="auto" w:fill="FFFFFF" w:themeFill="background2"/>
                <w:tcMar>
                  <w:top w:w="60" w:type="dxa"/>
                  <w:left w:w="114" w:type="dxa"/>
                  <w:bottom w:w="60" w:type="dxa"/>
                  <w:right w:w="114" w:type="dxa"/>
                </w:tcMar>
                <w:vAlign w:val="center"/>
              </w:tcPr>
              <w:p w14:paraId="7962026C" w14:textId="7E06DEF9"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0.22%</w:t>
                </w:r>
              </w:p>
            </w:tc>
            <w:tc>
              <w:tcPr>
                <w:tcW w:w="396" w:type="pct"/>
                <w:shd w:val="clear" w:color="auto" w:fill="FFFFFF" w:themeFill="background2"/>
                <w:tcMar>
                  <w:top w:w="60" w:type="dxa"/>
                  <w:left w:w="114" w:type="dxa"/>
                  <w:bottom w:w="60" w:type="dxa"/>
                  <w:right w:w="114" w:type="dxa"/>
                </w:tcMar>
                <w:vAlign w:val="center"/>
              </w:tcPr>
              <w:p w14:paraId="4003E6F7" w14:textId="68A4EA72"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0.22%</w:t>
                </w:r>
              </w:p>
            </w:tc>
            <w:tc>
              <w:tcPr>
                <w:tcW w:w="301" w:type="pct"/>
                <w:shd w:val="clear" w:color="auto" w:fill="FFFFFF" w:themeFill="background2"/>
                <w:vAlign w:val="center"/>
              </w:tcPr>
              <w:p w14:paraId="70C063C6" w14:textId="19C303B0"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1FC09F2A" w14:textId="69713C78"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0.65%</w:t>
                </w:r>
              </w:p>
            </w:tc>
            <w:tc>
              <w:tcPr>
                <w:tcW w:w="301" w:type="pct"/>
                <w:shd w:val="clear" w:color="auto" w:fill="FFFFFF" w:themeFill="background2"/>
                <w:vAlign w:val="center"/>
              </w:tcPr>
              <w:p w14:paraId="3BA6C807" w14:textId="3829B703"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0.34%</w:t>
                </w:r>
              </w:p>
            </w:tc>
            <w:tc>
              <w:tcPr>
                <w:tcW w:w="301" w:type="pct"/>
                <w:shd w:val="clear" w:color="auto" w:fill="FFFFFF" w:themeFill="background2"/>
                <w:vAlign w:val="center"/>
              </w:tcPr>
              <w:p w14:paraId="0854901C" w14:textId="335ECBC0"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0.49%</w:t>
                </w:r>
              </w:p>
            </w:tc>
            <w:tc>
              <w:tcPr>
                <w:tcW w:w="301" w:type="pct"/>
                <w:shd w:val="clear" w:color="auto" w:fill="FFFFFF" w:themeFill="background2"/>
                <w:vAlign w:val="center"/>
              </w:tcPr>
              <w:p w14:paraId="2F29344D" w14:textId="6D73552A"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0.43%</w:t>
                </w:r>
              </w:p>
            </w:tc>
            <w:tc>
              <w:tcPr>
                <w:tcW w:w="302" w:type="pct"/>
                <w:shd w:val="clear" w:color="auto" w:fill="FFFFFF" w:themeFill="background2"/>
                <w:vAlign w:val="center"/>
              </w:tcPr>
              <w:p w14:paraId="5AC8354E" w14:textId="49F131E5"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4DB1C82D" w14:textId="2C978021"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0.47%</w:t>
                </w:r>
              </w:p>
            </w:tc>
            <w:tc>
              <w:tcPr>
                <w:tcW w:w="302" w:type="pct"/>
                <w:shd w:val="clear" w:color="auto" w:fill="FFFFFF" w:themeFill="background2"/>
                <w:vAlign w:val="center"/>
              </w:tcPr>
              <w:p w14:paraId="38595431" w14:textId="6D84405D"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1" w:type="pct"/>
                <w:shd w:val="clear" w:color="auto" w:fill="FFFFFF" w:themeFill="background2"/>
                <w:vAlign w:val="center"/>
              </w:tcPr>
              <w:p w14:paraId="55FFC094" w14:textId="504FF3E7" w:rsidR="00F64951" w:rsidRPr="00B80369" w:rsidRDefault="00F6495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0.54%</w:t>
                </w:r>
              </w:p>
            </w:tc>
            <w:tc>
              <w:tcPr>
                <w:tcW w:w="301" w:type="pct"/>
                <w:shd w:val="clear" w:color="auto" w:fill="FFFFFF" w:themeFill="background2"/>
                <w:vAlign w:val="center"/>
              </w:tcPr>
              <w:p w14:paraId="4F8BD35E" w14:textId="490F5F19"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474256" w:rsidRPr="00B80369">
                  <w:rPr>
                    <w:rFonts w:eastAsia="Times New Roman" w:cs="Segoe UI"/>
                    <w:sz w:val="14"/>
                    <w:szCs w:val="14"/>
                    <w:lang w:val="en-GB" w:eastAsia="it-IT"/>
                  </w:rPr>
                  <w:t>.</w:t>
                </w:r>
                <w:r w:rsidRPr="00B80369">
                  <w:rPr>
                    <w:rFonts w:eastAsia="Times New Roman" w:cs="Segoe UI"/>
                    <w:sz w:val="14"/>
                    <w:szCs w:val="14"/>
                    <w:lang w:val="en-GB" w:eastAsia="it-IT"/>
                  </w:rPr>
                  <w:t>00%</w:t>
                </w:r>
              </w:p>
            </w:tc>
            <w:tc>
              <w:tcPr>
                <w:tcW w:w="301" w:type="pct"/>
                <w:shd w:val="clear" w:color="auto" w:fill="FFFFFF" w:themeFill="background2"/>
                <w:vAlign w:val="center"/>
              </w:tcPr>
              <w:p w14:paraId="4238A2AD" w14:textId="266AC9B6"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301" w:type="pct"/>
                <w:shd w:val="clear" w:color="auto" w:fill="FFFFFF" w:themeFill="background2"/>
                <w:vAlign w:val="center"/>
              </w:tcPr>
              <w:p w14:paraId="11C5A569" w14:textId="77777777"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325" w:type="pct"/>
                <w:shd w:val="clear" w:color="auto" w:fill="FFFFFF" w:themeFill="background2"/>
                <w:vAlign w:val="center"/>
              </w:tcPr>
              <w:p w14:paraId="66676976" w14:textId="77777777"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r>
          <w:tr w:rsidR="00F64951" w:rsidRPr="00B80369" w14:paraId="6E5E560F"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156A9BD1" w14:textId="77777777" w:rsidR="00F64951" w:rsidRPr="00B80369" w:rsidRDefault="00F64951"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A2.2</w:t>
                </w:r>
              </w:p>
            </w:tc>
            <w:tc>
              <w:tcPr>
                <w:tcW w:w="357" w:type="pct"/>
                <w:shd w:val="clear" w:color="auto" w:fill="FFFFFF" w:themeFill="background2"/>
                <w:tcMar>
                  <w:top w:w="60" w:type="dxa"/>
                  <w:left w:w="114" w:type="dxa"/>
                  <w:bottom w:w="60" w:type="dxa"/>
                  <w:right w:w="114" w:type="dxa"/>
                </w:tcMar>
                <w:vAlign w:val="center"/>
              </w:tcPr>
              <w:p w14:paraId="35E84EA2" w14:textId="69DD0309"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0.28%</w:t>
                </w:r>
              </w:p>
            </w:tc>
            <w:tc>
              <w:tcPr>
                <w:tcW w:w="396" w:type="pct"/>
                <w:shd w:val="clear" w:color="auto" w:fill="FFFFFF" w:themeFill="background2"/>
                <w:tcMar>
                  <w:top w:w="60" w:type="dxa"/>
                  <w:left w:w="114" w:type="dxa"/>
                  <w:bottom w:w="60" w:type="dxa"/>
                  <w:right w:w="114" w:type="dxa"/>
                </w:tcMar>
                <w:vAlign w:val="center"/>
              </w:tcPr>
              <w:p w14:paraId="2C1D6F0D" w14:textId="5ECA4D2E"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0.30%</w:t>
                </w:r>
              </w:p>
            </w:tc>
            <w:tc>
              <w:tcPr>
                <w:tcW w:w="301" w:type="pct"/>
                <w:shd w:val="clear" w:color="auto" w:fill="FFFFFF" w:themeFill="background2"/>
                <w:vAlign w:val="center"/>
              </w:tcPr>
              <w:p w14:paraId="003A032B" w14:textId="11FFC08B"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0.36%</w:t>
                </w:r>
              </w:p>
            </w:tc>
            <w:tc>
              <w:tcPr>
                <w:tcW w:w="301" w:type="pct"/>
                <w:shd w:val="clear" w:color="auto" w:fill="FFFFFF" w:themeFill="background2"/>
                <w:vAlign w:val="center"/>
              </w:tcPr>
              <w:p w14:paraId="4C983A00" w14:textId="26536676"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0.61%</w:t>
                </w:r>
              </w:p>
            </w:tc>
            <w:tc>
              <w:tcPr>
                <w:tcW w:w="301" w:type="pct"/>
                <w:shd w:val="clear" w:color="auto" w:fill="FFFFFF" w:themeFill="background2"/>
                <w:vAlign w:val="center"/>
              </w:tcPr>
              <w:p w14:paraId="06F5E061" w14:textId="4077D817"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0.75%</w:t>
                </w:r>
              </w:p>
            </w:tc>
            <w:tc>
              <w:tcPr>
                <w:tcW w:w="301" w:type="pct"/>
                <w:shd w:val="clear" w:color="auto" w:fill="FFFFFF" w:themeFill="background2"/>
                <w:vAlign w:val="center"/>
              </w:tcPr>
              <w:p w14:paraId="21ADAAF4" w14:textId="1CE9978D"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0.25%</w:t>
                </w:r>
              </w:p>
            </w:tc>
            <w:tc>
              <w:tcPr>
                <w:tcW w:w="301" w:type="pct"/>
                <w:shd w:val="clear" w:color="auto" w:fill="FFFFFF" w:themeFill="background2"/>
                <w:vAlign w:val="center"/>
              </w:tcPr>
              <w:p w14:paraId="1E841195" w14:textId="514CE3D7"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0.54%</w:t>
                </w:r>
              </w:p>
            </w:tc>
            <w:tc>
              <w:tcPr>
                <w:tcW w:w="302" w:type="pct"/>
                <w:shd w:val="clear" w:color="auto" w:fill="FFFFFF" w:themeFill="background2"/>
                <w:vAlign w:val="center"/>
              </w:tcPr>
              <w:p w14:paraId="4BA34AC8" w14:textId="208A2368"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0.60%</w:t>
                </w:r>
              </w:p>
            </w:tc>
            <w:tc>
              <w:tcPr>
                <w:tcW w:w="302" w:type="pct"/>
                <w:shd w:val="clear" w:color="auto" w:fill="FFFFFF" w:themeFill="background2"/>
                <w:vAlign w:val="center"/>
              </w:tcPr>
              <w:p w14:paraId="5278C9B3" w14:textId="5139DF34"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0.00%</w:t>
                </w:r>
              </w:p>
            </w:tc>
            <w:tc>
              <w:tcPr>
                <w:tcW w:w="302" w:type="pct"/>
                <w:shd w:val="clear" w:color="auto" w:fill="FFFFFF" w:themeFill="background2"/>
                <w:vAlign w:val="center"/>
              </w:tcPr>
              <w:p w14:paraId="7EDEB935" w14:textId="61BA921F"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0.32%</w:t>
                </w:r>
              </w:p>
            </w:tc>
            <w:tc>
              <w:tcPr>
                <w:tcW w:w="301" w:type="pct"/>
                <w:shd w:val="clear" w:color="auto" w:fill="FFFFFF" w:themeFill="background2"/>
                <w:vAlign w:val="center"/>
              </w:tcPr>
              <w:p w14:paraId="417416A6" w14:textId="759A01EB" w:rsidR="00F64951" w:rsidRPr="00B80369" w:rsidRDefault="00F6495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0.16%</w:t>
                </w:r>
              </w:p>
            </w:tc>
            <w:tc>
              <w:tcPr>
                <w:tcW w:w="301" w:type="pct"/>
                <w:shd w:val="clear" w:color="auto" w:fill="FFFFFF" w:themeFill="background2"/>
                <w:vAlign w:val="center"/>
              </w:tcPr>
              <w:p w14:paraId="1D95A377" w14:textId="7B781B5F"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474256" w:rsidRPr="00B80369">
                  <w:rPr>
                    <w:rFonts w:eastAsia="Times New Roman" w:cs="Segoe UI"/>
                    <w:sz w:val="14"/>
                    <w:szCs w:val="14"/>
                    <w:lang w:val="en-GB" w:eastAsia="it-IT"/>
                  </w:rPr>
                  <w:t>.</w:t>
                </w:r>
                <w:r w:rsidRPr="00B80369">
                  <w:rPr>
                    <w:rFonts w:eastAsia="Times New Roman" w:cs="Segoe UI"/>
                    <w:sz w:val="14"/>
                    <w:szCs w:val="14"/>
                    <w:lang w:val="en-GB" w:eastAsia="it-IT"/>
                  </w:rPr>
                  <w:t>14%</w:t>
                </w:r>
              </w:p>
            </w:tc>
            <w:tc>
              <w:tcPr>
                <w:tcW w:w="301" w:type="pct"/>
                <w:shd w:val="clear" w:color="auto" w:fill="FFFFFF" w:themeFill="background2"/>
                <w:vAlign w:val="center"/>
              </w:tcPr>
              <w:p w14:paraId="10ACD8CF" w14:textId="69C90316"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301" w:type="pct"/>
                <w:shd w:val="clear" w:color="auto" w:fill="FFFFFF" w:themeFill="background2"/>
                <w:vAlign w:val="center"/>
              </w:tcPr>
              <w:p w14:paraId="5206491A" w14:textId="77777777"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325" w:type="pct"/>
                <w:shd w:val="clear" w:color="auto" w:fill="FFFFFF" w:themeFill="background2"/>
                <w:vAlign w:val="center"/>
              </w:tcPr>
              <w:p w14:paraId="562F445C" w14:textId="77777777"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r>
          <w:tr w:rsidR="00F64951" w:rsidRPr="00B80369" w14:paraId="479EC288"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34187915" w14:textId="77777777" w:rsidR="00F64951" w:rsidRPr="00B80369" w:rsidRDefault="00F64951"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A3.1</w:t>
                </w:r>
              </w:p>
            </w:tc>
            <w:tc>
              <w:tcPr>
                <w:tcW w:w="357" w:type="pct"/>
                <w:shd w:val="clear" w:color="auto" w:fill="FFFFFF" w:themeFill="background2"/>
                <w:tcMar>
                  <w:top w:w="60" w:type="dxa"/>
                  <w:left w:w="114" w:type="dxa"/>
                  <w:bottom w:w="60" w:type="dxa"/>
                  <w:right w:w="114" w:type="dxa"/>
                </w:tcMar>
                <w:vAlign w:val="center"/>
              </w:tcPr>
              <w:p w14:paraId="29E9E961" w14:textId="6973346D"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0.80%</w:t>
                </w:r>
              </w:p>
            </w:tc>
            <w:tc>
              <w:tcPr>
                <w:tcW w:w="396" w:type="pct"/>
                <w:shd w:val="clear" w:color="auto" w:fill="FFFFFF" w:themeFill="background2"/>
                <w:tcMar>
                  <w:top w:w="60" w:type="dxa"/>
                  <w:left w:w="114" w:type="dxa"/>
                  <w:bottom w:w="60" w:type="dxa"/>
                  <w:right w:w="114" w:type="dxa"/>
                </w:tcMar>
                <w:vAlign w:val="center"/>
              </w:tcPr>
              <w:p w14:paraId="0DAB0469" w14:textId="7171FFDC"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0.64%</w:t>
                </w:r>
              </w:p>
            </w:tc>
            <w:tc>
              <w:tcPr>
                <w:tcW w:w="301" w:type="pct"/>
                <w:shd w:val="clear" w:color="auto" w:fill="FFFFFF" w:themeFill="background2"/>
                <w:vAlign w:val="center"/>
              </w:tcPr>
              <w:p w14:paraId="74D4DF46" w14:textId="4B4D414E"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1.01%</w:t>
                </w:r>
              </w:p>
            </w:tc>
            <w:tc>
              <w:tcPr>
                <w:tcW w:w="301" w:type="pct"/>
                <w:shd w:val="clear" w:color="auto" w:fill="FFFFFF" w:themeFill="background2"/>
                <w:vAlign w:val="center"/>
              </w:tcPr>
              <w:p w14:paraId="258663F0" w14:textId="3E4CE476"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1.13%</w:t>
                </w:r>
              </w:p>
            </w:tc>
            <w:tc>
              <w:tcPr>
                <w:tcW w:w="301" w:type="pct"/>
                <w:shd w:val="clear" w:color="auto" w:fill="FFFFFF" w:themeFill="background2"/>
                <w:vAlign w:val="center"/>
              </w:tcPr>
              <w:p w14:paraId="2FB4AA0E" w14:textId="472B288C"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1.44%</w:t>
                </w:r>
              </w:p>
            </w:tc>
            <w:tc>
              <w:tcPr>
                <w:tcW w:w="301" w:type="pct"/>
                <w:shd w:val="clear" w:color="auto" w:fill="FFFFFF" w:themeFill="background2"/>
                <w:vAlign w:val="center"/>
              </w:tcPr>
              <w:p w14:paraId="40ECB9F2" w14:textId="12A181B3"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1.22%</w:t>
                </w:r>
              </w:p>
            </w:tc>
            <w:tc>
              <w:tcPr>
                <w:tcW w:w="301" w:type="pct"/>
                <w:shd w:val="clear" w:color="auto" w:fill="FFFFFF" w:themeFill="background2"/>
                <w:vAlign w:val="center"/>
              </w:tcPr>
              <w:p w14:paraId="54A6511B" w14:textId="75733A9D"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1.16%</w:t>
                </w:r>
              </w:p>
            </w:tc>
            <w:tc>
              <w:tcPr>
                <w:tcW w:w="302" w:type="pct"/>
                <w:shd w:val="clear" w:color="auto" w:fill="FFFFFF" w:themeFill="background2"/>
                <w:vAlign w:val="center"/>
              </w:tcPr>
              <w:p w14:paraId="0B824AA2" w14:textId="72988BF0"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1.42%</w:t>
                </w:r>
              </w:p>
            </w:tc>
            <w:tc>
              <w:tcPr>
                <w:tcW w:w="302" w:type="pct"/>
                <w:shd w:val="clear" w:color="auto" w:fill="FFFFFF" w:themeFill="background2"/>
                <w:vAlign w:val="center"/>
              </w:tcPr>
              <w:p w14:paraId="2075E9D1" w14:textId="0E1ECA37"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0.74%</w:t>
                </w:r>
              </w:p>
            </w:tc>
            <w:tc>
              <w:tcPr>
                <w:tcW w:w="302" w:type="pct"/>
                <w:shd w:val="clear" w:color="auto" w:fill="FFFFFF" w:themeFill="background2"/>
                <w:vAlign w:val="center"/>
              </w:tcPr>
              <w:p w14:paraId="6697BCE8" w14:textId="13503261"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0.53%</w:t>
                </w:r>
              </w:p>
            </w:tc>
            <w:tc>
              <w:tcPr>
                <w:tcW w:w="301" w:type="pct"/>
                <w:shd w:val="clear" w:color="auto" w:fill="FFFFFF" w:themeFill="background2"/>
                <w:vAlign w:val="center"/>
              </w:tcPr>
              <w:p w14:paraId="66370325" w14:textId="2D6B99EB" w:rsidR="00F64951" w:rsidRPr="00B80369" w:rsidRDefault="00F6495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0.39%</w:t>
                </w:r>
              </w:p>
            </w:tc>
            <w:tc>
              <w:tcPr>
                <w:tcW w:w="301" w:type="pct"/>
                <w:shd w:val="clear" w:color="auto" w:fill="FFFFFF" w:themeFill="background2"/>
                <w:vAlign w:val="center"/>
              </w:tcPr>
              <w:p w14:paraId="67808DBD" w14:textId="4181B99B"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474256" w:rsidRPr="00B80369">
                  <w:rPr>
                    <w:rFonts w:eastAsia="Times New Roman" w:cs="Segoe UI"/>
                    <w:sz w:val="14"/>
                    <w:szCs w:val="14"/>
                    <w:lang w:val="en-GB" w:eastAsia="it-IT"/>
                  </w:rPr>
                  <w:t>.</w:t>
                </w:r>
                <w:r w:rsidRPr="00B80369">
                  <w:rPr>
                    <w:rFonts w:eastAsia="Times New Roman" w:cs="Segoe UI"/>
                    <w:sz w:val="14"/>
                    <w:szCs w:val="14"/>
                    <w:lang w:val="en-GB" w:eastAsia="it-IT"/>
                  </w:rPr>
                  <w:t>35%</w:t>
                </w:r>
              </w:p>
            </w:tc>
            <w:tc>
              <w:tcPr>
                <w:tcW w:w="301" w:type="pct"/>
                <w:shd w:val="clear" w:color="auto" w:fill="FFFFFF" w:themeFill="background2"/>
                <w:vAlign w:val="center"/>
              </w:tcPr>
              <w:p w14:paraId="49CA69B2" w14:textId="5F885721"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301" w:type="pct"/>
                <w:shd w:val="clear" w:color="auto" w:fill="FFFFFF" w:themeFill="background2"/>
                <w:vAlign w:val="center"/>
              </w:tcPr>
              <w:p w14:paraId="7545A9ED" w14:textId="77777777"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325" w:type="pct"/>
                <w:shd w:val="clear" w:color="auto" w:fill="FFFFFF" w:themeFill="background2"/>
                <w:vAlign w:val="center"/>
              </w:tcPr>
              <w:p w14:paraId="0C94E841" w14:textId="77777777"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r>
          <w:tr w:rsidR="00F64951" w:rsidRPr="00B80369" w14:paraId="29253440"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3099A8BC" w14:textId="77777777" w:rsidR="00F64951" w:rsidRPr="00B80369" w:rsidRDefault="00F64951"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B1.1</w:t>
                </w:r>
              </w:p>
            </w:tc>
            <w:tc>
              <w:tcPr>
                <w:tcW w:w="357" w:type="pct"/>
                <w:shd w:val="clear" w:color="auto" w:fill="FFFFFF" w:themeFill="background2"/>
                <w:tcMar>
                  <w:top w:w="60" w:type="dxa"/>
                  <w:left w:w="114" w:type="dxa"/>
                  <w:bottom w:w="60" w:type="dxa"/>
                  <w:right w:w="114" w:type="dxa"/>
                </w:tcMar>
                <w:vAlign w:val="center"/>
              </w:tcPr>
              <w:p w14:paraId="11EAF929" w14:textId="5D9861C3"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1.73%</w:t>
                </w:r>
              </w:p>
            </w:tc>
            <w:tc>
              <w:tcPr>
                <w:tcW w:w="396" w:type="pct"/>
                <w:shd w:val="clear" w:color="auto" w:fill="FFFFFF" w:themeFill="background2"/>
                <w:tcMar>
                  <w:top w:w="60" w:type="dxa"/>
                  <w:left w:w="114" w:type="dxa"/>
                  <w:bottom w:w="60" w:type="dxa"/>
                  <w:right w:w="114" w:type="dxa"/>
                </w:tcMar>
                <w:vAlign w:val="center"/>
              </w:tcPr>
              <w:p w14:paraId="7E654A98" w14:textId="17534A3C"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1.43%</w:t>
                </w:r>
              </w:p>
            </w:tc>
            <w:tc>
              <w:tcPr>
                <w:tcW w:w="301" w:type="pct"/>
                <w:shd w:val="clear" w:color="auto" w:fill="FFFFFF" w:themeFill="background2"/>
                <w:vAlign w:val="center"/>
              </w:tcPr>
              <w:p w14:paraId="0EEBABF9" w14:textId="2EAA5194"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2.30%</w:t>
                </w:r>
              </w:p>
            </w:tc>
            <w:tc>
              <w:tcPr>
                <w:tcW w:w="301" w:type="pct"/>
                <w:shd w:val="clear" w:color="auto" w:fill="FFFFFF" w:themeFill="background2"/>
                <w:vAlign w:val="center"/>
              </w:tcPr>
              <w:p w14:paraId="02312197" w14:textId="7601A2EF"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3.09%</w:t>
                </w:r>
              </w:p>
            </w:tc>
            <w:tc>
              <w:tcPr>
                <w:tcW w:w="301" w:type="pct"/>
                <w:shd w:val="clear" w:color="auto" w:fill="FFFFFF" w:themeFill="background2"/>
                <w:vAlign w:val="center"/>
              </w:tcPr>
              <w:p w14:paraId="31E23ED3" w14:textId="70BE2ACF"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2.57%</w:t>
                </w:r>
              </w:p>
            </w:tc>
            <w:tc>
              <w:tcPr>
                <w:tcW w:w="301" w:type="pct"/>
                <w:shd w:val="clear" w:color="auto" w:fill="FFFFFF" w:themeFill="background2"/>
                <w:vAlign w:val="center"/>
              </w:tcPr>
              <w:p w14:paraId="4F90FB7F" w14:textId="430F2D67"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3.12%</w:t>
                </w:r>
              </w:p>
            </w:tc>
            <w:tc>
              <w:tcPr>
                <w:tcW w:w="301" w:type="pct"/>
                <w:shd w:val="clear" w:color="auto" w:fill="FFFFFF" w:themeFill="background2"/>
                <w:vAlign w:val="center"/>
              </w:tcPr>
              <w:p w14:paraId="080D15A0" w14:textId="172B1A92"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2.88%</w:t>
                </w:r>
              </w:p>
            </w:tc>
            <w:tc>
              <w:tcPr>
                <w:tcW w:w="302" w:type="pct"/>
                <w:shd w:val="clear" w:color="auto" w:fill="FFFFFF" w:themeFill="background2"/>
                <w:vAlign w:val="center"/>
              </w:tcPr>
              <w:p w14:paraId="79035079" w14:textId="047207F2"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1.85%</w:t>
                </w:r>
              </w:p>
            </w:tc>
            <w:tc>
              <w:tcPr>
                <w:tcW w:w="302" w:type="pct"/>
                <w:shd w:val="clear" w:color="auto" w:fill="FFFFFF" w:themeFill="background2"/>
                <w:vAlign w:val="center"/>
              </w:tcPr>
              <w:p w14:paraId="0F331863" w14:textId="245F1DBB"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1.84%</w:t>
                </w:r>
              </w:p>
            </w:tc>
            <w:tc>
              <w:tcPr>
                <w:tcW w:w="302" w:type="pct"/>
                <w:shd w:val="clear" w:color="auto" w:fill="FFFFFF" w:themeFill="background2"/>
                <w:vAlign w:val="center"/>
              </w:tcPr>
              <w:p w14:paraId="363B4D21" w14:textId="6EA8457C"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1.19%</w:t>
                </w:r>
              </w:p>
            </w:tc>
            <w:tc>
              <w:tcPr>
                <w:tcW w:w="301" w:type="pct"/>
                <w:shd w:val="clear" w:color="auto" w:fill="FFFFFF" w:themeFill="background2"/>
                <w:vAlign w:val="center"/>
              </w:tcPr>
              <w:p w14:paraId="1C0AC98D" w14:textId="3E0D3360" w:rsidR="00F64951" w:rsidRPr="00B80369" w:rsidRDefault="00F6495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0.84%</w:t>
                </w:r>
              </w:p>
            </w:tc>
            <w:tc>
              <w:tcPr>
                <w:tcW w:w="301" w:type="pct"/>
                <w:shd w:val="clear" w:color="auto" w:fill="FFFFFF" w:themeFill="background2"/>
                <w:vAlign w:val="center"/>
              </w:tcPr>
              <w:p w14:paraId="64E2E28A" w14:textId="0E839DBF"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0</w:t>
                </w:r>
                <w:r w:rsidR="00474256" w:rsidRPr="00B80369">
                  <w:rPr>
                    <w:rFonts w:eastAsia="Times New Roman" w:cs="Segoe UI"/>
                    <w:sz w:val="14"/>
                    <w:szCs w:val="14"/>
                    <w:lang w:val="en-GB" w:eastAsia="it-IT"/>
                  </w:rPr>
                  <w:t>.</w:t>
                </w:r>
                <w:r w:rsidRPr="00B80369">
                  <w:rPr>
                    <w:rFonts w:eastAsia="Times New Roman" w:cs="Segoe UI"/>
                    <w:sz w:val="14"/>
                    <w:szCs w:val="14"/>
                    <w:lang w:val="en-GB" w:eastAsia="it-IT"/>
                  </w:rPr>
                  <w:t>70%</w:t>
                </w:r>
              </w:p>
            </w:tc>
            <w:tc>
              <w:tcPr>
                <w:tcW w:w="301" w:type="pct"/>
                <w:shd w:val="clear" w:color="auto" w:fill="FFFFFF" w:themeFill="background2"/>
                <w:vAlign w:val="center"/>
              </w:tcPr>
              <w:p w14:paraId="6F19AA70" w14:textId="0C837BA9"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301" w:type="pct"/>
                <w:shd w:val="clear" w:color="auto" w:fill="FFFFFF" w:themeFill="background2"/>
                <w:vAlign w:val="center"/>
              </w:tcPr>
              <w:p w14:paraId="46AC7084" w14:textId="77777777"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325" w:type="pct"/>
                <w:shd w:val="clear" w:color="auto" w:fill="FFFFFF" w:themeFill="background2"/>
                <w:vAlign w:val="center"/>
              </w:tcPr>
              <w:p w14:paraId="60654C19" w14:textId="77777777"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r>
          <w:tr w:rsidR="00F64951" w:rsidRPr="00B80369" w14:paraId="6A74EF1E"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13523493" w14:textId="77777777" w:rsidR="00F64951" w:rsidRPr="00B80369" w:rsidRDefault="00F64951"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B1.2</w:t>
                </w:r>
              </w:p>
            </w:tc>
            <w:tc>
              <w:tcPr>
                <w:tcW w:w="357" w:type="pct"/>
                <w:shd w:val="clear" w:color="auto" w:fill="FFFFFF" w:themeFill="background2"/>
                <w:tcMar>
                  <w:top w:w="60" w:type="dxa"/>
                  <w:left w:w="114" w:type="dxa"/>
                  <w:bottom w:w="60" w:type="dxa"/>
                  <w:right w:w="114" w:type="dxa"/>
                </w:tcMar>
                <w:vAlign w:val="center"/>
              </w:tcPr>
              <w:p w14:paraId="53B79D27" w14:textId="03E7AA6C"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4.29%</w:t>
                </w:r>
              </w:p>
            </w:tc>
            <w:tc>
              <w:tcPr>
                <w:tcW w:w="396" w:type="pct"/>
                <w:shd w:val="clear" w:color="auto" w:fill="FFFFFF" w:themeFill="background2"/>
                <w:tcMar>
                  <w:top w:w="60" w:type="dxa"/>
                  <w:left w:w="114" w:type="dxa"/>
                  <w:bottom w:w="60" w:type="dxa"/>
                  <w:right w:w="114" w:type="dxa"/>
                </w:tcMar>
                <w:vAlign w:val="center"/>
              </w:tcPr>
              <w:p w14:paraId="4614D262" w14:textId="2E030701"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3.44%</w:t>
                </w:r>
              </w:p>
            </w:tc>
            <w:tc>
              <w:tcPr>
                <w:tcW w:w="301" w:type="pct"/>
                <w:shd w:val="clear" w:color="auto" w:fill="FFFFFF" w:themeFill="background2"/>
                <w:vAlign w:val="center"/>
              </w:tcPr>
              <w:p w14:paraId="27D7E50D" w14:textId="726D3AA8"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4.09%</w:t>
                </w:r>
              </w:p>
            </w:tc>
            <w:tc>
              <w:tcPr>
                <w:tcW w:w="301" w:type="pct"/>
                <w:shd w:val="clear" w:color="auto" w:fill="FFFFFF" w:themeFill="background2"/>
                <w:vAlign w:val="center"/>
              </w:tcPr>
              <w:p w14:paraId="207AE955" w14:textId="5FD2C509"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7.59%</w:t>
                </w:r>
              </w:p>
            </w:tc>
            <w:tc>
              <w:tcPr>
                <w:tcW w:w="301" w:type="pct"/>
                <w:shd w:val="clear" w:color="auto" w:fill="FFFFFF" w:themeFill="background2"/>
                <w:vAlign w:val="center"/>
              </w:tcPr>
              <w:p w14:paraId="265631E7" w14:textId="5DAAD87D"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5.79%</w:t>
                </w:r>
              </w:p>
            </w:tc>
            <w:tc>
              <w:tcPr>
                <w:tcW w:w="301" w:type="pct"/>
                <w:shd w:val="clear" w:color="auto" w:fill="FFFFFF" w:themeFill="background2"/>
                <w:vAlign w:val="center"/>
              </w:tcPr>
              <w:p w14:paraId="53C54475" w14:textId="7D4E5F21"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6.52%</w:t>
                </w:r>
              </w:p>
            </w:tc>
            <w:tc>
              <w:tcPr>
                <w:tcW w:w="301" w:type="pct"/>
                <w:shd w:val="clear" w:color="auto" w:fill="FFFFFF" w:themeFill="background2"/>
                <w:vAlign w:val="center"/>
              </w:tcPr>
              <w:p w14:paraId="51E018AA" w14:textId="3ABAA457"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4.59%</w:t>
                </w:r>
              </w:p>
            </w:tc>
            <w:tc>
              <w:tcPr>
                <w:tcW w:w="302" w:type="pct"/>
                <w:shd w:val="clear" w:color="auto" w:fill="FFFFFF" w:themeFill="background2"/>
                <w:vAlign w:val="center"/>
              </w:tcPr>
              <w:p w14:paraId="1D1F1BA2" w14:textId="0EEA412F"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4.09%</w:t>
                </w:r>
              </w:p>
            </w:tc>
            <w:tc>
              <w:tcPr>
                <w:tcW w:w="302" w:type="pct"/>
                <w:shd w:val="clear" w:color="auto" w:fill="FFFFFF" w:themeFill="background2"/>
                <w:vAlign w:val="center"/>
              </w:tcPr>
              <w:p w14:paraId="4D73E294" w14:textId="07C7D240"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2.39%</w:t>
                </w:r>
              </w:p>
            </w:tc>
            <w:tc>
              <w:tcPr>
                <w:tcW w:w="302" w:type="pct"/>
                <w:shd w:val="clear" w:color="auto" w:fill="FFFFFF" w:themeFill="background2"/>
                <w:vAlign w:val="center"/>
              </w:tcPr>
              <w:p w14:paraId="71C8219A" w14:textId="111D15E4"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2.14%</w:t>
                </w:r>
              </w:p>
            </w:tc>
            <w:tc>
              <w:tcPr>
                <w:tcW w:w="301" w:type="pct"/>
                <w:shd w:val="clear" w:color="auto" w:fill="FFFFFF" w:themeFill="background2"/>
                <w:vAlign w:val="center"/>
              </w:tcPr>
              <w:p w14:paraId="25BE08FB" w14:textId="066EE239" w:rsidR="00F64951" w:rsidRPr="00B80369" w:rsidRDefault="00F6495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1.77%</w:t>
                </w:r>
              </w:p>
            </w:tc>
            <w:tc>
              <w:tcPr>
                <w:tcW w:w="301" w:type="pct"/>
                <w:shd w:val="clear" w:color="auto" w:fill="FFFFFF" w:themeFill="background2"/>
                <w:vAlign w:val="center"/>
              </w:tcPr>
              <w:p w14:paraId="066B5EBA" w14:textId="4F065A2C"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w:t>
                </w:r>
                <w:r w:rsidR="00474256" w:rsidRPr="00B80369">
                  <w:rPr>
                    <w:rFonts w:eastAsia="Times New Roman" w:cs="Segoe UI"/>
                    <w:sz w:val="14"/>
                    <w:szCs w:val="14"/>
                    <w:lang w:val="en-GB" w:eastAsia="it-IT"/>
                  </w:rPr>
                  <w:t>.</w:t>
                </w:r>
                <w:r w:rsidRPr="00B80369">
                  <w:rPr>
                    <w:rFonts w:eastAsia="Times New Roman" w:cs="Segoe UI"/>
                    <w:sz w:val="14"/>
                    <w:szCs w:val="14"/>
                    <w:lang w:val="en-GB" w:eastAsia="it-IT"/>
                  </w:rPr>
                  <w:t>45%</w:t>
                </w:r>
              </w:p>
            </w:tc>
            <w:tc>
              <w:tcPr>
                <w:tcW w:w="301" w:type="pct"/>
                <w:shd w:val="clear" w:color="auto" w:fill="FFFFFF" w:themeFill="background2"/>
                <w:vAlign w:val="center"/>
              </w:tcPr>
              <w:p w14:paraId="601DBB5E" w14:textId="2B2BC0BD"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301" w:type="pct"/>
                <w:shd w:val="clear" w:color="auto" w:fill="FFFFFF" w:themeFill="background2"/>
                <w:vAlign w:val="center"/>
              </w:tcPr>
              <w:p w14:paraId="6FA9EF05" w14:textId="77777777"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325" w:type="pct"/>
                <w:shd w:val="clear" w:color="auto" w:fill="FFFFFF" w:themeFill="background2"/>
                <w:vAlign w:val="center"/>
              </w:tcPr>
              <w:p w14:paraId="654385E8" w14:textId="77777777"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r>
          <w:tr w:rsidR="00F64951" w:rsidRPr="00B80369" w14:paraId="276B0679"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230649F0" w14:textId="77777777" w:rsidR="00F64951" w:rsidRPr="00B80369" w:rsidRDefault="00F64951"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B2.1</w:t>
                </w:r>
              </w:p>
            </w:tc>
            <w:tc>
              <w:tcPr>
                <w:tcW w:w="357" w:type="pct"/>
                <w:shd w:val="clear" w:color="auto" w:fill="FFFFFF" w:themeFill="background2"/>
                <w:tcMar>
                  <w:top w:w="60" w:type="dxa"/>
                  <w:left w:w="114" w:type="dxa"/>
                  <w:bottom w:w="60" w:type="dxa"/>
                  <w:right w:w="114" w:type="dxa"/>
                </w:tcMar>
                <w:vAlign w:val="center"/>
              </w:tcPr>
              <w:p w14:paraId="434F2F37" w14:textId="216FEEAC"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9.57%</w:t>
                </w:r>
              </w:p>
            </w:tc>
            <w:tc>
              <w:tcPr>
                <w:tcW w:w="396" w:type="pct"/>
                <w:shd w:val="clear" w:color="auto" w:fill="FFFFFF" w:themeFill="background2"/>
                <w:tcMar>
                  <w:top w:w="60" w:type="dxa"/>
                  <w:left w:w="114" w:type="dxa"/>
                  <w:bottom w:w="60" w:type="dxa"/>
                  <w:right w:w="114" w:type="dxa"/>
                </w:tcMar>
                <w:vAlign w:val="center"/>
              </w:tcPr>
              <w:p w14:paraId="4FD31F34" w14:textId="2360660D"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7.38%</w:t>
                </w:r>
              </w:p>
            </w:tc>
            <w:tc>
              <w:tcPr>
                <w:tcW w:w="301" w:type="pct"/>
                <w:shd w:val="clear" w:color="auto" w:fill="FFFFFF" w:themeFill="background2"/>
                <w:vAlign w:val="center"/>
              </w:tcPr>
              <w:p w14:paraId="71610001" w14:textId="29DD651F"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8.48%</w:t>
                </w:r>
              </w:p>
            </w:tc>
            <w:tc>
              <w:tcPr>
                <w:tcW w:w="301" w:type="pct"/>
                <w:shd w:val="clear" w:color="auto" w:fill="FFFFFF" w:themeFill="background2"/>
                <w:vAlign w:val="center"/>
              </w:tcPr>
              <w:p w14:paraId="314A18B5" w14:textId="33ABA9A6"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13.48%</w:t>
                </w:r>
              </w:p>
            </w:tc>
            <w:tc>
              <w:tcPr>
                <w:tcW w:w="301" w:type="pct"/>
                <w:shd w:val="clear" w:color="auto" w:fill="FFFFFF" w:themeFill="background2"/>
                <w:vAlign w:val="center"/>
              </w:tcPr>
              <w:p w14:paraId="02A2926D" w14:textId="7409D5F7"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10.51%</w:t>
                </w:r>
              </w:p>
            </w:tc>
            <w:tc>
              <w:tcPr>
                <w:tcW w:w="301" w:type="pct"/>
                <w:shd w:val="clear" w:color="auto" w:fill="FFFFFF" w:themeFill="background2"/>
                <w:vAlign w:val="center"/>
              </w:tcPr>
              <w:p w14:paraId="31D81BB1" w14:textId="3298CD0E"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9.94%</w:t>
                </w:r>
              </w:p>
            </w:tc>
            <w:tc>
              <w:tcPr>
                <w:tcW w:w="301" w:type="pct"/>
                <w:shd w:val="clear" w:color="auto" w:fill="FFFFFF" w:themeFill="background2"/>
                <w:vAlign w:val="center"/>
              </w:tcPr>
              <w:p w14:paraId="4AAB22B4" w14:textId="24B3CB12"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7.34%</w:t>
                </w:r>
              </w:p>
            </w:tc>
            <w:tc>
              <w:tcPr>
                <w:tcW w:w="302" w:type="pct"/>
                <w:shd w:val="clear" w:color="auto" w:fill="FFFFFF" w:themeFill="background2"/>
                <w:vAlign w:val="center"/>
              </w:tcPr>
              <w:p w14:paraId="225F3639" w14:textId="412DFE70"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6.85%</w:t>
                </w:r>
              </w:p>
            </w:tc>
            <w:tc>
              <w:tcPr>
                <w:tcW w:w="302" w:type="pct"/>
                <w:shd w:val="clear" w:color="auto" w:fill="FFFFFF" w:themeFill="background2"/>
                <w:vAlign w:val="center"/>
              </w:tcPr>
              <w:p w14:paraId="39AFF296" w14:textId="7D208565"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4.45%</w:t>
                </w:r>
              </w:p>
            </w:tc>
            <w:tc>
              <w:tcPr>
                <w:tcW w:w="302" w:type="pct"/>
                <w:shd w:val="clear" w:color="auto" w:fill="FFFFFF" w:themeFill="background2"/>
                <w:vAlign w:val="center"/>
              </w:tcPr>
              <w:p w14:paraId="2DFA4214" w14:textId="1C49D415"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4.19%</w:t>
                </w:r>
              </w:p>
            </w:tc>
            <w:tc>
              <w:tcPr>
                <w:tcW w:w="301" w:type="pct"/>
                <w:shd w:val="clear" w:color="auto" w:fill="FFFFFF" w:themeFill="background2"/>
                <w:vAlign w:val="center"/>
              </w:tcPr>
              <w:p w14:paraId="74C5CE15" w14:textId="303EA70E" w:rsidR="00F64951" w:rsidRPr="00B80369" w:rsidRDefault="00F64951" w:rsidP="00B80369">
                <w:pPr>
                  <w:spacing w:before="0" w:line="240" w:lineRule="auto"/>
                  <w:jc w:val="center"/>
                  <w:rPr>
                    <w:b/>
                    <w:color w:val="33A1AB" w:themeColor="accent2"/>
                    <w:sz w:val="14"/>
                    <w:szCs w:val="14"/>
                  </w:rPr>
                </w:pPr>
                <w:r w:rsidRPr="00B80369">
                  <w:rPr>
                    <w:rFonts w:eastAsia="Times New Roman" w:cs="Segoe UI"/>
                    <w:sz w:val="14"/>
                    <w:szCs w:val="14"/>
                    <w:lang w:val="en-GB" w:eastAsia="it-IT"/>
                  </w:rPr>
                  <w:t>3.82%</w:t>
                </w:r>
              </w:p>
            </w:tc>
            <w:tc>
              <w:tcPr>
                <w:tcW w:w="301" w:type="pct"/>
                <w:shd w:val="clear" w:color="auto" w:fill="FFFFFF" w:themeFill="background2"/>
                <w:vAlign w:val="center"/>
              </w:tcPr>
              <w:p w14:paraId="637FED25" w14:textId="3685466B"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w:t>
                </w:r>
                <w:r w:rsidR="00474256" w:rsidRPr="00B80369">
                  <w:rPr>
                    <w:rFonts w:eastAsia="Times New Roman" w:cs="Segoe UI"/>
                    <w:sz w:val="14"/>
                    <w:szCs w:val="14"/>
                    <w:lang w:val="en-GB" w:eastAsia="it-IT"/>
                  </w:rPr>
                  <w:t>.</w:t>
                </w:r>
                <w:r w:rsidRPr="00B80369">
                  <w:rPr>
                    <w:rFonts w:eastAsia="Times New Roman" w:cs="Segoe UI"/>
                    <w:sz w:val="14"/>
                    <w:szCs w:val="14"/>
                    <w:lang w:val="en-GB" w:eastAsia="it-IT"/>
                  </w:rPr>
                  <w:t>74%</w:t>
                </w:r>
              </w:p>
            </w:tc>
            <w:tc>
              <w:tcPr>
                <w:tcW w:w="301" w:type="pct"/>
                <w:shd w:val="clear" w:color="auto" w:fill="FFFFFF" w:themeFill="background2"/>
                <w:vAlign w:val="center"/>
              </w:tcPr>
              <w:p w14:paraId="3DB98579" w14:textId="488DCAEE"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301" w:type="pct"/>
                <w:shd w:val="clear" w:color="auto" w:fill="FFFFFF" w:themeFill="background2"/>
                <w:vAlign w:val="center"/>
              </w:tcPr>
              <w:p w14:paraId="1142556A" w14:textId="77777777"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325" w:type="pct"/>
                <w:shd w:val="clear" w:color="auto" w:fill="FFFFFF" w:themeFill="background2"/>
                <w:vAlign w:val="center"/>
              </w:tcPr>
              <w:p w14:paraId="38D390E9" w14:textId="77777777"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r>
          <w:tr w:rsidR="00F64951" w:rsidRPr="00B80369" w14:paraId="76A838AA"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4FE422E7" w14:textId="77777777" w:rsidR="00F64951" w:rsidRPr="00B80369" w:rsidRDefault="00F64951"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B2.2</w:t>
                </w:r>
              </w:p>
            </w:tc>
            <w:tc>
              <w:tcPr>
                <w:tcW w:w="357" w:type="pct"/>
                <w:shd w:val="clear" w:color="auto" w:fill="FFFFFF" w:themeFill="background2"/>
                <w:tcMar>
                  <w:top w:w="60" w:type="dxa"/>
                  <w:left w:w="114" w:type="dxa"/>
                  <w:bottom w:w="60" w:type="dxa"/>
                  <w:right w:w="114" w:type="dxa"/>
                </w:tcMar>
                <w:vAlign w:val="center"/>
              </w:tcPr>
              <w:p w14:paraId="7E1BD4AD" w14:textId="625CC666"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15.92%</w:t>
                </w:r>
              </w:p>
            </w:tc>
            <w:tc>
              <w:tcPr>
                <w:tcW w:w="396" w:type="pct"/>
                <w:shd w:val="clear" w:color="auto" w:fill="FFFFFF" w:themeFill="background2"/>
                <w:tcMar>
                  <w:top w:w="60" w:type="dxa"/>
                  <w:left w:w="114" w:type="dxa"/>
                  <w:bottom w:w="60" w:type="dxa"/>
                  <w:right w:w="114" w:type="dxa"/>
                </w:tcMar>
                <w:vAlign w:val="center"/>
              </w:tcPr>
              <w:p w14:paraId="0CBAEC1C" w14:textId="165BDD24"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13.61%</w:t>
                </w:r>
              </w:p>
            </w:tc>
            <w:tc>
              <w:tcPr>
                <w:tcW w:w="301" w:type="pct"/>
                <w:shd w:val="clear" w:color="auto" w:fill="FFFFFF" w:themeFill="background2"/>
                <w:vAlign w:val="center"/>
              </w:tcPr>
              <w:p w14:paraId="7A009A00" w14:textId="63381A23"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16.15%</w:t>
                </w:r>
              </w:p>
            </w:tc>
            <w:tc>
              <w:tcPr>
                <w:tcW w:w="301" w:type="pct"/>
                <w:shd w:val="clear" w:color="auto" w:fill="FFFFFF" w:themeFill="background2"/>
                <w:vAlign w:val="center"/>
              </w:tcPr>
              <w:p w14:paraId="0420FC2C" w14:textId="59B9AD4A"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20.30%</w:t>
                </w:r>
              </w:p>
            </w:tc>
            <w:tc>
              <w:tcPr>
                <w:tcW w:w="301" w:type="pct"/>
                <w:shd w:val="clear" w:color="auto" w:fill="FFFFFF" w:themeFill="background2"/>
                <w:vAlign w:val="center"/>
              </w:tcPr>
              <w:p w14:paraId="0076D55E" w14:textId="1D3B7604"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18.14%</w:t>
                </w:r>
              </w:p>
            </w:tc>
            <w:tc>
              <w:tcPr>
                <w:tcW w:w="301" w:type="pct"/>
                <w:shd w:val="clear" w:color="auto" w:fill="FFFFFF" w:themeFill="background2"/>
                <w:vAlign w:val="center"/>
              </w:tcPr>
              <w:p w14:paraId="69E41F28" w14:textId="4F005CC4"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15.83%</w:t>
                </w:r>
              </w:p>
            </w:tc>
            <w:tc>
              <w:tcPr>
                <w:tcW w:w="301" w:type="pct"/>
                <w:shd w:val="clear" w:color="auto" w:fill="FFFFFF" w:themeFill="background2"/>
                <w:vAlign w:val="center"/>
              </w:tcPr>
              <w:p w14:paraId="6F8C4195" w14:textId="2EA1D690"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11.58%</w:t>
                </w:r>
              </w:p>
            </w:tc>
            <w:tc>
              <w:tcPr>
                <w:tcW w:w="302" w:type="pct"/>
                <w:shd w:val="clear" w:color="auto" w:fill="FFFFFF" w:themeFill="background2"/>
                <w:vAlign w:val="center"/>
              </w:tcPr>
              <w:p w14:paraId="72BCE6B0" w14:textId="54ACE934"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11.12%</w:t>
                </w:r>
              </w:p>
            </w:tc>
            <w:tc>
              <w:tcPr>
                <w:tcW w:w="302" w:type="pct"/>
                <w:shd w:val="clear" w:color="auto" w:fill="FFFFFF" w:themeFill="background2"/>
                <w:vAlign w:val="center"/>
              </w:tcPr>
              <w:p w14:paraId="53EAEDFD" w14:textId="7B866B16"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7.44%</w:t>
                </w:r>
              </w:p>
            </w:tc>
            <w:tc>
              <w:tcPr>
                <w:tcW w:w="302" w:type="pct"/>
                <w:shd w:val="clear" w:color="auto" w:fill="FFFFFF" w:themeFill="background2"/>
                <w:vAlign w:val="center"/>
              </w:tcPr>
              <w:p w14:paraId="76B8ED15" w14:textId="69EDAD9E"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6.55%</w:t>
                </w:r>
              </w:p>
            </w:tc>
            <w:tc>
              <w:tcPr>
                <w:tcW w:w="301" w:type="pct"/>
                <w:shd w:val="clear" w:color="auto" w:fill="FFFFFF" w:themeFill="background2"/>
                <w:vAlign w:val="center"/>
              </w:tcPr>
              <w:p w14:paraId="2F6C273B" w14:textId="1B4A8F5E" w:rsidR="00F64951" w:rsidRPr="00B80369" w:rsidRDefault="00F6495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6.20%</w:t>
                </w:r>
              </w:p>
            </w:tc>
            <w:tc>
              <w:tcPr>
                <w:tcW w:w="301" w:type="pct"/>
                <w:shd w:val="clear" w:color="auto" w:fill="FFFFFF" w:themeFill="background2"/>
                <w:vAlign w:val="center"/>
              </w:tcPr>
              <w:p w14:paraId="6329CBC9" w14:textId="2CDFF824"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w:t>
                </w:r>
                <w:r w:rsidR="00474256" w:rsidRPr="00B80369">
                  <w:rPr>
                    <w:rFonts w:eastAsia="Times New Roman" w:cs="Segoe UI"/>
                    <w:sz w:val="14"/>
                    <w:szCs w:val="14"/>
                    <w:lang w:val="en-GB" w:eastAsia="it-IT"/>
                  </w:rPr>
                  <w:t>.</w:t>
                </w:r>
                <w:r w:rsidRPr="00B80369">
                  <w:rPr>
                    <w:rFonts w:eastAsia="Times New Roman" w:cs="Segoe UI"/>
                    <w:sz w:val="14"/>
                    <w:szCs w:val="14"/>
                    <w:lang w:val="en-GB" w:eastAsia="it-IT"/>
                  </w:rPr>
                  <w:t>49%</w:t>
                </w:r>
              </w:p>
            </w:tc>
            <w:tc>
              <w:tcPr>
                <w:tcW w:w="301" w:type="pct"/>
                <w:shd w:val="clear" w:color="auto" w:fill="FFFFFF" w:themeFill="background2"/>
                <w:vAlign w:val="center"/>
              </w:tcPr>
              <w:p w14:paraId="557BD78D" w14:textId="02AEF61D"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301" w:type="pct"/>
                <w:shd w:val="clear" w:color="auto" w:fill="FFFFFF" w:themeFill="background2"/>
                <w:vAlign w:val="center"/>
              </w:tcPr>
              <w:p w14:paraId="0B092DE4" w14:textId="77777777"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325" w:type="pct"/>
                <w:shd w:val="clear" w:color="auto" w:fill="FFFFFF" w:themeFill="background2"/>
                <w:vAlign w:val="center"/>
              </w:tcPr>
              <w:p w14:paraId="7A324C5B" w14:textId="77777777"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r>
          <w:tr w:rsidR="00F64951" w:rsidRPr="00B80369" w14:paraId="7A2679AD"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2E92CA78" w14:textId="77777777" w:rsidR="00F64951" w:rsidRPr="00B80369" w:rsidRDefault="00F64951"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C1.1</w:t>
                </w:r>
              </w:p>
            </w:tc>
            <w:tc>
              <w:tcPr>
                <w:tcW w:w="357" w:type="pct"/>
                <w:shd w:val="clear" w:color="auto" w:fill="FFFFFF" w:themeFill="background2"/>
                <w:tcMar>
                  <w:top w:w="60" w:type="dxa"/>
                  <w:left w:w="114" w:type="dxa"/>
                  <w:bottom w:w="60" w:type="dxa"/>
                  <w:right w:w="114" w:type="dxa"/>
                </w:tcMar>
                <w:vAlign w:val="center"/>
              </w:tcPr>
              <w:p w14:paraId="506E290C" w14:textId="1B5F6EEF"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27.14%</w:t>
                </w:r>
              </w:p>
            </w:tc>
            <w:tc>
              <w:tcPr>
                <w:tcW w:w="396" w:type="pct"/>
                <w:shd w:val="clear" w:color="auto" w:fill="FFFFFF" w:themeFill="background2"/>
                <w:tcMar>
                  <w:top w:w="60" w:type="dxa"/>
                  <w:left w:w="114" w:type="dxa"/>
                  <w:bottom w:w="60" w:type="dxa"/>
                  <w:right w:w="114" w:type="dxa"/>
                </w:tcMar>
                <w:vAlign w:val="center"/>
              </w:tcPr>
              <w:p w14:paraId="2D2987D4" w14:textId="33B2EACD"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20.75%</w:t>
                </w:r>
              </w:p>
            </w:tc>
            <w:tc>
              <w:tcPr>
                <w:tcW w:w="301" w:type="pct"/>
                <w:shd w:val="clear" w:color="auto" w:fill="FFFFFF" w:themeFill="background2"/>
                <w:vAlign w:val="center"/>
              </w:tcPr>
              <w:p w14:paraId="2D4C9B05" w14:textId="33ACAB91"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22.82%</w:t>
                </w:r>
              </w:p>
            </w:tc>
            <w:tc>
              <w:tcPr>
                <w:tcW w:w="301" w:type="pct"/>
                <w:shd w:val="clear" w:color="auto" w:fill="FFFFFF" w:themeFill="background2"/>
                <w:vAlign w:val="center"/>
              </w:tcPr>
              <w:p w14:paraId="6EE3E1D6" w14:textId="384639F9"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29.57%</w:t>
                </w:r>
              </w:p>
            </w:tc>
            <w:tc>
              <w:tcPr>
                <w:tcW w:w="301" w:type="pct"/>
                <w:shd w:val="clear" w:color="auto" w:fill="FFFFFF" w:themeFill="background2"/>
                <w:vAlign w:val="center"/>
              </w:tcPr>
              <w:p w14:paraId="375BB279" w14:textId="7D048C70"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28.59%</w:t>
                </w:r>
              </w:p>
            </w:tc>
            <w:tc>
              <w:tcPr>
                <w:tcW w:w="301" w:type="pct"/>
                <w:shd w:val="clear" w:color="auto" w:fill="FFFFFF" w:themeFill="background2"/>
                <w:vAlign w:val="center"/>
              </w:tcPr>
              <w:p w14:paraId="53DA9CCE" w14:textId="551DB8EC"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24.90%</w:t>
                </w:r>
              </w:p>
            </w:tc>
            <w:tc>
              <w:tcPr>
                <w:tcW w:w="301" w:type="pct"/>
                <w:shd w:val="clear" w:color="auto" w:fill="FFFFFF" w:themeFill="background2"/>
                <w:vAlign w:val="center"/>
              </w:tcPr>
              <w:p w14:paraId="04BE644E" w14:textId="34EF3EAF"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18.01%</w:t>
                </w:r>
              </w:p>
            </w:tc>
            <w:tc>
              <w:tcPr>
                <w:tcW w:w="302" w:type="pct"/>
                <w:shd w:val="clear" w:color="auto" w:fill="FFFFFF" w:themeFill="background2"/>
                <w:vAlign w:val="center"/>
              </w:tcPr>
              <w:p w14:paraId="171AB32B" w14:textId="33A23884"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15.13%</w:t>
                </w:r>
              </w:p>
            </w:tc>
            <w:tc>
              <w:tcPr>
                <w:tcW w:w="302" w:type="pct"/>
                <w:shd w:val="clear" w:color="auto" w:fill="FFFFFF" w:themeFill="background2"/>
                <w:vAlign w:val="center"/>
              </w:tcPr>
              <w:p w14:paraId="76584040" w14:textId="5FA26075"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11.79%</w:t>
                </w:r>
              </w:p>
            </w:tc>
            <w:tc>
              <w:tcPr>
                <w:tcW w:w="302" w:type="pct"/>
                <w:shd w:val="clear" w:color="auto" w:fill="FFFFFF" w:themeFill="background2"/>
                <w:vAlign w:val="center"/>
              </w:tcPr>
              <w:p w14:paraId="32A5C9F7" w14:textId="1065EC20"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10.89%</w:t>
                </w:r>
              </w:p>
            </w:tc>
            <w:tc>
              <w:tcPr>
                <w:tcW w:w="301" w:type="pct"/>
                <w:shd w:val="clear" w:color="auto" w:fill="FFFFFF" w:themeFill="background2"/>
                <w:vAlign w:val="center"/>
              </w:tcPr>
              <w:p w14:paraId="1D41E62B" w14:textId="3D1D9F65" w:rsidR="00F64951" w:rsidRPr="00B80369" w:rsidRDefault="00F6495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9.22%</w:t>
                </w:r>
              </w:p>
            </w:tc>
            <w:tc>
              <w:tcPr>
                <w:tcW w:w="301" w:type="pct"/>
                <w:shd w:val="clear" w:color="auto" w:fill="FFFFFF" w:themeFill="background2"/>
                <w:vAlign w:val="center"/>
              </w:tcPr>
              <w:p w14:paraId="0427C682" w14:textId="43E7E7B1"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w:t>
                </w:r>
                <w:r w:rsidR="00474256" w:rsidRPr="00B80369">
                  <w:rPr>
                    <w:rFonts w:eastAsia="Times New Roman" w:cs="Segoe UI"/>
                    <w:sz w:val="14"/>
                    <w:szCs w:val="14"/>
                    <w:lang w:val="en-GB" w:eastAsia="it-IT"/>
                  </w:rPr>
                  <w:t>.</w:t>
                </w:r>
                <w:r w:rsidRPr="00B80369">
                  <w:rPr>
                    <w:rFonts w:eastAsia="Times New Roman" w:cs="Segoe UI"/>
                    <w:sz w:val="14"/>
                    <w:szCs w:val="14"/>
                    <w:lang w:val="en-GB" w:eastAsia="it-IT"/>
                  </w:rPr>
                  <w:t>57%</w:t>
                </w:r>
              </w:p>
            </w:tc>
            <w:tc>
              <w:tcPr>
                <w:tcW w:w="301" w:type="pct"/>
                <w:shd w:val="clear" w:color="auto" w:fill="FFFFFF" w:themeFill="background2"/>
                <w:vAlign w:val="center"/>
              </w:tcPr>
              <w:p w14:paraId="04F71643" w14:textId="0D246E5C"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301" w:type="pct"/>
                <w:shd w:val="clear" w:color="auto" w:fill="FFFFFF" w:themeFill="background2"/>
                <w:vAlign w:val="center"/>
              </w:tcPr>
              <w:p w14:paraId="161DC230" w14:textId="77777777"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325" w:type="pct"/>
                <w:shd w:val="clear" w:color="auto" w:fill="FFFFFF" w:themeFill="background2"/>
                <w:vAlign w:val="center"/>
              </w:tcPr>
              <w:p w14:paraId="0EAF679C" w14:textId="77777777"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r>
          <w:tr w:rsidR="00F64951" w:rsidRPr="00B80369" w14:paraId="0E6E0A0B"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3116CFEB" w14:textId="77777777" w:rsidR="00F64951" w:rsidRPr="00B80369" w:rsidRDefault="00F64951"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C1.2</w:t>
                </w:r>
              </w:p>
            </w:tc>
            <w:tc>
              <w:tcPr>
                <w:tcW w:w="357" w:type="pct"/>
                <w:shd w:val="clear" w:color="auto" w:fill="FFFFFF" w:themeFill="background2"/>
                <w:tcMar>
                  <w:top w:w="60" w:type="dxa"/>
                  <w:left w:w="114" w:type="dxa"/>
                  <w:bottom w:w="60" w:type="dxa"/>
                  <w:right w:w="114" w:type="dxa"/>
                </w:tcMar>
                <w:vAlign w:val="center"/>
              </w:tcPr>
              <w:p w14:paraId="53333DC4" w14:textId="13E8FDA8"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44.26%</w:t>
                </w:r>
              </w:p>
            </w:tc>
            <w:tc>
              <w:tcPr>
                <w:tcW w:w="396" w:type="pct"/>
                <w:shd w:val="clear" w:color="auto" w:fill="FFFFFF" w:themeFill="background2"/>
                <w:tcMar>
                  <w:top w:w="60" w:type="dxa"/>
                  <w:left w:w="114" w:type="dxa"/>
                  <w:bottom w:w="60" w:type="dxa"/>
                  <w:right w:w="114" w:type="dxa"/>
                </w:tcMar>
                <w:vAlign w:val="center"/>
              </w:tcPr>
              <w:p w14:paraId="6FD56869" w14:textId="7E0B5B35"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36.71%</w:t>
                </w:r>
              </w:p>
            </w:tc>
            <w:tc>
              <w:tcPr>
                <w:tcW w:w="301" w:type="pct"/>
                <w:shd w:val="clear" w:color="auto" w:fill="FFFFFF" w:themeFill="background2"/>
                <w:vAlign w:val="center"/>
              </w:tcPr>
              <w:p w14:paraId="691366AC" w14:textId="4A06EC5B"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35.37%</w:t>
                </w:r>
              </w:p>
            </w:tc>
            <w:tc>
              <w:tcPr>
                <w:tcW w:w="301" w:type="pct"/>
                <w:shd w:val="clear" w:color="auto" w:fill="FFFFFF" w:themeFill="background2"/>
                <w:vAlign w:val="center"/>
              </w:tcPr>
              <w:p w14:paraId="2856CF4B" w14:textId="33153364"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44.82%</w:t>
                </w:r>
              </w:p>
            </w:tc>
            <w:tc>
              <w:tcPr>
                <w:tcW w:w="301" w:type="pct"/>
                <w:shd w:val="clear" w:color="auto" w:fill="FFFFFF" w:themeFill="background2"/>
                <w:vAlign w:val="center"/>
              </w:tcPr>
              <w:p w14:paraId="255B3EEC" w14:textId="62578DC9"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45.86%</w:t>
                </w:r>
              </w:p>
            </w:tc>
            <w:tc>
              <w:tcPr>
                <w:tcW w:w="301" w:type="pct"/>
                <w:shd w:val="clear" w:color="auto" w:fill="FFFFFF" w:themeFill="background2"/>
                <w:vAlign w:val="center"/>
              </w:tcPr>
              <w:p w14:paraId="3889B2EF" w14:textId="6C1980EC"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30.57%</w:t>
                </w:r>
              </w:p>
            </w:tc>
            <w:tc>
              <w:tcPr>
                <w:tcW w:w="301" w:type="pct"/>
                <w:shd w:val="clear" w:color="auto" w:fill="FFFFFF" w:themeFill="background2"/>
                <w:vAlign w:val="center"/>
              </w:tcPr>
              <w:p w14:paraId="15A25471" w14:textId="59AF190B"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22.88%</w:t>
                </w:r>
              </w:p>
            </w:tc>
            <w:tc>
              <w:tcPr>
                <w:tcW w:w="302" w:type="pct"/>
                <w:shd w:val="clear" w:color="auto" w:fill="FFFFFF" w:themeFill="background2"/>
                <w:vAlign w:val="center"/>
              </w:tcPr>
              <w:p w14:paraId="0F8E2FD2" w14:textId="705123D9"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24.09%</w:t>
                </w:r>
              </w:p>
            </w:tc>
            <w:tc>
              <w:tcPr>
                <w:tcW w:w="302" w:type="pct"/>
                <w:shd w:val="clear" w:color="auto" w:fill="FFFFFF" w:themeFill="background2"/>
                <w:vAlign w:val="center"/>
              </w:tcPr>
              <w:p w14:paraId="5CCD4AAD" w14:textId="6CB37B8A"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16.59%</w:t>
                </w:r>
              </w:p>
            </w:tc>
            <w:tc>
              <w:tcPr>
                <w:tcW w:w="302" w:type="pct"/>
                <w:shd w:val="clear" w:color="auto" w:fill="FFFFFF" w:themeFill="background2"/>
                <w:vAlign w:val="center"/>
              </w:tcPr>
              <w:p w14:paraId="4AB6C250" w14:textId="1263A657"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16.32%</w:t>
                </w:r>
              </w:p>
            </w:tc>
            <w:tc>
              <w:tcPr>
                <w:tcW w:w="301" w:type="pct"/>
                <w:shd w:val="clear" w:color="auto" w:fill="FFFFFF" w:themeFill="background2"/>
                <w:vAlign w:val="center"/>
              </w:tcPr>
              <w:p w14:paraId="60494D61" w14:textId="2533E8E9" w:rsidR="00F64951" w:rsidRPr="00B80369" w:rsidRDefault="00F6495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18.15%</w:t>
                </w:r>
              </w:p>
            </w:tc>
            <w:tc>
              <w:tcPr>
                <w:tcW w:w="301" w:type="pct"/>
                <w:shd w:val="clear" w:color="auto" w:fill="FFFFFF" w:themeFill="background2"/>
                <w:vAlign w:val="center"/>
              </w:tcPr>
              <w:p w14:paraId="772A65AA" w14:textId="2D84F52D"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8</w:t>
                </w:r>
                <w:r w:rsidR="00474256" w:rsidRPr="00B80369">
                  <w:rPr>
                    <w:rFonts w:eastAsia="Times New Roman" w:cs="Segoe UI"/>
                    <w:sz w:val="14"/>
                    <w:szCs w:val="14"/>
                    <w:lang w:val="en-GB" w:eastAsia="it-IT"/>
                  </w:rPr>
                  <w:t>.</w:t>
                </w:r>
                <w:r w:rsidRPr="00B80369">
                  <w:rPr>
                    <w:rFonts w:eastAsia="Times New Roman" w:cs="Segoe UI"/>
                    <w:sz w:val="14"/>
                    <w:szCs w:val="14"/>
                    <w:lang w:val="en-GB" w:eastAsia="it-IT"/>
                  </w:rPr>
                  <w:t>82%</w:t>
                </w:r>
              </w:p>
            </w:tc>
            <w:tc>
              <w:tcPr>
                <w:tcW w:w="301" w:type="pct"/>
                <w:shd w:val="clear" w:color="auto" w:fill="FFFFFF" w:themeFill="background2"/>
                <w:vAlign w:val="center"/>
              </w:tcPr>
              <w:p w14:paraId="308B2C63" w14:textId="49AA7F43"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301" w:type="pct"/>
                <w:shd w:val="clear" w:color="auto" w:fill="FFFFFF" w:themeFill="background2"/>
                <w:vAlign w:val="center"/>
              </w:tcPr>
              <w:p w14:paraId="66328EBB" w14:textId="77777777"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325" w:type="pct"/>
                <w:shd w:val="clear" w:color="auto" w:fill="FFFFFF" w:themeFill="background2"/>
                <w:vAlign w:val="center"/>
              </w:tcPr>
              <w:p w14:paraId="3C9A81B0" w14:textId="77777777"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r>
          <w:tr w:rsidR="00F64951" w:rsidRPr="00B80369" w14:paraId="72BA0F5A"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2E83F7F4" w14:textId="77777777" w:rsidR="00F64951" w:rsidRPr="00B80369" w:rsidRDefault="00F64951" w:rsidP="0007107A">
                <w:pPr>
                  <w:spacing w:before="0" w:line="240" w:lineRule="auto"/>
                  <w:jc w:val="left"/>
                  <w:rPr>
                    <w:rFonts w:eastAsia="Times New Roman" w:cs="Segoe UI"/>
                    <w:b/>
                    <w:bCs/>
                    <w:sz w:val="14"/>
                    <w:szCs w:val="14"/>
                    <w:lang w:val="en-GB" w:eastAsia="it-IT"/>
                  </w:rPr>
                </w:pPr>
                <w:r w:rsidRPr="00B80369">
                  <w:rPr>
                    <w:rFonts w:cs="Segoe UI"/>
                    <w:b/>
                    <w:bCs/>
                    <w:sz w:val="14"/>
                    <w:szCs w:val="14"/>
                    <w:lang w:eastAsia="it-IT"/>
                  </w:rPr>
                  <w:t>C2.1</w:t>
                </w:r>
              </w:p>
            </w:tc>
            <w:tc>
              <w:tcPr>
                <w:tcW w:w="357" w:type="pct"/>
                <w:shd w:val="clear" w:color="auto" w:fill="FFFFFF" w:themeFill="background2"/>
                <w:tcMar>
                  <w:top w:w="60" w:type="dxa"/>
                  <w:left w:w="114" w:type="dxa"/>
                  <w:bottom w:w="60" w:type="dxa"/>
                  <w:right w:w="114" w:type="dxa"/>
                </w:tcMar>
                <w:vAlign w:val="center"/>
              </w:tcPr>
              <w:p w14:paraId="17CC08B6" w14:textId="2E7BD22F"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75.71%</w:t>
                </w:r>
              </w:p>
            </w:tc>
            <w:tc>
              <w:tcPr>
                <w:tcW w:w="396" w:type="pct"/>
                <w:shd w:val="clear" w:color="auto" w:fill="FFFFFF" w:themeFill="background2"/>
                <w:tcMar>
                  <w:top w:w="60" w:type="dxa"/>
                  <w:left w:w="114" w:type="dxa"/>
                  <w:bottom w:w="60" w:type="dxa"/>
                  <w:right w:w="114" w:type="dxa"/>
                </w:tcMar>
                <w:vAlign w:val="center"/>
              </w:tcPr>
              <w:p w14:paraId="0976E305" w14:textId="79225F9B"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67.15%</w:t>
                </w:r>
              </w:p>
            </w:tc>
            <w:tc>
              <w:tcPr>
                <w:tcW w:w="301" w:type="pct"/>
                <w:shd w:val="clear" w:color="auto" w:fill="FFFFFF" w:themeFill="background2"/>
                <w:vAlign w:val="center"/>
              </w:tcPr>
              <w:p w14:paraId="30EFF36F" w14:textId="311FA924"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59.88%</w:t>
                </w:r>
              </w:p>
            </w:tc>
            <w:tc>
              <w:tcPr>
                <w:tcW w:w="301" w:type="pct"/>
                <w:shd w:val="clear" w:color="auto" w:fill="FFFFFF" w:themeFill="background2"/>
                <w:vAlign w:val="center"/>
              </w:tcPr>
              <w:p w14:paraId="005AC125" w14:textId="2A6990CD"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67.25%</w:t>
                </w:r>
              </w:p>
            </w:tc>
            <w:tc>
              <w:tcPr>
                <w:tcW w:w="301" w:type="pct"/>
                <w:shd w:val="clear" w:color="auto" w:fill="FFFFFF" w:themeFill="background2"/>
                <w:vAlign w:val="center"/>
              </w:tcPr>
              <w:p w14:paraId="34B0576C" w14:textId="1AD6EAC0"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78.50%</w:t>
                </w:r>
              </w:p>
            </w:tc>
            <w:tc>
              <w:tcPr>
                <w:tcW w:w="301" w:type="pct"/>
                <w:shd w:val="clear" w:color="auto" w:fill="FFFFFF" w:themeFill="background2"/>
                <w:vAlign w:val="center"/>
              </w:tcPr>
              <w:p w14:paraId="6C169FCD" w14:textId="75FDC1D5"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72.43%</w:t>
                </w:r>
              </w:p>
            </w:tc>
            <w:tc>
              <w:tcPr>
                <w:tcW w:w="301" w:type="pct"/>
                <w:shd w:val="clear" w:color="auto" w:fill="FFFFFF" w:themeFill="background2"/>
                <w:vAlign w:val="center"/>
              </w:tcPr>
              <w:p w14:paraId="3AFD7455" w14:textId="1EC57CAD"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58.91%</w:t>
                </w:r>
              </w:p>
            </w:tc>
            <w:tc>
              <w:tcPr>
                <w:tcW w:w="302" w:type="pct"/>
                <w:shd w:val="clear" w:color="auto" w:fill="FFFFFF" w:themeFill="background2"/>
                <w:vAlign w:val="center"/>
              </w:tcPr>
              <w:p w14:paraId="2864BA45" w14:textId="2F72C732"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62.78%</w:t>
                </w:r>
              </w:p>
            </w:tc>
            <w:tc>
              <w:tcPr>
                <w:tcW w:w="302" w:type="pct"/>
                <w:shd w:val="clear" w:color="auto" w:fill="FFFFFF" w:themeFill="background2"/>
                <w:vAlign w:val="center"/>
              </w:tcPr>
              <w:p w14:paraId="3B4AB74B" w14:textId="68E144B4"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48.91%</w:t>
                </w:r>
              </w:p>
            </w:tc>
            <w:tc>
              <w:tcPr>
                <w:tcW w:w="302" w:type="pct"/>
                <w:shd w:val="clear" w:color="auto" w:fill="FFFFFF" w:themeFill="background2"/>
                <w:vAlign w:val="center"/>
              </w:tcPr>
              <w:p w14:paraId="3C668400" w14:textId="49362E79"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50.44%</w:t>
                </w:r>
              </w:p>
            </w:tc>
            <w:tc>
              <w:tcPr>
                <w:tcW w:w="301" w:type="pct"/>
                <w:shd w:val="clear" w:color="auto" w:fill="FFFFFF" w:themeFill="background2"/>
                <w:vAlign w:val="center"/>
              </w:tcPr>
              <w:p w14:paraId="43E2BFFA" w14:textId="5A9F22C2" w:rsidR="00F64951" w:rsidRPr="00B80369" w:rsidRDefault="00F64951"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50.58%</w:t>
                </w:r>
              </w:p>
            </w:tc>
            <w:tc>
              <w:tcPr>
                <w:tcW w:w="301" w:type="pct"/>
                <w:shd w:val="clear" w:color="auto" w:fill="FFFFFF" w:themeFill="background2"/>
                <w:vAlign w:val="center"/>
              </w:tcPr>
              <w:p w14:paraId="6CEBBAB3" w14:textId="6B87172B"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51</w:t>
                </w:r>
                <w:r w:rsidR="00474256" w:rsidRPr="00B80369">
                  <w:rPr>
                    <w:rFonts w:eastAsia="Times New Roman" w:cs="Segoe UI"/>
                    <w:sz w:val="14"/>
                    <w:szCs w:val="14"/>
                    <w:lang w:val="en-GB" w:eastAsia="it-IT"/>
                  </w:rPr>
                  <w:t>.</w:t>
                </w:r>
                <w:r w:rsidRPr="00B80369">
                  <w:rPr>
                    <w:rFonts w:eastAsia="Times New Roman" w:cs="Segoe UI"/>
                    <w:sz w:val="14"/>
                    <w:szCs w:val="14"/>
                    <w:lang w:val="en-GB" w:eastAsia="it-IT"/>
                  </w:rPr>
                  <w:t>07%</w:t>
                </w:r>
              </w:p>
            </w:tc>
            <w:tc>
              <w:tcPr>
                <w:tcW w:w="301" w:type="pct"/>
                <w:shd w:val="clear" w:color="auto" w:fill="FFFFFF" w:themeFill="background2"/>
                <w:vAlign w:val="center"/>
              </w:tcPr>
              <w:p w14:paraId="2A665FE9" w14:textId="2CE114E2"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301" w:type="pct"/>
                <w:shd w:val="clear" w:color="auto" w:fill="FFFFFF" w:themeFill="background2"/>
                <w:vAlign w:val="center"/>
              </w:tcPr>
              <w:p w14:paraId="347A434A" w14:textId="77777777"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c>
              <w:tcPr>
                <w:tcW w:w="325" w:type="pct"/>
                <w:shd w:val="clear" w:color="auto" w:fill="FFFFFF" w:themeFill="background2"/>
                <w:vAlign w:val="center"/>
              </w:tcPr>
              <w:p w14:paraId="517438F6" w14:textId="77777777" w:rsidR="00F64951" w:rsidRPr="00B80369" w:rsidRDefault="00F64951"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r>
          <w:tr w:rsidR="007F43C7" w:rsidRPr="00B80369" w14:paraId="176125E7" w14:textId="77777777" w:rsidTr="00B47881">
            <w:trPr>
              <w:trHeight w:val="227"/>
            </w:trPr>
            <w:tc>
              <w:tcPr>
                <w:tcW w:w="307" w:type="pct"/>
                <w:shd w:val="clear" w:color="auto" w:fill="FFFFFF" w:themeFill="background2"/>
                <w:tcMar>
                  <w:top w:w="60" w:type="dxa"/>
                  <w:left w:w="114" w:type="dxa"/>
                  <w:bottom w:w="60" w:type="dxa"/>
                  <w:right w:w="114" w:type="dxa"/>
                </w:tcMar>
                <w:vAlign w:val="center"/>
              </w:tcPr>
              <w:p w14:paraId="66EBF5AA" w14:textId="77777777" w:rsidR="007F43C7" w:rsidRPr="00B80369" w:rsidRDefault="007F43C7" w:rsidP="00B80369">
                <w:pPr>
                  <w:spacing w:before="0" w:line="240" w:lineRule="auto"/>
                  <w:jc w:val="center"/>
                  <w:rPr>
                    <w:rFonts w:cs="Segoe UI"/>
                    <w:b/>
                    <w:bCs/>
                    <w:sz w:val="14"/>
                    <w:szCs w:val="14"/>
                    <w:lang w:eastAsia="it-IT"/>
                  </w:rPr>
                </w:pPr>
                <w:r w:rsidRPr="00B80369">
                  <w:rPr>
                    <w:rFonts w:cs="Segoe UI"/>
                    <w:b/>
                    <w:bCs/>
                    <w:sz w:val="14"/>
                    <w:szCs w:val="14"/>
                    <w:lang w:eastAsia="it-IT"/>
                  </w:rPr>
                  <w:t>TOTAL</w:t>
                </w:r>
              </w:p>
            </w:tc>
            <w:tc>
              <w:tcPr>
                <w:tcW w:w="357" w:type="pct"/>
                <w:shd w:val="clear" w:color="auto" w:fill="FFFFFF" w:themeFill="background2"/>
                <w:tcMar>
                  <w:top w:w="60" w:type="dxa"/>
                  <w:left w:w="114" w:type="dxa"/>
                  <w:bottom w:w="60" w:type="dxa"/>
                  <w:right w:w="114" w:type="dxa"/>
                </w:tcMar>
                <w:vAlign w:val="center"/>
              </w:tcPr>
              <w:p w14:paraId="053C7246" w14:textId="32F18867" w:rsidR="007F43C7" w:rsidRPr="00B80369" w:rsidRDefault="007F43C7"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14.18%</w:t>
                </w:r>
              </w:p>
            </w:tc>
            <w:tc>
              <w:tcPr>
                <w:tcW w:w="396" w:type="pct"/>
                <w:shd w:val="clear" w:color="auto" w:fill="FFFFFF" w:themeFill="background2"/>
                <w:tcMar>
                  <w:top w:w="60" w:type="dxa"/>
                  <w:left w:w="114" w:type="dxa"/>
                  <w:bottom w:w="60" w:type="dxa"/>
                  <w:right w:w="114" w:type="dxa"/>
                </w:tcMar>
                <w:vAlign w:val="center"/>
              </w:tcPr>
              <w:p w14:paraId="7AF8900A" w14:textId="6CC10ADE" w:rsidR="007F43C7" w:rsidRPr="00B80369" w:rsidRDefault="007F43C7"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11.04%</w:t>
                </w:r>
              </w:p>
            </w:tc>
            <w:tc>
              <w:tcPr>
                <w:tcW w:w="301" w:type="pct"/>
                <w:shd w:val="clear" w:color="auto" w:fill="FFFFFF" w:themeFill="background2"/>
                <w:vAlign w:val="center"/>
              </w:tcPr>
              <w:p w14:paraId="2CBABAB5" w14:textId="3391B2C7" w:rsidR="007F43C7" w:rsidRPr="00B80369" w:rsidRDefault="007F43C7"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11.14%</w:t>
                </w:r>
              </w:p>
            </w:tc>
            <w:tc>
              <w:tcPr>
                <w:tcW w:w="301" w:type="pct"/>
                <w:shd w:val="clear" w:color="auto" w:fill="FFFFFF" w:themeFill="background2"/>
                <w:vAlign w:val="center"/>
              </w:tcPr>
              <w:p w14:paraId="12997AF6" w14:textId="26A1F94C" w:rsidR="007F43C7" w:rsidRPr="00B80369" w:rsidRDefault="007F43C7"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12.72%</w:t>
                </w:r>
              </w:p>
            </w:tc>
            <w:tc>
              <w:tcPr>
                <w:tcW w:w="301" w:type="pct"/>
                <w:shd w:val="clear" w:color="auto" w:fill="FFFFFF" w:themeFill="background2"/>
                <w:vAlign w:val="center"/>
              </w:tcPr>
              <w:p w14:paraId="250EF49A" w14:textId="3C82FCE2" w:rsidR="007F43C7" w:rsidRPr="00B80369" w:rsidRDefault="007F43C7"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11.33%</w:t>
                </w:r>
              </w:p>
            </w:tc>
            <w:tc>
              <w:tcPr>
                <w:tcW w:w="301" w:type="pct"/>
                <w:shd w:val="clear" w:color="auto" w:fill="FFFFFF" w:themeFill="background2"/>
                <w:vAlign w:val="center"/>
              </w:tcPr>
              <w:p w14:paraId="49CA8B7D" w14:textId="22576755" w:rsidR="007F43C7" w:rsidRPr="00B80369" w:rsidRDefault="007F43C7" w:rsidP="00B80369">
                <w:pPr>
                  <w:spacing w:before="0" w:line="240" w:lineRule="auto"/>
                  <w:jc w:val="center"/>
                  <w:rPr>
                    <w:rFonts w:eastAsia="Times New Roman" w:cs="Segoe UI"/>
                    <w:sz w:val="14"/>
                    <w:szCs w:val="14"/>
                    <w:lang w:val="en-GB" w:eastAsia="it-IT"/>
                  </w:rPr>
                </w:pPr>
                <w:r w:rsidRPr="00B80369">
                  <w:rPr>
                    <w:rFonts w:eastAsia="Times New Roman" w:cs="Segoe UI"/>
                    <w:b/>
                    <w:sz w:val="14"/>
                    <w:szCs w:val="14"/>
                    <w:lang w:val="en-GB" w:eastAsia="it-IT"/>
                  </w:rPr>
                  <w:t>9.87%</w:t>
                </w:r>
              </w:p>
            </w:tc>
            <w:tc>
              <w:tcPr>
                <w:tcW w:w="301" w:type="pct"/>
                <w:shd w:val="clear" w:color="auto" w:fill="FFFFFF" w:themeFill="background2"/>
                <w:vAlign w:val="center"/>
              </w:tcPr>
              <w:p w14:paraId="7A56288D" w14:textId="1371A367" w:rsidR="007F43C7" w:rsidRPr="00B80369" w:rsidRDefault="007F43C7"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8.34%</w:t>
                </w:r>
              </w:p>
            </w:tc>
            <w:tc>
              <w:tcPr>
                <w:tcW w:w="302" w:type="pct"/>
                <w:shd w:val="clear" w:color="auto" w:fill="FFFFFF" w:themeFill="background2"/>
                <w:vAlign w:val="center"/>
              </w:tcPr>
              <w:p w14:paraId="565EA9E0" w14:textId="68C6EF11" w:rsidR="007F43C7" w:rsidRPr="00B80369" w:rsidRDefault="007F43C7"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7.05%</w:t>
                </w:r>
              </w:p>
            </w:tc>
            <w:tc>
              <w:tcPr>
                <w:tcW w:w="302" w:type="pct"/>
                <w:shd w:val="clear" w:color="auto" w:fill="FFFFFF" w:themeFill="background2"/>
                <w:vAlign w:val="center"/>
              </w:tcPr>
              <w:p w14:paraId="08A7CB92" w14:textId="305C32DD" w:rsidR="007F43C7" w:rsidRPr="00B80369" w:rsidRDefault="007F43C7" w:rsidP="00B80369">
                <w:pPr>
                  <w:spacing w:before="0" w:line="240" w:lineRule="auto"/>
                  <w:jc w:val="center"/>
                  <w:rPr>
                    <w:rFonts w:eastAsia="Times New Roman" w:cs="Segoe UI"/>
                    <w:b/>
                    <w:bCs/>
                    <w:sz w:val="14"/>
                    <w:szCs w:val="14"/>
                    <w:lang w:val="en-GB" w:eastAsia="it-IT"/>
                  </w:rPr>
                </w:pPr>
                <w:r w:rsidRPr="00B80369">
                  <w:rPr>
                    <w:rFonts w:eastAsia="Times New Roman" w:cs="Segoe UI"/>
                    <w:b/>
                    <w:sz w:val="14"/>
                    <w:szCs w:val="14"/>
                    <w:lang w:val="en-GB" w:eastAsia="it-IT"/>
                  </w:rPr>
                  <w:t>5.04%</w:t>
                </w:r>
              </w:p>
            </w:tc>
            <w:tc>
              <w:tcPr>
                <w:tcW w:w="302" w:type="pct"/>
                <w:shd w:val="clear" w:color="auto" w:fill="FFFFFF" w:themeFill="background2"/>
                <w:vAlign w:val="center"/>
              </w:tcPr>
              <w:p w14:paraId="283967AC" w14:textId="21611FA6" w:rsidR="007F43C7" w:rsidRPr="00B80369" w:rsidRDefault="007F43C7"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4.51%</w:t>
                </w:r>
              </w:p>
            </w:tc>
            <w:tc>
              <w:tcPr>
                <w:tcW w:w="301" w:type="pct"/>
                <w:shd w:val="clear" w:color="auto" w:fill="FFFFFF" w:themeFill="background2"/>
                <w:vAlign w:val="center"/>
              </w:tcPr>
              <w:p w14:paraId="3D4AFDD6" w14:textId="18AD26F7" w:rsidR="007F43C7" w:rsidRPr="00B80369" w:rsidRDefault="007F43C7"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3.69%</w:t>
                </w:r>
              </w:p>
            </w:tc>
            <w:tc>
              <w:tcPr>
                <w:tcW w:w="301" w:type="pct"/>
                <w:shd w:val="clear" w:color="auto" w:fill="FFFFFF" w:themeFill="background2"/>
                <w:vAlign w:val="center"/>
              </w:tcPr>
              <w:p w14:paraId="00F8D81B" w14:textId="6BA58690" w:rsidR="007F43C7" w:rsidRPr="00B80369" w:rsidRDefault="007F43C7" w:rsidP="00B80369">
                <w:pPr>
                  <w:spacing w:before="0" w:line="240" w:lineRule="auto"/>
                  <w:jc w:val="center"/>
                  <w:rPr>
                    <w:rFonts w:eastAsia="Times New Roman" w:cs="Segoe UI"/>
                    <w:b/>
                    <w:bCs/>
                    <w:sz w:val="14"/>
                    <w:szCs w:val="14"/>
                    <w:lang w:val="en-GB" w:eastAsia="it-IT"/>
                  </w:rPr>
                </w:pPr>
                <w:r w:rsidRPr="00B80369">
                  <w:rPr>
                    <w:rFonts w:eastAsia="Times New Roman" w:cs="Segoe UI"/>
                    <w:b/>
                    <w:bCs/>
                    <w:sz w:val="14"/>
                    <w:szCs w:val="14"/>
                    <w:lang w:val="en-GB" w:eastAsia="it-IT"/>
                  </w:rPr>
                  <w:t>2.72%</w:t>
                </w:r>
              </w:p>
            </w:tc>
            <w:tc>
              <w:tcPr>
                <w:tcW w:w="301" w:type="pct"/>
                <w:shd w:val="clear" w:color="auto" w:fill="FFFFFF" w:themeFill="background2"/>
                <w:vAlign w:val="center"/>
              </w:tcPr>
              <w:p w14:paraId="658743B8" w14:textId="51EAEDB4" w:rsidR="007F43C7" w:rsidRPr="00B80369" w:rsidRDefault="007F43C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w:t>
                </w:r>
              </w:p>
            </w:tc>
            <w:tc>
              <w:tcPr>
                <w:tcW w:w="301" w:type="pct"/>
                <w:shd w:val="clear" w:color="auto" w:fill="FFFFFF" w:themeFill="background2"/>
                <w:vAlign w:val="center"/>
              </w:tcPr>
              <w:p w14:paraId="113DE7BA" w14:textId="77777777" w:rsidR="007F43C7" w:rsidRPr="00B80369" w:rsidRDefault="007F43C7" w:rsidP="00B80369">
                <w:pPr>
                  <w:spacing w:before="0" w:line="240" w:lineRule="auto"/>
                  <w:jc w:val="center"/>
                  <w:rPr>
                    <w:rFonts w:eastAsia="Times New Roman" w:cs="Segoe UI"/>
                    <w:b/>
                    <w:bCs/>
                    <w:sz w:val="14"/>
                    <w:szCs w:val="14"/>
                    <w:lang w:val="en-GB" w:eastAsia="it-IT"/>
                  </w:rPr>
                </w:pPr>
                <w:r w:rsidRPr="00B80369">
                  <w:rPr>
                    <w:rFonts w:eastAsia="Times New Roman" w:cs="Segoe UI"/>
                    <w:sz w:val="14"/>
                    <w:szCs w:val="14"/>
                    <w:lang w:val="en-GB" w:eastAsia="it-IT"/>
                  </w:rPr>
                  <w:t>-</w:t>
                </w:r>
              </w:p>
            </w:tc>
            <w:tc>
              <w:tcPr>
                <w:tcW w:w="325" w:type="pct"/>
                <w:shd w:val="clear" w:color="auto" w:fill="FFFFFF" w:themeFill="background2"/>
                <w:vAlign w:val="center"/>
              </w:tcPr>
              <w:p w14:paraId="0EEF8F82" w14:textId="77777777" w:rsidR="007F43C7" w:rsidRPr="00B80369" w:rsidRDefault="007F43C7" w:rsidP="00B80369">
                <w:pPr>
                  <w:spacing w:before="0" w:line="240" w:lineRule="auto"/>
                  <w:jc w:val="center"/>
                  <w:rPr>
                    <w:rFonts w:eastAsia="Times New Roman" w:cs="Segoe UI"/>
                    <w:sz w:val="14"/>
                    <w:szCs w:val="14"/>
                    <w:lang w:val="en-GB" w:eastAsia="it-IT"/>
                  </w:rPr>
                </w:pPr>
                <w:r w:rsidRPr="00B80369">
                  <w:rPr>
                    <w:rFonts w:eastAsia="Times New Roman" w:cs="Segoe UI"/>
                    <w:sz w:val="14"/>
                    <w:szCs w:val="14"/>
                    <w:lang w:val="en-GB" w:eastAsia="it-IT"/>
                  </w:rPr>
                  <w:t>-</w:t>
                </w:r>
              </w:p>
            </w:tc>
          </w:tr>
        </w:tbl>
        <w:p w14:paraId="13480E56" w14:textId="77777777" w:rsidR="006E6A05" w:rsidRDefault="006E6A05" w:rsidP="006E6A05">
          <w:pPr>
            <w:rPr>
              <w:lang w:val="en-GB"/>
            </w:rPr>
          </w:pPr>
        </w:p>
        <w:p w14:paraId="175B6D1E" w14:textId="3FC153AE" w:rsidR="00474256" w:rsidRPr="00474256" w:rsidRDefault="004101BF" w:rsidP="00474256">
          <w:pPr>
            <w:pStyle w:val="Didascalia"/>
            <w:rPr>
              <w:rFonts w:ascii="Segoe UI" w:hAnsi="Segoe UI" w:cs="Segoe UI"/>
              <w:i/>
              <w:sz w:val="14"/>
              <w:lang w:val="en-GB"/>
            </w:rPr>
          </w:pPr>
          <w:bookmarkStart w:id="167" w:name="_Toc130806349"/>
          <w:bookmarkStart w:id="168" w:name="_Toc166675690"/>
          <w:bookmarkStart w:id="169" w:name="_Toc167131817"/>
          <w:r w:rsidRPr="0032337D">
            <w:rPr>
              <w:rFonts w:ascii="Segoe UI" w:hAnsi="Segoe UI" w:cs="Segoe UI"/>
              <w:i/>
              <w:sz w:val="14"/>
              <w:lang w:val="en-GB"/>
            </w:rPr>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49</w:t>
          </w:r>
          <w:r>
            <w:rPr>
              <w:rFonts w:ascii="Segoe UI" w:hAnsi="Segoe UI" w:cs="Segoe UI"/>
              <w:i/>
              <w:sz w:val="14"/>
              <w:lang w:val="en-GB"/>
            </w:rPr>
            <w:fldChar w:fldCharType="end"/>
          </w:r>
          <w:r w:rsidRPr="0032337D">
            <w:rPr>
              <w:rFonts w:ascii="Segoe UI" w:hAnsi="Segoe UI" w:cs="Segoe UI"/>
              <w:i/>
              <w:sz w:val="14"/>
              <w:lang w:val="en-GB"/>
            </w:rPr>
            <w:t>: 5-Y default rates</w:t>
          </w:r>
          <w:bookmarkEnd w:id="167"/>
          <w:bookmarkEnd w:id="168"/>
          <w:bookmarkEnd w:id="169"/>
        </w:p>
        <w:tbl>
          <w:tblPr>
            <w:tblW w:w="5000" w:type="pct"/>
            <w:tblBorders>
              <w:top w:val="single" w:sz="4" w:space="0" w:color="AFAFB4" w:themeColor="accent4"/>
              <w:bottom w:val="single" w:sz="4" w:space="0" w:color="AFAFB4" w:themeColor="accent4"/>
              <w:insideH w:val="single" w:sz="4" w:space="0" w:color="AFAFB4" w:themeColor="accent4"/>
            </w:tblBorders>
            <w:shd w:val="clear" w:color="auto" w:fill="FFFFFF" w:themeFill="background2"/>
            <w:tblCellMar>
              <w:left w:w="0" w:type="dxa"/>
              <w:right w:w="0" w:type="dxa"/>
            </w:tblCellMar>
            <w:tblLook w:val="0620" w:firstRow="1" w:lastRow="0" w:firstColumn="0" w:lastColumn="0" w:noHBand="1" w:noVBand="1"/>
            <w:tblDescription w:val="{&quot;Ott&quot;:{&quot;FirstRow&quot;:{&quot;BackgroundColor&quot;:{&quot;Key&quot;:&quot;Light2&quot;},&quot;Font&quot;:{&quot;Name&quot;:&quot;Source Sans Pro&quot;,&quot;Size&quot;:14.0,&quot;Bold&quot;:false,&quot;Italic&quot;:false,&quot;Color&quot;:{&quot;Key&quot;:&quot;Dark2&quot;}},&quot;ExcelCellFormatting&quot;:&quot;General&quot;,&quot;Alignment&quot;:{&quot;Horizontal&quot;:&quot;Left&quot;,&quot;Vertical&quot;:&quot;Bottom&quot;},&quot;Borders&quot;:{&quot;Vertical&quot;:{&quot;Visible&quot;:false},&quot;Left&quot;:{&quot;Visible&quot;:false},&quot;Top&quot;:{&quot;Visible&quot;:false},&quot;Right&quot;:{&quot;Visible&quot;:false},&quot;Bottom&quot;:{&quot;Color&quot;:{&quot;Key&quot;:&quot;Accent4&quot;},&quot;BorderWeight&quot;:&quot;Pt1_5&quot;,&quot;Type&quot;:&quot;Solid&quot;,&quot;Visible&quot;:true}}},&quot;FitRowHeightPp&quot;:true,&quot;ZeroMarginsWord&quot;:true,&quot;BackgroundColor&quot;:{&quot;Key&quot;:&quot;Light2&quot;},&quot;Font&quot;:{&quot;Name&quot;:&quot;Source Sans Pro&quot;,&quot;Size&quot;:11.0,&quot;Bold&quot;:false,&quot;Italic&quot;:false,&quot;Color&quot;:{&quot;Key&quot;:&quot;Dark2&quot;}},&quot;LineSpacing&quot;:{&quot;Rule&quot;:&quot;Single&quot;},&quot;Alignment&quot;:{&quot;Horizontal&quot;:&quot;Left&quot;,&quot;Vertical&quot;:&quot;Top&quot;},&quot;Margin&quot;:{&quot;Left&quot;:5.7,&quot;Top&quot;:3.0,&quot;Right&quot;:5.7,&quot;Bottom&quot;:3.0},&quot;Borders&quot;:{&quot;Vertical&quot;:{&quot;Visible&quot;:false},&quot;Horizontal&quot;:{&quot;Color&quot;:{&quot;Key&quot;:&quot;Accent4&quot;},&quot;BorderWeight&quot;:&quot;Pt0_5&quot;,&quot;Type&quot;:&quot;Solid&quot;,&quot;Visible&quot;:true}},&quot;ParagraphSpacing&quot;:{&quot;SpaceBefore&quot;:2.0,&quot;SpaceAfter&quot;:2.0},&quot;ExcelWrapText&quot;:true},&quot;Ccs&quot;:{&quot;DarkBlue&quot;:&quot;0, 20, 55&quot;,&quot;Turquoise&quot;:&quot;0, 164, 230&quot;,&quot;Red&quot;:&quot;214, 70, 65&quot;,&quot;LightGrey&quot;:&quot;174, 174, 180&quot;,&quot;BlueGrey&quot;:&quot;77, 91, 115&quot;,&quot;IceBlue&quot;:&quot;178, 184, 195&quot;,&quot;Grey&quot;:&quot;145, 147, 153&quot;,&quot;Background&quot;:&quot;0, 0, 0, 0&quot;,&quot;White&quot;:&quot;White&quot;,&quot;Accent1&quot;:&quot;1, 1, 1, 1&quot;,&quot;Accent2&quot;:&quot;1, 1, 1, 2&quot;,&quot;Accent3&quot;:&quot;1, 1, 1, 3&quot;,&quot;Accent4&quot;:&quot;1, 1, 1, 4&quot;,&quot;Accent5&quot;:&quot;1, 1, 1, 5&quot;,&quot;Accent6&quot;:&quot;1, 1, 1, 6&quot;,&quot;Dark1&quot;:&quot;1, 1, 1, 7&quot;,&quot;Dark2&quot;:&quot;1, 1, 1, 9&quot;,&quot;Light1&quot;:&quot;1, 1, 1, 8&quot;,&quot;Light2&quot;:&quot;1, 1, 1, 10&quot;},&quot;Cop&quot;:{&quot;FirstRow&quot;:true,&quot;LastRow&quot;:false,&quot;FirstColumn&quot;:false,&quot;LastColumn&quot;:false,&quot;BandedRows&quot;:false,&quot;BandedColumns&quot;:false},&quot;Aaf&quot;:false}"/>
          </w:tblPr>
          <w:tblGrid>
            <w:gridCol w:w="635"/>
            <w:gridCol w:w="738"/>
            <w:gridCol w:w="820"/>
            <w:gridCol w:w="623"/>
            <w:gridCol w:w="623"/>
            <w:gridCol w:w="623"/>
            <w:gridCol w:w="623"/>
            <w:gridCol w:w="623"/>
            <w:gridCol w:w="625"/>
            <w:gridCol w:w="625"/>
            <w:gridCol w:w="625"/>
            <w:gridCol w:w="623"/>
            <w:gridCol w:w="623"/>
            <w:gridCol w:w="623"/>
            <w:gridCol w:w="623"/>
            <w:gridCol w:w="673"/>
          </w:tblGrid>
          <w:tr w:rsidR="00474256" w:rsidRPr="005F389E" w14:paraId="30911BD0" w14:textId="77777777" w:rsidTr="00B47881">
            <w:trPr>
              <w:trHeight w:val="227"/>
              <w:tblHeader/>
            </w:trPr>
            <w:tc>
              <w:tcPr>
                <w:tcW w:w="307" w:type="pct"/>
                <w:vMerge w:val="restar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45E0FD8B" w14:textId="77777777" w:rsidR="00474256" w:rsidRPr="005F389E" w:rsidRDefault="00474256" w:rsidP="00B80369">
                <w:pPr>
                  <w:spacing w:before="0" w:line="240" w:lineRule="auto"/>
                  <w:jc w:val="center"/>
                  <w:rPr>
                    <w:b/>
                    <w:color w:val="33A1AB" w:themeColor="accent2"/>
                    <w:sz w:val="14"/>
                    <w:szCs w:val="14"/>
                  </w:rPr>
                </w:pPr>
                <w:r w:rsidRPr="005F389E">
                  <w:rPr>
                    <w:b/>
                    <w:color w:val="33A1AB" w:themeColor="accent2"/>
                    <w:sz w:val="14"/>
                    <w:szCs w:val="14"/>
                  </w:rPr>
                  <w:t>Rating</w:t>
                </w:r>
              </w:p>
            </w:tc>
            <w:tc>
              <w:tcPr>
                <w:tcW w:w="4693" w:type="pct"/>
                <w:gridSpan w:val="15"/>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636B9071" w14:textId="7768BCEC" w:rsidR="00474256" w:rsidRPr="005F389E" w:rsidRDefault="00781E27" w:rsidP="00B80369">
                <w:pPr>
                  <w:spacing w:before="0" w:line="240" w:lineRule="auto"/>
                  <w:jc w:val="center"/>
                  <w:rPr>
                    <w:b/>
                    <w:color w:val="33A1AB" w:themeColor="accent2"/>
                    <w:sz w:val="14"/>
                    <w:szCs w:val="14"/>
                  </w:rPr>
                </w:pPr>
                <w:r w:rsidRPr="005F389E">
                  <w:rPr>
                    <w:b/>
                    <w:color w:val="33A1AB" w:themeColor="accent2"/>
                    <w:sz w:val="14"/>
                    <w:szCs w:val="14"/>
                  </w:rPr>
                  <w:t>5</w:t>
                </w:r>
                <w:r w:rsidR="00474256" w:rsidRPr="005F389E">
                  <w:rPr>
                    <w:b/>
                    <w:color w:val="33A1AB" w:themeColor="accent2"/>
                    <w:sz w:val="14"/>
                    <w:szCs w:val="14"/>
                  </w:rPr>
                  <w:t>-Y DEFAULT RATES</w:t>
                </w:r>
              </w:p>
            </w:tc>
          </w:tr>
          <w:tr w:rsidR="00474256" w:rsidRPr="005F389E" w14:paraId="1DC386DF" w14:textId="77777777" w:rsidTr="00B47881">
            <w:trPr>
              <w:trHeight w:val="227"/>
              <w:tblHeader/>
            </w:trPr>
            <w:tc>
              <w:tcPr>
                <w:tcW w:w="307" w:type="pct"/>
                <w:vMerge/>
                <w:shd w:val="clear" w:color="auto" w:fill="FFFFFF" w:themeFill="background2"/>
                <w:tcMar>
                  <w:top w:w="60" w:type="dxa"/>
                  <w:left w:w="114" w:type="dxa"/>
                  <w:bottom w:w="60" w:type="dxa"/>
                  <w:right w:w="114" w:type="dxa"/>
                </w:tcMar>
                <w:vAlign w:val="center"/>
              </w:tcPr>
              <w:p w14:paraId="49E4CF75" w14:textId="77777777" w:rsidR="00474256" w:rsidRPr="005F389E" w:rsidRDefault="00474256" w:rsidP="00B80369">
                <w:pPr>
                  <w:spacing w:before="0" w:line="240" w:lineRule="auto"/>
                  <w:jc w:val="center"/>
                  <w:rPr>
                    <w:b/>
                    <w:color w:val="33A1AB" w:themeColor="accent2"/>
                    <w:sz w:val="14"/>
                    <w:szCs w:val="14"/>
                  </w:rPr>
                </w:pPr>
              </w:p>
            </w:tc>
            <w:tc>
              <w:tcPr>
                <w:tcW w:w="357"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69F78DA0" w14:textId="77777777" w:rsidR="00474256" w:rsidRPr="005F389E" w:rsidRDefault="00474256" w:rsidP="00B80369">
                <w:pPr>
                  <w:spacing w:before="0" w:line="240" w:lineRule="auto"/>
                  <w:jc w:val="center"/>
                  <w:rPr>
                    <w:b/>
                    <w:color w:val="33A1AB" w:themeColor="accent2"/>
                    <w:sz w:val="14"/>
                    <w:szCs w:val="14"/>
                  </w:rPr>
                </w:pPr>
                <w:r w:rsidRPr="005F389E">
                  <w:rPr>
                    <w:b/>
                    <w:color w:val="33A1AB" w:themeColor="accent2"/>
                    <w:sz w:val="14"/>
                    <w:szCs w:val="14"/>
                  </w:rPr>
                  <w:t>31 Dec 2008</w:t>
                </w:r>
              </w:p>
            </w:tc>
            <w:tc>
              <w:tcPr>
                <w:tcW w:w="396"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59010FF6" w14:textId="77777777" w:rsidR="00474256" w:rsidRPr="005F389E" w:rsidRDefault="00474256" w:rsidP="00B80369">
                <w:pPr>
                  <w:spacing w:before="0" w:line="240" w:lineRule="auto"/>
                  <w:jc w:val="center"/>
                  <w:rPr>
                    <w:b/>
                    <w:color w:val="33A1AB" w:themeColor="accent2"/>
                    <w:sz w:val="14"/>
                    <w:szCs w:val="14"/>
                  </w:rPr>
                </w:pPr>
                <w:r w:rsidRPr="005F389E">
                  <w:rPr>
                    <w:b/>
                    <w:color w:val="33A1AB" w:themeColor="accent2"/>
                    <w:sz w:val="14"/>
                    <w:szCs w:val="14"/>
                  </w:rPr>
                  <w:t>31 Dec 2009</w:t>
                </w:r>
              </w:p>
            </w:tc>
            <w:tc>
              <w:tcPr>
                <w:tcW w:w="301" w:type="pct"/>
                <w:tcBorders>
                  <w:top w:val="single" w:sz="12" w:space="0" w:color="AFAFB4" w:themeColor="accent4"/>
                </w:tcBorders>
                <w:shd w:val="clear" w:color="auto" w:fill="FFFFFF" w:themeFill="background2"/>
                <w:vAlign w:val="center"/>
              </w:tcPr>
              <w:p w14:paraId="18CE2C3B" w14:textId="77777777" w:rsidR="00474256" w:rsidRPr="005F389E" w:rsidRDefault="00474256" w:rsidP="00B80369">
                <w:pPr>
                  <w:spacing w:before="0" w:line="240" w:lineRule="auto"/>
                  <w:jc w:val="center"/>
                  <w:rPr>
                    <w:b/>
                    <w:color w:val="33A1AB" w:themeColor="accent2"/>
                    <w:sz w:val="14"/>
                    <w:szCs w:val="14"/>
                  </w:rPr>
                </w:pPr>
                <w:r w:rsidRPr="005F389E">
                  <w:rPr>
                    <w:b/>
                    <w:color w:val="33A1AB" w:themeColor="accent2"/>
                    <w:sz w:val="14"/>
                    <w:szCs w:val="14"/>
                  </w:rPr>
                  <w:t>31 Dec 2010</w:t>
                </w:r>
              </w:p>
            </w:tc>
            <w:tc>
              <w:tcPr>
                <w:tcW w:w="301" w:type="pct"/>
                <w:tcBorders>
                  <w:top w:val="single" w:sz="12" w:space="0" w:color="AFAFB4" w:themeColor="accent4"/>
                </w:tcBorders>
                <w:shd w:val="clear" w:color="auto" w:fill="FFFFFF" w:themeFill="background2"/>
                <w:vAlign w:val="center"/>
              </w:tcPr>
              <w:p w14:paraId="3883A16F" w14:textId="77777777" w:rsidR="00474256" w:rsidRPr="005F389E" w:rsidRDefault="00474256" w:rsidP="00B80369">
                <w:pPr>
                  <w:spacing w:before="0" w:line="240" w:lineRule="auto"/>
                  <w:jc w:val="center"/>
                  <w:rPr>
                    <w:b/>
                    <w:color w:val="33A1AB" w:themeColor="accent2"/>
                    <w:sz w:val="14"/>
                    <w:szCs w:val="14"/>
                  </w:rPr>
                </w:pPr>
                <w:r w:rsidRPr="005F389E">
                  <w:rPr>
                    <w:b/>
                    <w:color w:val="33A1AB" w:themeColor="accent2"/>
                    <w:sz w:val="14"/>
                    <w:szCs w:val="14"/>
                  </w:rPr>
                  <w:t>31 Dec 2011</w:t>
                </w:r>
              </w:p>
            </w:tc>
            <w:tc>
              <w:tcPr>
                <w:tcW w:w="301" w:type="pct"/>
                <w:tcBorders>
                  <w:top w:val="single" w:sz="12" w:space="0" w:color="AFAFB4" w:themeColor="accent4"/>
                </w:tcBorders>
                <w:shd w:val="clear" w:color="auto" w:fill="FFFFFF" w:themeFill="background2"/>
                <w:vAlign w:val="center"/>
              </w:tcPr>
              <w:p w14:paraId="2CD4FC89" w14:textId="77777777" w:rsidR="00474256" w:rsidRPr="005F389E" w:rsidRDefault="00474256" w:rsidP="00B80369">
                <w:pPr>
                  <w:spacing w:before="0" w:line="240" w:lineRule="auto"/>
                  <w:jc w:val="center"/>
                  <w:rPr>
                    <w:b/>
                    <w:color w:val="33A1AB" w:themeColor="accent2"/>
                    <w:sz w:val="14"/>
                    <w:szCs w:val="14"/>
                  </w:rPr>
                </w:pPr>
                <w:r w:rsidRPr="005F389E">
                  <w:rPr>
                    <w:b/>
                    <w:color w:val="33A1AB" w:themeColor="accent2"/>
                    <w:sz w:val="14"/>
                    <w:szCs w:val="14"/>
                  </w:rPr>
                  <w:t>31 Dec 2012</w:t>
                </w:r>
              </w:p>
            </w:tc>
            <w:tc>
              <w:tcPr>
                <w:tcW w:w="301" w:type="pct"/>
                <w:tcBorders>
                  <w:top w:val="single" w:sz="12" w:space="0" w:color="AFAFB4" w:themeColor="accent4"/>
                </w:tcBorders>
                <w:shd w:val="clear" w:color="auto" w:fill="FFFFFF" w:themeFill="background2"/>
                <w:vAlign w:val="center"/>
              </w:tcPr>
              <w:p w14:paraId="01E8EC1D" w14:textId="77777777" w:rsidR="00474256" w:rsidRPr="005F389E" w:rsidRDefault="00474256" w:rsidP="00B80369">
                <w:pPr>
                  <w:spacing w:before="0" w:line="240" w:lineRule="auto"/>
                  <w:jc w:val="center"/>
                  <w:rPr>
                    <w:b/>
                    <w:color w:val="33A1AB" w:themeColor="accent2"/>
                    <w:sz w:val="14"/>
                    <w:szCs w:val="14"/>
                  </w:rPr>
                </w:pPr>
                <w:r w:rsidRPr="005F389E">
                  <w:rPr>
                    <w:b/>
                    <w:color w:val="33A1AB" w:themeColor="accent2"/>
                    <w:sz w:val="14"/>
                    <w:szCs w:val="14"/>
                  </w:rPr>
                  <w:t>31 Dec 2013</w:t>
                </w:r>
              </w:p>
            </w:tc>
            <w:tc>
              <w:tcPr>
                <w:tcW w:w="301" w:type="pct"/>
                <w:tcBorders>
                  <w:top w:val="single" w:sz="12" w:space="0" w:color="AFAFB4" w:themeColor="accent4"/>
                </w:tcBorders>
                <w:shd w:val="clear" w:color="auto" w:fill="FFFFFF" w:themeFill="background2"/>
                <w:vAlign w:val="center"/>
              </w:tcPr>
              <w:p w14:paraId="5FB6CDEE" w14:textId="77777777" w:rsidR="00474256" w:rsidRPr="005F389E" w:rsidRDefault="00474256" w:rsidP="00B80369">
                <w:pPr>
                  <w:spacing w:before="0" w:line="240" w:lineRule="auto"/>
                  <w:jc w:val="center"/>
                  <w:rPr>
                    <w:b/>
                    <w:color w:val="33A1AB" w:themeColor="accent2"/>
                    <w:sz w:val="14"/>
                    <w:szCs w:val="14"/>
                  </w:rPr>
                </w:pPr>
                <w:r w:rsidRPr="005F389E">
                  <w:rPr>
                    <w:b/>
                    <w:color w:val="33A1AB" w:themeColor="accent2"/>
                    <w:sz w:val="14"/>
                    <w:szCs w:val="14"/>
                  </w:rPr>
                  <w:t>31 Dec 2014</w:t>
                </w:r>
              </w:p>
            </w:tc>
            <w:tc>
              <w:tcPr>
                <w:tcW w:w="302" w:type="pct"/>
                <w:tcBorders>
                  <w:top w:val="single" w:sz="12" w:space="0" w:color="AFAFB4" w:themeColor="accent4"/>
                </w:tcBorders>
                <w:shd w:val="clear" w:color="auto" w:fill="FFFFFF" w:themeFill="background2"/>
                <w:vAlign w:val="center"/>
              </w:tcPr>
              <w:p w14:paraId="0307028D" w14:textId="77777777" w:rsidR="00474256" w:rsidRPr="005F389E" w:rsidRDefault="00474256" w:rsidP="00B80369">
                <w:pPr>
                  <w:spacing w:before="0" w:line="240" w:lineRule="auto"/>
                  <w:jc w:val="center"/>
                  <w:rPr>
                    <w:b/>
                    <w:color w:val="33A1AB" w:themeColor="accent2"/>
                    <w:sz w:val="14"/>
                    <w:szCs w:val="14"/>
                  </w:rPr>
                </w:pPr>
                <w:r w:rsidRPr="005F389E">
                  <w:rPr>
                    <w:b/>
                    <w:color w:val="33A1AB" w:themeColor="accent2"/>
                    <w:sz w:val="14"/>
                    <w:szCs w:val="14"/>
                  </w:rPr>
                  <w:t>31 Dec 2015</w:t>
                </w:r>
              </w:p>
            </w:tc>
            <w:tc>
              <w:tcPr>
                <w:tcW w:w="302" w:type="pct"/>
                <w:tcBorders>
                  <w:top w:val="single" w:sz="12" w:space="0" w:color="AFAFB4" w:themeColor="accent4"/>
                </w:tcBorders>
                <w:shd w:val="clear" w:color="auto" w:fill="FFFFFF" w:themeFill="background2"/>
                <w:vAlign w:val="center"/>
              </w:tcPr>
              <w:p w14:paraId="3EF99298" w14:textId="77777777" w:rsidR="00474256" w:rsidRPr="005F389E" w:rsidRDefault="00474256" w:rsidP="00B80369">
                <w:pPr>
                  <w:spacing w:before="0" w:line="240" w:lineRule="auto"/>
                  <w:jc w:val="center"/>
                  <w:rPr>
                    <w:b/>
                    <w:color w:val="33A1AB" w:themeColor="accent2"/>
                    <w:sz w:val="14"/>
                    <w:szCs w:val="14"/>
                  </w:rPr>
                </w:pPr>
                <w:r w:rsidRPr="005F389E">
                  <w:rPr>
                    <w:b/>
                    <w:color w:val="33A1AB" w:themeColor="accent2"/>
                    <w:sz w:val="14"/>
                    <w:szCs w:val="14"/>
                  </w:rPr>
                  <w:t>31 Dec 2016</w:t>
                </w:r>
              </w:p>
            </w:tc>
            <w:tc>
              <w:tcPr>
                <w:tcW w:w="302" w:type="pct"/>
                <w:tcBorders>
                  <w:top w:val="single" w:sz="12" w:space="0" w:color="AFAFB4" w:themeColor="accent4"/>
                </w:tcBorders>
                <w:shd w:val="clear" w:color="auto" w:fill="FFFFFF" w:themeFill="background2"/>
                <w:vAlign w:val="center"/>
              </w:tcPr>
              <w:p w14:paraId="0779B3FB" w14:textId="77777777" w:rsidR="00474256" w:rsidRPr="005F389E" w:rsidRDefault="00474256" w:rsidP="00B80369">
                <w:pPr>
                  <w:spacing w:before="0" w:line="240" w:lineRule="auto"/>
                  <w:jc w:val="center"/>
                  <w:rPr>
                    <w:b/>
                    <w:color w:val="33A1AB" w:themeColor="accent2"/>
                    <w:sz w:val="14"/>
                    <w:szCs w:val="14"/>
                  </w:rPr>
                </w:pPr>
                <w:r w:rsidRPr="005F389E">
                  <w:rPr>
                    <w:b/>
                    <w:color w:val="33A1AB" w:themeColor="accent2"/>
                    <w:sz w:val="14"/>
                    <w:szCs w:val="14"/>
                  </w:rPr>
                  <w:t>31 Dec 2017</w:t>
                </w:r>
              </w:p>
            </w:tc>
            <w:tc>
              <w:tcPr>
                <w:tcW w:w="301" w:type="pct"/>
                <w:tcBorders>
                  <w:top w:val="single" w:sz="12" w:space="0" w:color="AFAFB4" w:themeColor="accent4"/>
                </w:tcBorders>
                <w:shd w:val="clear" w:color="auto" w:fill="FFFFFF" w:themeFill="background2"/>
                <w:vAlign w:val="center"/>
              </w:tcPr>
              <w:p w14:paraId="62FA57BC" w14:textId="77777777" w:rsidR="00474256" w:rsidRPr="005F389E" w:rsidRDefault="00474256" w:rsidP="00B80369">
                <w:pPr>
                  <w:spacing w:before="0" w:line="240" w:lineRule="auto"/>
                  <w:jc w:val="center"/>
                  <w:rPr>
                    <w:b/>
                    <w:color w:val="33A1AB" w:themeColor="accent2"/>
                    <w:sz w:val="14"/>
                    <w:szCs w:val="14"/>
                  </w:rPr>
                </w:pPr>
                <w:r w:rsidRPr="005F389E">
                  <w:rPr>
                    <w:b/>
                    <w:color w:val="33A1AB" w:themeColor="accent2"/>
                    <w:sz w:val="14"/>
                    <w:szCs w:val="14"/>
                  </w:rPr>
                  <w:t>31 Dec 2018</w:t>
                </w:r>
              </w:p>
            </w:tc>
            <w:tc>
              <w:tcPr>
                <w:tcW w:w="301" w:type="pct"/>
                <w:tcBorders>
                  <w:top w:val="single" w:sz="12" w:space="0" w:color="AFAFB4" w:themeColor="accent4"/>
                </w:tcBorders>
                <w:shd w:val="clear" w:color="auto" w:fill="FFFFFF" w:themeFill="background2"/>
                <w:vAlign w:val="center"/>
              </w:tcPr>
              <w:p w14:paraId="39049FF0" w14:textId="77777777" w:rsidR="00474256" w:rsidRPr="005F389E" w:rsidRDefault="00474256" w:rsidP="00B80369">
                <w:pPr>
                  <w:spacing w:before="0" w:line="240" w:lineRule="auto"/>
                  <w:jc w:val="center"/>
                  <w:rPr>
                    <w:b/>
                    <w:color w:val="33A1AB" w:themeColor="accent2"/>
                    <w:sz w:val="14"/>
                    <w:szCs w:val="14"/>
                  </w:rPr>
                </w:pPr>
                <w:r w:rsidRPr="005F389E">
                  <w:rPr>
                    <w:b/>
                    <w:color w:val="33A1AB" w:themeColor="accent2"/>
                    <w:sz w:val="14"/>
                    <w:szCs w:val="14"/>
                  </w:rPr>
                  <w:t>31 Dec 2019</w:t>
                </w:r>
              </w:p>
            </w:tc>
            <w:tc>
              <w:tcPr>
                <w:tcW w:w="301" w:type="pct"/>
                <w:tcBorders>
                  <w:top w:val="single" w:sz="12" w:space="0" w:color="AFAFB4" w:themeColor="accent4"/>
                </w:tcBorders>
                <w:shd w:val="clear" w:color="auto" w:fill="FFFFFF" w:themeFill="background2"/>
                <w:vAlign w:val="center"/>
              </w:tcPr>
              <w:p w14:paraId="01788F76" w14:textId="77777777" w:rsidR="00474256" w:rsidRPr="005F389E" w:rsidRDefault="00474256" w:rsidP="00B80369">
                <w:pPr>
                  <w:spacing w:before="0" w:line="240" w:lineRule="auto"/>
                  <w:jc w:val="center"/>
                  <w:rPr>
                    <w:b/>
                    <w:color w:val="33A1AB" w:themeColor="accent2"/>
                    <w:sz w:val="14"/>
                    <w:szCs w:val="14"/>
                  </w:rPr>
                </w:pPr>
                <w:r w:rsidRPr="005F389E">
                  <w:rPr>
                    <w:b/>
                    <w:color w:val="33A1AB" w:themeColor="accent2"/>
                    <w:sz w:val="14"/>
                    <w:szCs w:val="14"/>
                  </w:rPr>
                  <w:t>31 Dec 2020</w:t>
                </w:r>
              </w:p>
            </w:tc>
            <w:tc>
              <w:tcPr>
                <w:tcW w:w="301" w:type="pct"/>
                <w:tcBorders>
                  <w:top w:val="single" w:sz="12" w:space="0" w:color="AFAFB4" w:themeColor="accent4"/>
                </w:tcBorders>
                <w:shd w:val="clear" w:color="auto" w:fill="FFFFFF" w:themeFill="background2"/>
                <w:vAlign w:val="center"/>
              </w:tcPr>
              <w:p w14:paraId="09244A1B" w14:textId="77777777" w:rsidR="00474256" w:rsidRPr="005F389E" w:rsidRDefault="00474256" w:rsidP="00B80369">
                <w:pPr>
                  <w:spacing w:before="0" w:line="240" w:lineRule="auto"/>
                  <w:jc w:val="center"/>
                  <w:rPr>
                    <w:b/>
                    <w:color w:val="33A1AB" w:themeColor="accent2"/>
                    <w:sz w:val="14"/>
                    <w:szCs w:val="14"/>
                  </w:rPr>
                </w:pPr>
                <w:r w:rsidRPr="005F389E">
                  <w:rPr>
                    <w:b/>
                    <w:color w:val="33A1AB" w:themeColor="accent2"/>
                    <w:sz w:val="14"/>
                    <w:szCs w:val="14"/>
                  </w:rPr>
                  <w:t>31 Dec 2021</w:t>
                </w:r>
              </w:p>
            </w:tc>
            <w:tc>
              <w:tcPr>
                <w:tcW w:w="325" w:type="pct"/>
                <w:tcBorders>
                  <w:top w:val="single" w:sz="12" w:space="0" w:color="AFAFB4" w:themeColor="accent4"/>
                </w:tcBorders>
                <w:shd w:val="clear" w:color="auto" w:fill="FFFFFF" w:themeFill="background2"/>
                <w:vAlign w:val="center"/>
              </w:tcPr>
              <w:p w14:paraId="503BB60A" w14:textId="77777777" w:rsidR="00474256" w:rsidRPr="005F389E" w:rsidRDefault="00474256" w:rsidP="00B80369">
                <w:pPr>
                  <w:spacing w:before="0" w:line="240" w:lineRule="auto"/>
                  <w:jc w:val="center"/>
                  <w:rPr>
                    <w:b/>
                    <w:color w:val="33A1AB" w:themeColor="accent2"/>
                    <w:sz w:val="14"/>
                    <w:szCs w:val="14"/>
                  </w:rPr>
                </w:pPr>
                <w:r w:rsidRPr="005F389E">
                  <w:rPr>
                    <w:b/>
                    <w:color w:val="33A1AB" w:themeColor="accent2"/>
                    <w:sz w:val="14"/>
                    <w:szCs w:val="14"/>
                  </w:rPr>
                  <w:t>31 Dec 2022</w:t>
                </w:r>
              </w:p>
            </w:tc>
          </w:tr>
          <w:tr w:rsidR="006D68BE" w:rsidRPr="005F389E" w14:paraId="3669E4D7"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7119E416" w14:textId="77777777" w:rsidR="006D68BE" w:rsidRPr="005F389E" w:rsidRDefault="006D68BE" w:rsidP="0007107A">
                <w:pPr>
                  <w:spacing w:before="0" w:line="240" w:lineRule="auto"/>
                  <w:jc w:val="left"/>
                  <w:rPr>
                    <w:rFonts w:eastAsia="Times New Roman" w:cs="Segoe UI"/>
                    <w:b/>
                    <w:bCs/>
                    <w:sz w:val="14"/>
                    <w:szCs w:val="14"/>
                    <w:lang w:val="en-GB" w:eastAsia="it-IT"/>
                  </w:rPr>
                </w:pPr>
                <w:r w:rsidRPr="005F389E">
                  <w:rPr>
                    <w:rFonts w:cs="Segoe UI"/>
                    <w:b/>
                    <w:bCs/>
                    <w:sz w:val="14"/>
                    <w:szCs w:val="14"/>
                    <w:lang w:eastAsia="it-IT"/>
                  </w:rPr>
                  <w:t>A1.1</w:t>
                </w:r>
              </w:p>
            </w:tc>
            <w:tc>
              <w:tcPr>
                <w:tcW w:w="357" w:type="pct"/>
                <w:shd w:val="clear" w:color="auto" w:fill="FFFFFF" w:themeFill="background2"/>
                <w:tcMar>
                  <w:top w:w="60" w:type="dxa"/>
                  <w:left w:w="114" w:type="dxa"/>
                  <w:bottom w:w="60" w:type="dxa"/>
                  <w:right w:w="114" w:type="dxa"/>
                </w:tcMar>
                <w:vAlign w:val="center"/>
              </w:tcPr>
              <w:p w14:paraId="09502059" w14:textId="2AB22E8A"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0.00%</w:t>
                </w:r>
              </w:p>
            </w:tc>
            <w:tc>
              <w:tcPr>
                <w:tcW w:w="396" w:type="pct"/>
                <w:shd w:val="clear" w:color="auto" w:fill="FFFFFF" w:themeFill="background2"/>
                <w:tcMar>
                  <w:top w:w="60" w:type="dxa"/>
                  <w:left w:w="114" w:type="dxa"/>
                  <w:bottom w:w="60" w:type="dxa"/>
                  <w:right w:w="114" w:type="dxa"/>
                </w:tcMar>
                <w:vAlign w:val="center"/>
              </w:tcPr>
              <w:p w14:paraId="61F5AFA7" w14:textId="50247AB8"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0.00%</w:t>
                </w:r>
              </w:p>
            </w:tc>
            <w:tc>
              <w:tcPr>
                <w:tcW w:w="301" w:type="pct"/>
                <w:shd w:val="clear" w:color="auto" w:fill="FFFFFF" w:themeFill="background2"/>
                <w:vAlign w:val="center"/>
              </w:tcPr>
              <w:p w14:paraId="296071C9" w14:textId="5C90AED8"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0.00%</w:t>
                </w:r>
              </w:p>
            </w:tc>
            <w:tc>
              <w:tcPr>
                <w:tcW w:w="301" w:type="pct"/>
                <w:shd w:val="clear" w:color="auto" w:fill="FFFFFF" w:themeFill="background2"/>
                <w:vAlign w:val="center"/>
              </w:tcPr>
              <w:p w14:paraId="73F9F6DF" w14:textId="35907E32"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0.00%</w:t>
                </w:r>
              </w:p>
            </w:tc>
            <w:tc>
              <w:tcPr>
                <w:tcW w:w="301" w:type="pct"/>
                <w:shd w:val="clear" w:color="auto" w:fill="FFFFFF" w:themeFill="background2"/>
                <w:vAlign w:val="center"/>
              </w:tcPr>
              <w:p w14:paraId="5780B475" w14:textId="034602F5"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0.00%</w:t>
                </w:r>
              </w:p>
            </w:tc>
            <w:tc>
              <w:tcPr>
                <w:tcW w:w="301" w:type="pct"/>
                <w:shd w:val="clear" w:color="auto" w:fill="FFFFFF" w:themeFill="background2"/>
                <w:vAlign w:val="center"/>
              </w:tcPr>
              <w:p w14:paraId="7F97D89F" w14:textId="127C8623"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0.00%</w:t>
                </w:r>
              </w:p>
            </w:tc>
            <w:tc>
              <w:tcPr>
                <w:tcW w:w="301" w:type="pct"/>
                <w:shd w:val="clear" w:color="auto" w:fill="FFFFFF" w:themeFill="background2"/>
                <w:vAlign w:val="center"/>
              </w:tcPr>
              <w:p w14:paraId="7F5E5015" w14:textId="05E7F89C"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0.00%</w:t>
                </w:r>
              </w:p>
            </w:tc>
            <w:tc>
              <w:tcPr>
                <w:tcW w:w="302" w:type="pct"/>
                <w:shd w:val="clear" w:color="auto" w:fill="FFFFFF" w:themeFill="background2"/>
                <w:vAlign w:val="center"/>
              </w:tcPr>
              <w:p w14:paraId="60332D70" w14:textId="3CD2FCD6"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0.00%</w:t>
                </w:r>
              </w:p>
            </w:tc>
            <w:tc>
              <w:tcPr>
                <w:tcW w:w="302" w:type="pct"/>
                <w:shd w:val="clear" w:color="auto" w:fill="FFFFFF" w:themeFill="background2"/>
                <w:vAlign w:val="center"/>
              </w:tcPr>
              <w:p w14:paraId="26630C9D" w14:textId="2B6FAA51"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0.00%</w:t>
                </w:r>
              </w:p>
            </w:tc>
            <w:tc>
              <w:tcPr>
                <w:tcW w:w="302" w:type="pct"/>
                <w:shd w:val="clear" w:color="auto" w:fill="FFFFFF" w:themeFill="background2"/>
                <w:vAlign w:val="center"/>
              </w:tcPr>
              <w:p w14:paraId="40E79E3B" w14:textId="06DC686D"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0.00%</w:t>
                </w:r>
              </w:p>
            </w:tc>
            <w:tc>
              <w:tcPr>
                <w:tcW w:w="301" w:type="pct"/>
                <w:shd w:val="clear" w:color="auto" w:fill="FFFFFF" w:themeFill="background2"/>
                <w:vAlign w:val="center"/>
              </w:tcPr>
              <w:p w14:paraId="10AE03F2" w14:textId="70A26682"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0,00%</w:t>
                </w:r>
              </w:p>
            </w:tc>
            <w:tc>
              <w:tcPr>
                <w:tcW w:w="301" w:type="pct"/>
                <w:shd w:val="clear" w:color="auto" w:fill="FFFFFF" w:themeFill="background2"/>
                <w:vAlign w:val="center"/>
              </w:tcPr>
              <w:p w14:paraId="7EDA0B77" w14:textId="349FC5F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c>
              <w:tcPr>
                <w:tcW w:w="301" w:type="pct"/>
                <w:shd w:val="clear" w:color="auto" w:fill="FFFFFF" w:themeFill="background2"/>
                <w:vAlign w:val="center"/>
              </w:tcPr>
              <w:p w14:paraId="0DF6C90C" w14:textId="2140238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c>
              <w:tcPr>
                <w:tcW w:w="301" w:type="pct"/>
                <w:shd w:val="clear" w:color="auto" w:fill="FFFFFF" w:themeFill="background2"/>
                <w:vAlign w:val="center"/>
              </w:tcPr>
              <w:p w14:paraId="4F8B8BBA" w14:textId="7777777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c>
              <w:tcPr>
                <w:tcW w:w="325" w:type="pct"/>
                <w:shd w:val="clear" w:color="auto" w:fill="FFFFFF" w:themeFill="background2"/>
                <w:vAlign w:val="center"/>
              </w:tcPr>
              <w:p w14:paraId="377C4B84" w14:textId="7777777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r>
          <w:tr w:rsidR="006D68BE" w:rsidRPr="005F389E" w14:paraId="47DEC053"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177CD670" w14:textId="77777777" w:rsidR="006D68BE" w:rsidRPr="005F389E" w:rsidRDefault="006D68BE" w:rsidP="0007107A">
                <w:pPr>
                  <w:spacing w:before="0" w:line="240" w:lineRule="auto"/>
                  <w:jc w:val="left"/>
                  <w:rPr>
                    <w:rFonts w:eastAsia="Times New Roman" w:cs="Segoe UI"/>
                    <w:b/>
                    <w:bCs/>
                    <w:sz w:val="14"/>
                    <w:szCs w:val="14"/>
                    <w:lang w:val="en-GB" w:eastAsia="it-IT"/>
                  </w:rPr>
                </w:pPr>
                <w:r w:rsidRPr="005F389E">
                  <w:rPr>
                    <w:rFonts w:cs="Segoe UI"/>
                    <w:b/>
                    <w:bCs/>
                    <w:sz w:val="14"/>
                    <w:szCs w:val="14"/>
                    <w:lang w:eastAsia="it-IT"/>
                  </w:rPr>
                  <w:t>A1.2</w:t>
                </w:r>
              </w:p>
            </w:tc>
            <w:tc>
              <w:tcPr>
                <w:tcW w:w="357" w:type="pct"/>
                <w:shd w:val="clear" w:color="auto" w:fill="FFFFFF" w:themeFill="background2"/>
                <w:tcMar>
                  <w:top w:w="60" w:type="dxa"/>
                  <w:left w:w="114" w:type="dxa"/>
                  <w:bottom w:w="60" w:type="dxa"/>
                  <w:right w:w="114" w:type="dxa"/>
                </w:tcMar>
                <w:vAlign w:val="center"/>
              </w:tcPr>
              <w:p w14:paraId="2B3B415C" w14:textId="785D10D9"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0.00%</w:t>
                </w:r>
              </w:p>
            </w:tc>
            <w:tc>
              <w:tcPr>
                <w:tcW w:w="396" w:type="pct"/>
                <w:shd w:val="clear" w:color="auto" w:fill="FFFFFF" w:themeFill="background2"/>
                <w:tcMar>
                  <w:top w:w="60" w:type="dxa"/>
                  <w:left w:w="114" w:type="dxa"/>
                  <w:bottom w:w="60" w:type="dxa"/>
                  <w:right w:w="114" w:type="dxa"/>
                </w:tcMar>
                <w:vAlign w:val="center"/>
              </w:tcPr>
              <w:p w14:paraId="1B472284" w14:textId="5EC7739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0.00%</w:t>
                </w:r>
              </w:p>
            </w:tc>
            <w:tc>
              <w:tcPr>
                <w:tcW w:w="301" w:type="pct"/>
                <w:shd w:val="clear" w:color="auto" w:fill="FFFFFF" w:themeFill="background2"/>
                <w:vAlign w:val="center"/>
              </w:tcPr>
              <w:p w14:paraId="1303EF5B" w14:textId="32E3789F"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0.00%</w:t>
                </w:r>
              </w:p>
            </w:tc>
            <w:tc>
              <w:tcPr>
                <w:tcW w:w="301" w:type="pct"/>
                <w:shd w:val="clear" w:color="auto" w:fill="FFFFFF" w:themeFill="background2"/>
                <w:vAlign w:val="center"/>
              </w:tcPr>
              <w:p w14:paraId="190241E4" w14:textId="53CC2855"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0.00%</w:t>
                </w:r>
              </w:p>
            </w:tc>
            <w:tc>
              <w:tcPr>
                <w:tcW w:w="301" w:type="pct"/>
                <w:shd w:val="clear" w:color="auto" w:fill="FFFFFF" w:themeFill="background2"/>
                <w:vAlign w:val="center"/>
              </w:tcPr>
              <w:p w14:paraId="06A6746A" w14:textId="2098FBD5"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0.00%</w:t>
                </w:r>
              </w:p>
            </w:tc>
            <w:tc>
              <w:tcPr>
                <w:tcW w:w="301" w:type="pct"/>
                <w:shd w:val="clear" w:color="auto" w:fill="FFFFFF" w:themeFill="background2"/>
                <w:vAlign w:val="center"/>
              </w:tcPr>
              <w:p w14:paraId="3ACCBCE8" w14:textId="6976AE64"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0.00%</w:t>
                </w:r>
              </w:p>
            </w:tc>
            <w:tc>
              <w:tcPr>
                <w:tcW w:w="301" w:type="pct"/>
                <w:shd w:val="clear" w:color="auto" w:fill="FFFFFF" w:themeFill="background2"/>
                <w:vAlign w:val="center"/>
              </w:tcPr>
              <w:p w14:paraId="5B77E52C" w14:textId="576FDE93"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0.00%</w:t>
                </w:r>
              </w:p>
            </w:tc>
            <w:tc>
              <w:tcPr>
                <w:tcW w:w="302" w:type="pct"/>
                <w:shd w:val="clear" w:color="auto" w:fill="FFFFFF" w:themeFill="background2"/>
                <w:vAlign w:val="center"/>
              </w:tcPr>
              <w:p w14:paraId="219FC179" w14:textId="02CC53BE"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0.00%</w:t>
                </w:r>
              </w:p>
            </w:tc>
            <w:tc>
              <w:tcPr>
                <w:tcW w:w="302" w:type="pct"/>
                <w:shd w:val="clear" w:color="auto" w:fill="FFFFFF" w:themeFill="background2"/>
                <w:vAlign w:val="center"/>
              </w:tcPr>
              <w:p w14:paraId="08CDF56F" w14:textId="10ACCC05"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0.00%</w:t>
                </w:r>
              </w:p>
            </w:tc>
            <w:tc>
              <w:tcPr>
                <w:tcW w:w="302" w:type="pct"/>
                <w:shd w:val="clear" w:color="auto" w:fill="FFFFFF" w:themeFill="background2"/>
                <w:vAlign w:val="center"/>
              </w:tcPr>
              <w:p w14:paraId="604D58D2" w14:textId="4C82FFD9"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0.00%</w:t>
                </w:r>
              </w:p>
            </w:tc>
            <w:tc>
              <w:tcPr>
                <w:tcW w:w="301" w:type="pct"/>
                <w:shd w:val="clear" w:color="auto" w:fill="FFFFFF" w:themeFill="background2"/>
                <w:vAlign w:val="center"/>
              </w:tcPr>
              <w:p w14:paraId="125564A8" w14:textId="21436CBC"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0,00%</w:t>
                </w:r>
              </w:p>
            </w:tc>
            <w:tc>
              <w:tcPr>
                <w:tcW w:w="301" w:type="pct"/>
                <w:shd w:val="clear" w:color="auto" w:fill="FFFFFF" w:themeFill="background2"/>
                <w:vAlign w:val="center"/>
              </w:tcPr>
              <w:p w14:paraId="710337E0" w14:textId="707A58FD"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c>
              <w:tcPr>
                <w:tcW w:w="301" w:type="pct"/>
                <w:shd w:val="clear" w:color="auto" w:fill="FFFFFF" w:themeFill="background2"/>
                <w:vAlign w:val="center"/>
              </w:tcPr>
              <w:p w14:paraId="23838B15" w14:textId="7777777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c>
              <w:tcPr>
                <w:tcW w:w="301" w:type="pct"/>
                <w:shd w:val="clear" w:color="auto" w:fill="FFFFFF" w:themeFill="background2"/>
                <w:vAlign w:val="center"/>
              </w:tcPr>
              <w:p w14:paraId="087B5E1A" w14:textId="7777777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c>
              <w:tcPr>
                <w:tcW w:w="325" w:type="pct"/>
                <w:shd w:val="clear" w:color="auto" w:fill="FFFFFF" w:themeFill="background2"/>
                <w:vAlign w:val="center"/>
              </w:tcPr>
              <w:p w14:paraId="7FD5CB21" w14:textId="7777777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r>
          <w:tr w:rsidR="006D68BE" w:rsidRPr="005F389E" w14:paraId="6FE344CD"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47851C6C" w14:textId="77777777" w:rsidR="006D68BE" w:rsidRPr="005F389E" w:rsidRDefault="006D68BE" w:rsidP="0007107A">
                <w:pPr>
                  <w:spacing w:before="0" w:line="240" w:lineRule="auto"/>
                  <w:jc w:val="left"/>
                  <w:rPr>
                    <w:rFonts w:eastAsia="Times New Roman" w:cs="Segoe UI"/>
                    <w:b/>
                    <w:bCs/>
                    <w:sz w:val="14"/>
                    <w:szCs w:val="14"/>
                    <w:lang w:val="en-GB" w:eastAsia="it-IT"/>
                  </w:rPr>
                </w:pPr>
                <w:r w:rsidRPr="005F389E">
                  <w:rPr>
                    <w:rFonts w:cs="Segoe UI"/>
                    <w:b/>
                    <w:bCs/>
                    <w:sz w:val="14"/>
                    <w:szCs w:val="14"/>
                    <w:lang w:eastAsia="it-IT"/>
                  </w:rPr>
                  <w:t>A1.3</w:t>
                </w:r>
              </w:p>
            </w:tc>
            <w:tc>
              <w:tcPr>
                <w:tcW w:w="357" w:type="pct"/>
                <w:shd w:val="clear" w:color="auto" w:fill="FFFFFF" w:themeFill="background2"/>
                <w:tcMar>
                  <w:top w:w="60" w:type="dxa"/>
                  <w:left w:w="114" w:type="dxa"/>
                  <w:bottom w:w="60" w:type="dxa"/>
                  <w:right w:w="114" w:type="dxa"/>
                </w:tcMar>
                <w:vAlign w:val="center"/>
              </w:tcPr>
              <w:p w14:paraId="58A04721" w14:textId="423FA34F"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0.00%</w:t>
                </w:r>
              </w:p>
            </w:tc>
            <w:tc>
              <w:tcPr>
                <w:tcW w:w="396" w:type="pct"/>
                <w:shd w:val="clear" w:color="auto" w:fill="FFFFFF" w:themeFill="background2"/>
                <w:tcMar>
                  <w:top w:w="60" w:type="dxa"/>
                  <w:left w:w="114" w:type="dxa"/>
                  <w:bottom w:w="60" w:type="dxa"/>
                  <w:right w:w="114" w:type="dxa"/>
                </w:tcMar>
                <w:vAlign w:val="center"/>
              </w:tcPr>
              <w:p w14:paraId="17D5AC69" w14:textId="3A78DFF1"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0.00%</w:t>
                </w:r>
              </w:p>
            </w:tc>
            <w:tc>
              <w:tcPr>
                <w:tcW w:w="301" w:type="pct"/>
                <w:shd w:val="clear" w:color="auto" w:fill="FFFFFF" w:themeFill="background2"/>
                <w:vAlign w:val="center"/>
              </w:tcPr>
              <w:p w14:paraId="7B43EF70" w14:textId="46E5E254"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0.00%</w:t>
                </w:r>
              </w:p>
            </w:tc>
            <w:tc>
              <w:tcPr>
                <w:tcW w:w="301" w:type="pct"/>
                <w:shd w:val="clear" w:color="auto" w:fill="FFFFFF" w:themeFill="background2"/>
                <w:vAlign w:val="center"/>
              </w:tcPr>
              <w:p w14:paraId="78459DD6" w14:textId="39DD9BE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0.55%</w:t>
                </w:r>
              </w:p>
            </w:tc>
            <w:tc>
              <w:tcPr>
                <w:tcW w:w="301" w:type="pct"/>
                <w:shd w:val="clear" w:color="auto" w:fill="FFFFFF" w:themeFill="background2"/>
                <w:vAlign w:val="center"/>
              </w:tcPr>
              <w:p w14:paraId="21C50837" w14:textId="38293F02"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0.00%</w:t>
                </w:r>
              </w:p>
            </w:tc>
            <w:tc>
              <w:tcPr>
                <w:tcW w:w="301" w:type="pct"/>
                <w:shd w:val="clear" w:color="auto" w:fill="FFFFFF" w:themeFill="background2"/>
                <w:vAlign w:val="center"/>
              </w:tcPr>
              <w:p w14:paraId="1ED8E7FF" w14:textId="6FF70B65"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0.00%</w:t>
                </w:r>
              </w:p>
            </w:tc>
            <w:tc>
              <w:tcPr>
                <w:tcW w:w="301" w:type="pct"/>
                <w:shd w:val="clear" w:color="auto" w:fill="FFFFFF" w:themeFill="background2"/>
                <w:vAlign w:val="center"/>
              </w:tcPr>
              <w:p w14:paraId="0248D617" w14:textId="22CF1CD6"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0.00%</w:t>
                </w:r>
              </w:p>
            </w:tc>
            <w:tc>
              <w:tcPr>
                <w:tcW w:w="302" w:type="pct"/>
                <w:shd w:val="clear" w:color="auto" w:fill="FFFFFF" w:themeFill="background2"/>
                <w:vAlign w:val="center"/>
              </w:tcPr>
              <w:p w14:paraId="3F49E987" w14:textId="43499BB3"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0.00%</w:t>
                </w:r>
              </w:p>
            </w:tc>
            <w:tc>
              <w:tcPr>
                <w:tcW w:w="302" w:type="pct"/>
                <w:shd w:val="clear" w:color="auto" w:fill="FFFFFF" w:themeFill="background2"/>
                <w:vAlign w:val="center"/>
              </w:tcPr>
              <w:p w14:paraId="1190AA3A" w14:textId="2F47AF14"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0.00%</w:t>
                </w:r>
              </w:p>
            </w:tc>
            <w:tc>
              <w:tcPr>
                <w:tcW w:w="302" w:type="pct"/>
                <w:shd w:val="clear" w:color="auto" w:fill="FFFFFF" w:themeFill="background2"/>
                <w:vAlign w:val="center"/>
              </w:tcPr>
              <w:p w14:paraId="75DF36CD" w14:textId="63BB398D"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0.00%</w:t>
                </w:r>
              </w:p>
            </w:tc>
            <w:tc>
              <w:tcPr>
                <w:tcW w:w="301" w:type="pct"/>
                <w:shd w:val="clear" w:color="auto" w:fill="FFFFFF" w:themeFill="background2"/>
                <w:vAlign w:val="center"/>
              </w:tcPr>
              <w:p w14:paraId="0F465E79" w14:textId="040B3E1F"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0,00%</w:t>
                </w:r>
              </w:p>
            </w:tc>
            <w:tc>
              <w:tcPr>
                <w:tcW w:w="301" w:type="pct"/>
                <w:shd w:val="clear" w:color="auto" w:fill="FFFFFF" w:themeFill="background2"/>
                <w:vAlign w:val="center"/>
              </w:tcPr>
              <w:p w14:paraId="19A2EF26" w14:textId="20B4CDF6"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c>
              <w:tcPr>
                <w:tcW w:w="301" w:type="pct"/>
                <w:shd w:val="clear" w:color="auto" w:fill="FFFFFF" w:themeFill="background2"/>
                <w:vAlign w:val="center"/>
              </w:tcPr>
              <w:p w14:paraId="1ABD3835" w14:textId="7777777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c>
              <w:tcPr>
                <w:tcW w:w="301" w:type="pct"/>
                <w:shd w:val="clear" w:color="auto" w:fill="FFFFFF" w:themeFill="background2"/>
                <w:vAlign w:val="center"/>
              </w:tcPr>
              <w:p w14:paraId="682213F5" w14:textId="7777777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c>
              <w:tcPr>
                <w:tcW w:w="325" w:type="pct"/>
                <w:shd w:val="clear" w:color="auto" w:fill="FFFFFF" w:themeFill="background2"/>
                <w:vAlign w:val="center"/>
              </w:tcPr>
              <w:p w14:paraId="7E647B83" w14:textId="7777777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r>
          <w:tr w:rsidR="006D68BE" w:rsidRPr="005F389E" w14:paraId="366E0A6A"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7CD3622E" w14:textId="77777777" w:rsidR="006D68BE" w:rsidRPr="005F389E" w:rsidRDefault="006D68BE" w:rsidP="0007107A">
                <w:pPr>
                  <w:spacing w:before="0" w:line="240" w:lineRule="auto"/>
                  <w:jc w:val="left"/>
                  <w:rPr>
                    <w:rFonts w:eastAsia="Times New Roman" w:cs="Segoe UI"/>
                    <w:b/>
                    <w:bCs/>
                    <w:sz w:val="14"/>
                    <w:szCs w:val="14"/>
                    <w:lang w:val="en-GB" w:eastAsia="it-IT"/>
                  </w:rPr>
                </w:pPr>
                <w:r w:rsidRPr="005F389E">
                  <w:rPr>
                    <w:rFonts w:cs="Segoe UI"/>
                    <w:b/>
                    <w:bCs/>
                    <w:sz w:val="14"/>
                    <w:szCs w:val="14"/>
                    <w:lang w:eastAsia="it-IT"/>
                  </w:rPr>
                  <w:t>A2.1</w:t>
                </w:r>
              </w:p>
            </w:tc>
            <w:tc>
              <w:tcPr>
                <w:tcW w:w="357" w:type="pct"/>
                <w:shd w:val="clear" w:color="auto" w:fill="FFFFFF" w:themeFill="background2"/>
                <w:tcMar>
                  <w:top w:w="60" w:type="dxa"/>
                  <w:left w:w="114" w:type="dxa"/>
                  <w:bottom w:w="60" w:type="dxa"/>
                  <w:right w:w="114" w:type="dxa"/>
                </w:tcMar>
                <w:vAlign w:val="center"/>
              </w:tcPr>
              <w:p w14:paraId="546A8CB3" w14:textId="13617D96"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0.43%</w:t>
                </w:r>
              </w:p>
            </w:tc>
            <w:tc>
              <w:tcPr>
                <w:tcW w:w="396" w:type="pct"/>
                <w:shd w:val="clear" w:color="auto" w:fill="FFFFFF" w:themeFill="background2"/>
                <w:tcMar>
                  <w:top w:w="60" w:type="dxa"/>
                  <w:left w:w="114" w:type="dxa"/>
                  <w:bottom w:w="60" w:type="dxa"/>
                  <w:right w:w="114" w:type="dxa"/>
                </w:tcMar>
                <w:vAlign w:val="center"/>
              </w:tcPr>
              <w:p w14:paraId="16A490F6" w14:textId="2489AD9C"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0.44%</w:t>
                </w:r>
              </w:p>
            </w:tc>
            <w:tc>
              <w:tcPr>
                <w:tcW w:w="301" w:type="pct"/>
                <w:shd w:val="clear" w:color="auto" w:fill="FFFFFF" w:themeFill="background2"/>
                <w:vAlign w:val="center"/>
              </w:tcPr>
              <w:p w14:paraId="4259F05A" w14:textId="3F166181"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0.00%</w:t>
                </w:r>
              </w:p>
            </w:tc>
            <w:tc>
              <w:tcPr>
                <w:tcW w:w="301" w:type="pct"/>
                <w:shd w:val="clear" w:color="auto" w:fill="FFFFFF" w:themeFill="background2"/>
                <w:vAlign w:val="center"/>
              </w:tcPr>
              <w:p w14:paraId="0F669560" w14:textId="29E169CE"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0.65%</w:t>
                </w:r>
              </w:p>
            </w:tc>
            <w:tc>
              <w:tcPr>
                <w:tcW w:w="301" w:type="pct"/>
                <w:shd w:val="clear" w:color="auto" w:fill="FFFFFF" w:themeFill="background2"/>
                <w:vAlign w:val="center"/>
              </w:tcPr>
              <w:p w14:paraId="6D7D2DD5" w14:textId="198B9686"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0.34%</w:t>
                </w:r>
              </w:p>
            </w:tc>
            <w:tc>
              <w:tcPr>
                <w:tcW w:w="301" w:type="pct"/>
                <w:shd w:val="clear" w:color="auto" w:fill="FFFFFF" w:themeFill="background2"/>
                <w:vAlign w:val="center"/>
              </w:tcPr>
              <w:p w14:paraId="765439CA" w14:textId="5C976075"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0.98%</w:t>
                </w:r>
              </w:p>
            </w:tc>
            <w:tc>
              <w:tcPr>
                <w:tcW w:w="301" w:type="pct"/>
                <w:shd w:val="clear" w:color="auto" w:fill="FFFFFF" w:themeFill="background2"/>
                <w:vAlign w:val="center"/>
              </w:tcPr>
              <w:p w14:paraId="1839EC80" w14:textId="0E07E905"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0.85%</w:t>
                </w:r>
              </w:p>
            </w:tc>
            <w:tc>
              <w:tcPr>
                <w:tcW w:w="302" w:type="pct"/>
                <w:shd w:val="clear" w:color="auto" w:fill="FFFFFF" w:themeFill="background2"/>
                <w:vAlign w:val="center"/>
              </w:tcPr>
              <w:p w14:paraId="0132B68E" w14:textId="23446485"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0.43%</w:t>
                </w:r>
              </w:p>
            </w:tc>
            <w:tc>
              <w:tcPr>
                <w:tcW w:w="302" w:type="pct"/>
                <w:shd w:val="clear" w:color="auto" w:fill="FFFFFF" w:themeFill="background2"/>
                <w:vAlign w:val="center"/>
              </w:tcPr>
              <w:p w14:paraId="11922714" w14:textId="1AD3A301"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0.93%</w:t>
                </w:r>
              </w:p>
            </w:tc>
            <w:tc>
              <w:tcPr>
                <w:tcW w:w="302" w:type="pct"/>
                <w:shd w:val="clear" w:color="auto" w:fill="FFFFFF" w:themeFill="background2"/>
                <w:vAlign w:val="center"/>
              </w:tcPr>
              <w:p w14:paraId="2EF1D44E" w14:textId="44CC0B8D"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0.00%</w:t>
                </w:r>
              </w:p>
            </w:tc>
            <w:tc>
              <w:tcPr>
                <w:tcW w:w="301" w:type="pct"/>
                <w:shd w:val="clear" w:color="auto" w:fill="FFFFFF" w:themeFill="background2"/>
                <w:vAlign w:val="center"/>
              </w:tcPr>
              <w:p w14:paraId="0E6A6F7F" w14:textId="3EE08D2D"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0,54%</w:t>
                </w:r>
              </w:p>
            </w:tc>
            <w:tc>
              <w:tcPr>
                <w:tcW w:w="301" w:type="pct"/>
                <w:shd w:val="clear" w:color="auto" w:fill="FFFFFF" w:themeFill="background2"/>
                <w:vAlign w:val="center"/>
              </w:tcPr>
              <w:p w14:paraId="24440AFB" w14:textId="534E0725"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c>
              <w:tcPr>
                <w:tcW w:w="301" w:type="pct"/>
                <w:shd w:val="clear" w:color="auto" w:fill="FFFFFF" w:themeFill="background2"/>
                <w:vAlign w:val="center"/>
              </w:tcPr>
              <w:p w14:paraId="616604FA" w14:textId="7777777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c>
              <w:tcPr>
                <w:tcW w:w="301" w:type="pct"/>
                <w:shd w:val="clear" w:color="auto" w:fill="FFFFFF" w:themeFill="background2"/>
                <w:vAlign w:val="center"/>
              </w:tcPr>
              <w:p w14:paraId="21D9DF73" w14:textId="7777777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c>
              <w:tcPr>
                <w:tcW w:w="325" w:type="pct"/>
                <w:shd w:val="clear" w:color="auto" w:fill="FFFFFF" w:themeFill="background2"/>
                <w:vAlign w:val="center"/>
              </w:tcPr>
              <w:p w14:paraId="3E5DFADF" w14:textId="7777777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r>
          <w:tr w:rsidR="006D68BE" w:rsidRPr="005F389E" w14:paraId="541B5761"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36925056" w14:textId="77777777" w:rsidR="006D68BE" w:rsidRPr="005F389E" w:rsidRDefault="006D68BE" w:rsidP="0007107A">
                <w:pPr>
                  <w:spacing w:before="0" w:line="240" w:lineRule="auto"/>
                  <w:jc w:val="left"/>
                  <w:rPr>
                    <w:rFonts w:eastAsia="Times New Roman" w:cs="Segoe UI"/>
                    <w:b/>
                    <w:bCs/>
                    <w:sz w:val="14"/>
                    <w:szCs w:val="14"/>
                    <w:lang w:val="en-GB" w:eastAsia="it-IT"/>
                  </w:rPr>
                </w:pPr>
                <w:r w:rsidRPr="005F389E">
                  <w:rPr>
                    <w:rFonts w:cs="Segoe UI"/>
                    <w:b/>
                    <w:bCs/>
                    <w:sz w:val="14"/>
                    <w:szCs w:val="14"/>
                    <w:lang w:eastAsia="it-IT"/>
                  </w:rPr>
                  <w:t>A2.2</w:t>
                </w:r>
              </w:p>
            </w:tc>
            <w:tc>
              <w:tcPr>
                <w:tcW w:w="357" w:type="pct"/>
                <w:shd w:val="clear" w:color="auto" w:fill="FFFFFF" w:themeFill="background2"/>
                <w:tcMar>
                  <w:top w:w="60" w:type="dxa"/>
                  <w:left w:w="114" w:type="dxa"/>
                  <w:bottom w:w="60" w:type="dxa"/>
                  <w:right w:w="114" w:type="dxa"/>
                </w:tcMar>
                <w:vAlign w:val="center"/>
              </w:tcPr>
              <w:p w14:paraId="2620C631" w14:textId="5FF9FE1A"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0.41%</w:t>
                </w:r>
              </w:p>
            </w:tc>
            <w:tc>
              <w:tcPr>
                <w:tcW w:w="396" w:type="pct"/>
                <w:shd w:val="clear" w:color="auto" w:fill="FFFFFF" w:themeFill="background2"/>
                <w:tcMar>
                  <w:top w:w="60" w:type="dxa"/>
                  <w:left w:w="114" w:type="dxa"/>
                  <w:bottom w:w="60" w:type="dxa"/>
                  <w:right w:w="114" w:type="dxa"/>
                </w:tcMar>
                <w:vAlign w:val="center"/>
              </w:tcPr>
              <w:p w14:paraId="525FFC33" w14:textId="5D692FC1"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0.54%</w:t>
                </w:r>
              </w:p>
            </w:tc>
            <w:tc>
              <w:tcPr>
                <w:tcW w:w="301" w:type="pct"/>
                <w:shd w:val="clear" w:color="auto" w:fill="FFFFFF" w:themeFill="background2"/>
                <w:vAlign w:val="center"/>
              </w:tcPr>
              <w:p w14:paraId="475B056C" w14:textId="40153596"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0.67%</w:t>
                </w:r>
              </w:p>
            </w:tc>
            <w:tc>
              <w:tcPr>
                <w:tcW w:w="301" w:type="pct"/>
                <w:shd w:val="clear" w:color="auto" w:fill="FFFFFF" w:themeFill="background2"/>
                <w:vAlign w:val="center"/>
              </w:tcPr>
              <w:p w14:paraId="09EBD25C" w14:textId="363211F4"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0.75%</w:t>
                </w:r>
              </w:p>
            </w:tc>
            <w:tc>
              <w:tcPr>
                <w:tcW w:w="301" w:type="pct"/>
                <w:shd w:val="clear" w:color="auto" w:fill="FFFFFF" w:themeFill="background2"/>
                <w:vAlign w:val="center"/>
              </w:tcPr>
              <w:p w14:paraId="36F1C9E5" w14:textId="02273854"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1.09%</w:t>
                </w:r>
              </w:p>
            </w:tc>
            <w:tc>
              <w:tcPr>
                <w:tcW w:w="301" w:type="pct"/>
                <w:shd w:val="clear" w:color="auto" w:fill="FFFFFF" w:themeFill="background2"/>
                <w:vAlign w:val="center"/>
              </w:tcPr>
              <w:p w14:paraId="74DB320D" w14:textId="21A61B96"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0.50%</w:t>
                </w:r>
              </w:p>
            </w:tc>
            <w:tc>
              <w:tcPr>
                <w:tcW w:w="301" w:type="pct"/>
                <w:shd w:val="clear" w:color="auto" w:fill="FFFFFF" w:themeFill="background2"/>
                <w:vAlign w:val="center"/>
              </w:tcPr>
              <w:p w14:paraId="181C1117" w14:textId="66937321"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0.87%</w:t>
                </w:r>
              </w:p>
            </w:tc>
            <w:tc>
              <w:tcPr>
                <w:tcW w:w="302" w:type="pct"/>
                <w:shd w:val="clear" w:color="auto" w:fill="FFFFFF" w:themeFill="background2"/>
                <w:vAlign w:val="center"/>
              </w:tcPr>
              <w:p w14:paraId="07C85648" w14:textId="48FE4ED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0.54%</w:t>
                </w:r>
              </w:p>
            </w:tc>
            <w:tc>
              <w:tcPr>
                <w:tcW w:w="302" w:type="pct"/>
                <w:shd w:val="clear" w:color="auto" w:fill="FFFFFF" w:themeFill="background2"/>
                <w:vAlign w:val="center"/>
              </w:tcPr>
              <w:p w14:paraId="2BA2C11A" w14:textId="6D48F5B8"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0.14%</w:t>
                </w:r>
              </w:p>
            </w:tc>
            <w:tc>
              <w:tcPr>
                <w:tcW w:w="302" w:type="pct"/>
                <w:shd w:val="clear" w:color="auto" w:fill="FFFFFF" w:themeFill="background2"/>
                <w:vAlign w:val="center"/>
              </w:tcPr>
              <w:p w14:paraId="1DD6DE16" w14:textId="7493A46E"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0.32%</w:t>
                </w:r>
              </w:p>
            </w:tc>
            <w:tc>
              <w:tcPr>
                <w:tcW w:w="301" w:type="pct"/>
                <w:shd w:val="clear" w:color="auto" w:fill="FFFFFF" w:themeFill="background2"/>
                <w:vAlign w:val="center"/>
              </w:tcPr>
              <w:p w14:paraId="5712AB16" w14:textId="352F58D5"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0,16%</w:t>
                </w:r>
              </w:p>
            </w:tc>
            <w:tc>
              <w:tcPr>
                <w:tcW w:w="301" w:type="pct"/>
                <w:shd w:val="clear" w:color="auto" w:fill="FFFFFF" w:themeFill="background2"/>
                <w:vAlign w:val="center"/>
              </w:tcPr>
              <w:p w14:paraId="023A5492" w14:textId="7374F9CB"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c>
              <w:tcPr>
                <w:tcW w:w="301" w:type="pct"/>
                <w:shd w:val="clear" w:color="auto" w:fill="FFFFFF" w:themeFill="background2"/>
                <w:vAlign w:val="center"/>
              </w:tcPr>
              <w:p w14:paraId="12CB15E5" w14:textId="7777777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c>
              <w:tcPr>
                <w:tcW w:w="301" w:type="pct"/>
                <w:shd w:val="clear" w:color="auto" w:fill="FFFFFF" w:themeFill="background2"/>
                <w:vAlign w:val="center"/>
              </w:tcPr>
              <w:p w14:paraId="1413B628" w14:textId="7777777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c>
              <w:tcPr>
                <w:tcW w:w="325" w:type="pct"/>
                <w:shd w:val="clear" w:color="auto" w:fill="FFFFFF" w:themeFill="background2"/>
                <w:vAlign w:val="center"/>
              </w:tcPr>
              <w:p w14:paraId="533FDD58" w14:textId="7777777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r>
          <w:tr w:rsidR="006D68BE" w:rsidRPr="005F389E" w14:paraId="416B7C41"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37F3F8FC" w14:textId="77777777" w:rsidR="006D68BE" w:rsidRPr="005F389E" w:rsidRDefault="006D68BE" w:rsidP="0007107A">
                <w:pPr>
                  <w:spacing w:before="0" w:line="240" w:lineRule="auto"/>
                  <w:jc w:val="left"/>
                  <w:rPr>
                    <w:rFonts w:eastAsia="Times New Roman" w:cs="Segoe UI"/>
                    <w:b/>
                    <w:bCs/>
                    <w:sz w:val="14"/>
                    <w:szCs w:val="14"/>
                    <w:lang w:val="en-GB" w:eastAsia="it-IT"/>
                  </w:rPr>
                </w:pPr>
                <w:r w:rsidRPr="005F389E">
                  <w:rPr>
                    <w:rFonts w:cs="Segoe UI"/>
                    <w:b/>
                    <w:bCs/>
                    <w:sz w:val="14"/>
                    <w:szCs w:val="14"/>
                    <w:lang w:eastAsia="it-IT"/>
                  </w:rPr>
                  <w:t>A3.1</w:t>
                </w:r>
              </w:p>
            </w:tc>
            <w:tc>
              <w:tcPr>
                <w:tcW w:w="357" w:type="pct"/>
                <w:shd w:val="clear" w:color="auto" w:fill="FFFFFF" w:themeFill="background2"/>
                <w:tcMar>
                  <w:top w:w="60" w:type="dxa"/>
                  <w:left w:w="114" w:type="dxa"/>
                  <w:bottom w:w="60" w:type="dxa"/>
                  <w:right w:w="114" w:type="dxa"/>
                </w:tcMar>
                <w:vAlign w:val="center"/>
              </w:tcPr>
              <w:p w14:paraId="25A39FBC" w14:textId="39C94613"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1.35%</w:t>
                </w:r>
              </w:p>
            </w:tc>
            <w:tc>
              <w:tcPr>
                <w:tcW w:w="396" w:type="pct"/>
                <w:shd w:val="clear" w:color="auto" w:fill="FFFFFF" w:themeFill="background2"/>
                <w:tcMar>
                  <w:top w:w="60" w:type="dxa"/>
                  <w:left w:w="114" w:type="dxa"/>
                  <w:bottom w:w="60" w:type="dxa"/>
                  <w:right w:w="114" w:type="dxa"/>
                </w:tcMar>
                <w:vAlign w:val="center"/>
              </w:tcPr>
              <w:p w14:paraId="1133AE04" w14:textId="77B0F72A"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1.33%</w:t>
                </w:r>
              </w:p>
            </w:tc>
            <w:tc>
              <w:tcPr>
                <w:tcW w:w="301" w:type="pct"/>
                <w:shd w:val="clear" w:color="auto" w:fill="FFFFFF" w:themeFill="background2"/>
                <w:vAlign w:val="center"/>
              </w:tcPr>
              <w:p w14:paraId="06A78435" w14:textId="363C7DE0"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1.55%</w:t>
                </w:r>
              </w:p>
            </w:tc>
            <w:tc>
              <w:tcPr>
                <w:tcW w:w="301" w:type="pct"/>
                <w:shd w:val="clear" w:color="auto" w:fill="FFFFFF" w:themeFill="background2"/>
                <w:vAlign w:val="center"/>
              </w:tcPr>
              <w:p w14:paraId="638793EF" w14:textId="5EB7FDDE"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1.78%</w:t>
                </w:r>
              </w:p>
            </w:tc>
            <w:tc>
              <w:tcPr>
                <w:tcW w:w="301" w:type="pct"/>
                <w:shd w:val="clear" w:color="auto" w:fill="FFFFFF" w:themeFill="background2"/>
                <w:vAlign w:val="center"/>
              </w:tcPr>
              <w:p w14:paraId="634317E1" w14:textId="4D4D98A8"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1.82%</w:t>
                </w:r>
              </w:p>
            </w:tc>
            <w:tc>
              <w:tcPr>
                <w:tcW w:w="301" w:type="pct"/>
                <w:shd w:val="clear" w:color="auto" w:fill="FFFFFF" w:themeFill="background2"/>
                <w:vAlign w:val="center"/>
              </w:tcPr>
              <w:p w14:paraId="1FF80DB3" w14:textId="7F5D2A4F"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1.59%</w:t>
                </w:r>
              </w:p>
            </w:tc>
            <w:tc>
              <w:tcPr>
                <w:tcW w:w="301" w:type="pct"/>
                <w:shd w:val="clear" w:color="auto" w:fill="FFFFFF" w:themeFill="background2"/>
                <w:vAlign w:val="center"/>
              </w:tcPr>
              <w:p w14:paraId="0A324247" w14:textId="43013224"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1.59%</w:t>
                </w:r>
              </w:p>
            </w:tc>
            <w:tc>
              <w:tcPr>
                <w:tcW w:w="302" w:type="pct"/>
                <w:shd w:val="clear" w:color="auto" w:fill="FFFFFF" w:themeFill="background2"/>
                <w:vAlign w:val="center"/>
              </w:tcPr>
              <w:p w14:paraId="452564C0" w14:textId="743D55C1"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1.16%</w:t>
                </w:r>
              </w:p>
            </w:tc>
            <w:tc>
              <w:tcPr>
                <w:tcW w:w="302" w:type="pct"/>
                <w:shd w:val="clear" w:color="auto" w:fill="FFFFFF" w:themeFill="background2"/>
                <w:vAlign w:val="center"/>
              </w:tcPr>
              <w:p w14:paraId="4696F41D" w14:textId="255EFAFA"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1.00%</w:t>
                </w:r>
              </w:p>
            </w:tc>
            <w:tc>
              <w:tcPr>
                <w:tcW w:w="302" w:type="pct"/>
                <w:shd w:val="clear" w:color="auto" w:fill="FFFFFF" w:themeFill="background2"/>
                <w:vAlign w:val="center"/>
              </w:tcPr>
              <w:p w14:paraId="281FD8A0" w14:textId="6C38AFB1"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0.53%</w:t>
                </w:r>
              </w:p>
            </w:tc>
            <w:tc>
              <w:tcPr>
                <w:tcW w:w="301" w:type="pct"/>
                <w:shd w:val="clear" w:color="auto" w:fill="FFFFFF" w:themeFill="background2"/>
                <w:vAlign w:val="center"/>
              </w:tcPr>
              <w:p w14:paraId="68C62EAA" w14:textId="7BBB3608"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0,56%</w:t>
                </w:r>
              </w:p>
            </w:tc>
            <w:tc>
              <w:tcPr>
                <w:tcW w:w="301" w:type="pct"/>
                <w:shd w:val="clear" w:color="auto" w:fill="FFFFFF" w:themeFill="background2"/>
                <w:vAlign w:val="center"/>
              </w:tcPr>
              <w:p w14:paraId="15F926F9" w14:textId="699FDB6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c>
              <w:tcPr>
                <w:tcW w:w="301" w:type="pct"/>
                <w:shd w:val="clear" w:color="auto" w:fill="FFFFFF" w:themeFill="background2"/>
                <w:vAlign w:val="center"/>
              </w:tcPr>
              <w:p w14:paraId="1258D190" w14:textId="7777777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c>
              <w:tcPr>
                <w:tcW w:w="301" w:type="pct"/>
                <w:shd w:val="clear" w:color="auto" w:fill="FFFFFF" w:themeFill="background2"/>
                <w:vAlign w:val="center"/>
              </w:tcPr>
              <w:p w14:paraId="746C3024" w14:textId="7777777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c>
              <w:tcPr>
                <w:tcW w:w="325" w:type="pct"/>
                <w:shd w:val="clear" w:color="auto" w:fill="FFFFFF" w:themeFill="background2"/>
                <w:vAlign w:val="center"/>
              </w:tcPr>
              <w:p w14:paraId="757FC312" w14:textId="7777777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r>
          <w:tr w:rsidR="006D68BE" w:rsidRPr="005F389E" w14:paraId="78BBFBF8"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538AA70C" w14:textId="77777777" w:rsidR="006D68BE" w:rsidRPr="005F389E" w:rsidRDefault="006D68BE" w:rsidP="0007107A">
                <w:pPr>
                  <w:spacing w:before="0" w:line="240" w:lineRule="auto"/>
                  <w:jc w:val="left"/>
                  <w:rPr>
                    <w:rFonts w:eastAsia="Times New Roman" w:cs="Segoe UI"/>
                    <w:b/>
                    <w:bCs/>
                    <w:sz w:val="14"/>
                    <w:szCs w:val="14"/>
                    <w:lang w:val="en-GB" w:eastAsia="it-IT"/>
                  </w:rPr>
                </w:pPr>
                <w:r w:rsidRPr="005F389E">
                  <w:rPr>
                    <w:rFonts w:cs="Segoe UI"/>
                    <w:b/>
                    <w:bCs/>
                    <w:sz w:val="14"/>
                    <w:szCs w:val="14"/>
                    <w:lang w:eastAsia="it-IT"/>
                  </w:rPr>
                  <w:t>B1.1</w:t>
                </w:r>
              </w:p>
            </w:tc>
            <w:tc>
              <w:tcPr>
                <w:tcW w:w="357" w:type="pct"/>
                <w:shd w:val="clear" w:color="auto" w:fill="FFFFFF" w:themeFill="background2"/>
                <w:tcMar>
                  <w:top w:w="60" w:type="dxa"/>
                  <w:left w:w="114" w:type="dxa"/>
                  <w:bottom w:w="60" w:type="dxa"/>
                  <w:right w:w="114" w:type="dxa"/>
                </w:tcMar>
                <w:vAlign w:val="center"/>
              </w:tcPr>
              <w:p w14:paraId="0937649C" w14:textId="358224BD"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2.27%</w:t>
                </w:r>
              </w:p>
            </w:tc>
            <w:tc>
              <w:tcPr>
                <w:tcW w:w="396" w:type="pct"/>
                <w:shd w:val="clear" w:color="auto" w:fill="FFFFFF" w:themeFill="background2"/>
                <w:tcMar>
                  <w:top w:w="60" w:type="dxa"/>
                  <w:left w:w="114" w:type="dxa"/>
                  <w:bottom w:w="60" w:type="dxa"/>
                  <w:right w:w="114" w:type="dxa"/>
                </w:tcMar>
                <w:vAlign w:val="center"/>
              </w:tcPr>
              <w:p w14:paraId="2D1B61B5" w14:textId="05854C89"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2.46%</w:t>
                </w:r>
              </w:p>
            </w:tc>
            <w:tc>
              <w:tcPr>
                <w:tcW w:w="301" w:type="pct"/>
                <w:shd w:val="clear" w:color="auto" w:fill="FFFFFF" w:themeFill="background2"/>
                <w:vAlign w:val="center"/>
              </w:tcPr>
              <w:p w14:paraId="0E80169A" w14:textId="56BB088D"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3.42%</w:t>
                </w:r>
              </w:p>
            </w:tc>
            <w:tc>
              <w:tcPr>
                <w:tcW w:w="301" w:type="pct"/>
                <w:shd w:val="clear" w:color="auto" w:fill="FFFFFF" w:themeFill="background2"/>
                <w:vAlign w:val="center"/>
              </w:tcPr>
              <w:p w14:paraId="62EFCE1C" w14:textId="281A0699"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4.03%</w:t>
                </w:r>
              </w:p>
            </w:tc>
            <w:tc>
              <w:tcPr>
                <w:tcW w:w="301" w:type="pct"/>
                <w:shd w:val="clear" w:color="auto" w:fill="FFFFFF" w:themeFill="background2"/>
                <w:vAlign w:val="center"/>
              </w:tcPr>
              <w:p w14:paraId="24C302E8" w14:textId="7044474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3.35%</w:t>
                </w:r>
              </w:p>
            </w:tc>
            <w:tc>
              <w:tcPr>
                <w:tcW w:w="301" w:type="pct"/>
                <w:shd w:val="clear" w:color="auto" w:fill="FFFFFF" w:themeFill="background2"/>
                <w:vAlign w:val="center"/>
              </w:tcPr>
              <w:p w14:paraId="685345FC" w14:textId="7C32DC1B"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3.92%</w:t>
                </w:r>
              </w:p>
            </w:tc>
            <w:tc>
              <w:tcPr>
                <w:tcW w:w="301" w:type="pct"/>
                <w:shd w:val="clear" w:color="auto" w:fill="FFFFFF" w:themeFill="background2"/>
                <w:vAlign w:val="center"/>
              </w:tcPr>
              <w:p w14:paraId="5DB0CE3B" w14:textId="2D4FF22E"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3.76%</w:t>
                </w:r>
              </w:p>
            </w:tc>
            <w:tc>
              <w:tcPr>
                <w:tcW w:w="302" w:type="pct"/>
                <w:shd w:val="clear" w:color="auto" w:fill="FFFFFF" w:themeFill="background2"/>
                <w:vAlign w:val="center"/>
              </w:tcPr>
              <w:p w14:paraId="62E486AC" w14:textId="03B24046"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2.88%</w:t>
                </w:r>
              </w:p>
            </w:tc>
            <w:tc>
              <w:tcPr>
                <w:tcW w:w="302" w:type="pct"/>
                <w:shd w:val="clear" w:color="auto" w:fill="FFFFFF" w:themeFill="background2"/>
                <w:vAlign w:val="center"/>
              </w:tcPr>
              <w:p w14:paraId="740F5B22" w14:textId="242403A1"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2.28%</w:t>
                </w:r>
              </w:p>
            </w:tc>
            <w:tc>
              <w:tcPr>
                <w:tcW w:w="302" w:type="pct"/>
                <w:shd w:val="clear" w:color="auto" w:fill="FFFFFF" w:themeFill="background2"/>
                <w:vAlign w:val="center"/>
              </w:tcPr>
              <w:p w14:paraId="0C2821B7" w14:textId="22B253C9"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1.43%</w:t>
                </w:r>
              </w:p>
            </w:tc>
            <w:tc>
              <w:tcPr>
                <w:tcW w:w="301" w:type="pct"/>
                <w:shd w:val="clear" w:color="auto" w:fill="FFFFFF" w:themeFill="background2"/>
                <w:vAlign w:val="center"/>
              </w:tcPr>
              <w:p w14:paraId="7AA20E6B" w14:textId="3247E9AD"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1,11%</w:t>
                </w:r>
              </w:p>
            </w:tc>
            <w:tc>
              <w:tcPr>
                <w:tcW w:w="301" w:type="pct"/>
                <w:shd w:val="clear" w:color="auto" w:fill="FFFFFF" w:themeFill="background2"/>
                <w:vAlign w:val="center"/>
              </w:tcPr>
              <w:p w14:paraId="36100DC4" w14:textId="34B0E598"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c>
              <w:tcPr>
                <w:tcW w:w="301" w:type="pct"/>
                <w:shd w:val="clear" w:color="auto" w:fill="FFFFFF" w:themeFill="background2"/>
                <w:vAlign w:val="center"/>
              </w:tcPr>
              <w:p w14:paraId="20ECEB73" w14:textId="7777777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c>
              <w:tcPr>
                <w:tcW w:w="301" w:type="pct"/>
                <w:shd w:val="clear" w:color="auto" w:fill="FFFFFF" w:themeFill="background2"/>
                <w:vAlign w:val="center"/>
              </w:tcPr>
              <w:p w14:paraId="3C116D0D" w14:textId="7777777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c>
              <w:tcPr>
                <w:tcW w:w="325" w:type="pct"/>
                <w:shd w:val="clear" w:color="auto" w:fill="FFFFFF" w:themeFill="background2"/>
                <w:vAlign w:val="center"/>
              </w:tcPr>
              <w:p w14:paraId="03915023" w14:textId="7777777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r>
          <w:tr w:rsidR="006D68BE" w:rsidRPr="005F389E" w14:paraId="3F1C67BB"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5EBE4E35" w14:textId="77777777" w:rsidR="006D68BE" w:rsidRPr="005F389E" w:rsidRDefault="006D68BE" w:rsidP="0007107A">
                <w:pPr>
                  <w:spacing w:before="0" w:line="240" w:lineRule="auto"/>
                  <w:jc w:val="left"/>
                  <w:rPr>
                    <w:rFonts w:eastAsia="Times New Roman" w:cs="Segoe UI"/>
                    <w:b/>
                    <w:bCs/>
                    <w:sz w:val="14"/>
                    <w:szCs w:val="14"/>
                    <w:lang w:val="en-GB" w:eastAsia="it-IT"/>
                  </w:rPr>
                </w:pPr>
                <w:r w:rsidRPr="005F389E">
                  <w:rPr>
                    <w:rFonts w:cs="Segoe UI"/>
                    <w:b/>
                    <w:bCs/>
                    <w:sz w:val="14"/>
                    <w:szCs w:val="14"/>
                    <w:lang w:eastAsia="it-IT"/>
                  </w:rPr>
                  <w:t>B1.2</w:t>
                </w:r>
              </w:p>
            </w:tc>
            <w:tc>
              <w:tcPr>
                <w:tcW w:w="357" w:type="pct"/>
                <w:shd w:val="clear" w:color="auto" w:fill="FFFFFF" w:themeFill="background2"/>
                <w:tcMar>
                  <w:top w:w="60" w:type="dxa"/>
                  <w:left w:w="114" w:type="dxa"/>
                  <w:bottom w:w="60" w:type="dxa"/>
                  <w:right w:w="114" w:type="dxa"/>
                </w:tcMar>
                <w:vAlign w:val="center"/>
              </w:tcPr>
              <w:p w14:paraId="45CB1D7F" w14:textId="2707901B"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5.14%</w:t>
                </w:r>
              </w:p>
            </w:tc>
            <w:tc>
              <w:tcPr>
                <w:tcW w:w="396" w:type="pct"/>
                <w:shd w:val="clear" w:color="auto" w:fill="FFFFFF" w:themeFill="background2"/>
                <w:tcMar>
                  <w:top w:w="60" w:type="dxa"/>
                  <w:left w:w="114" w:type="dxa"/>
                  <w:bottom w:w="60" w:type="dxa"/>
                  <w:right w:w="114" w:type="dxa"/>
                </w:tcMar>
                <w:vAlign w:val="center"/>
              </w:tcPr>
              <w:p w14:paraId="1C376D9A" w14:textId="1723310E"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5.48%</w:t>
                </w:r>
              </w:p>
            </w:tc>
            <w:tc>
              <w:tcPr>
                <w:tcW w:w="301" w:type="pct"/>
                <w:shd w:val="clear" w:color="auto" w:fill="FFFFFF" w:themeFill="background2"/>
                <w:vAlign w:val="center"/>
              </w:tcPr>
              <w:p w14:paraId="157465F8" w14:textId="59C39683"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5.73%</w:t>
                </w:r>
              </w:p>
            </w:tc>
            <w:tc>
              <w:tcPr>
                <w:tcW w:w="301" w:type="pct"/>
                <w:shd w:val="clear" w:color="auto" w:fill="FFFFFF" w:themeFill="background2"/>
                <w:vAlign w:val="center"/>
              </w:tcPr>
              <w:p w14:paraId="2D789756" w14:textId="167A1498"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9.60%</w:t>
                </w:r>
              </w:p>
            </w:tc>
            <w:tc>
              <w:tcPr>
                <w:tcW w:w="301" w:type="pct"/>
                <w:shd w:val="clear" w:color="auto" w:fill="FFFFFF" w:themeFill="background2"/>
                <w:vAlign w:val="center"/>
              </w:tcPr>
              <w:p w14:paraId="06529995" w14:textId="720E92EE"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7.41%</w:t>
                </w:r>
              </w:p>
            </w:tc>
            <w:tc>
              <w:tcPr>
                <w:tcW w:w="301" w:type="pct"/>
                <w:shd w:val="clear" w:color="auto" w:fill="FFFFFF" w:themeFill="background2"/>
                <w:vAlign w:val="center"/>
              </w:tcPr>
              <w:p w14:paraId="29DAACB7" w14:textId="7205B29B"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7.83%</w:t>
                </w:r>
              </w:p>
            </w:tc>
            <w:tc>
              <w:tcPr>
                <w:tcW w:w="301" w:type="pct"/>
                <w:shd w:val="clear" w:color="auto" w:fill="FFFFFF" w:themeFill="background2"/>
                <w:vAlign w:val="center"/>
              </w:tcPr>
              <w:p w14:paraId="4520BC2D" w14:textId="5F557818"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5.75%</w:t>
                </w:r>
              </w:p>
            </w:tc>
            <w:tc>
              <w:tcPr>
                <w:tcW w:w="302" w:type="pct"/>
                <w:shd w:val="clear" w:color="auto" w:fill="FFFFFF" w:themeFill="background2"/>
                <w:vAlign w:val="center"/>
              </w:tcPr>
              <w:p w14:paraId="13DFE012" w14:textId="5DEE73C8"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4.59%</w:t>
                </w:r>
              </w:p>
            </w:tc>
            <w:tc>
              <w:tcPr>
                <w:tcW w:w="302" w:type="pct"/>
                <w:shd w:val="clear" w:color="auto" w:fill="FFFFFF" w:themeFill="background2"/>
                <w:vAlign w:val="center"/>
              </w:tcPr>
              <w:p w14:paraId="0EA3BE3A" w14:textId="6FD38DF5"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2.92%</w:t>
                </w:r>
              </w:p>
            </w:tc>
            <w:tc>
              <w:tcPr>
                <w:tcW w:w="302" w:type="pct"/>
                <w:shd w:val="clear" w:color="auto" w:fill="FFFFFF" w:themeFill="background2"/>
                <w:vAlign w:val="center"/>
              </w:tcPr>
              <w:p w14:paraId="3AC56693" w14:textId="0ACC06A9"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2.57%</w:t>
                </w:r>
              </w:p>
            </w:tc>
            <w:tc>
              <w:tcPr>
                <w:tcW w:w="301" w:type="pct"/>
                <w:shd w:val="clear" w:color="auto" w:fill="FFFFFF" w:themeFill="background2"/>
                <w:vAlign w:val="center"/>
              </w:tcPr>
              <w:p w14:paraId="41FCF563" w14:textId="22FF2665"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2,51%</w:t>
                </w:r>
              </w:p>
            </w:tc>
            <w:tc>
              <w:tcPr>
                <w:tcW w:w="301" w:type="pct"/>
                <w:shd w:val="clear" w:color="auto" w:fill="FFFFFF" w:themeFill="background2"/>
                <w:vAlign w:val="center"/>
              </w:tcPr>
              <w:p w14:paraId="205EA498" w14:textId="0164D6A2"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c>
              <w:tcPr>
                <w:tcW w:w="301" w:type="pct"/>
                <w:shd w:val="clear" w:color="auto" w:fill="FFFFFF" w:themeFill="background2"/>
                <w:vAlign w:val="center"/>
              </w:tcPr>
              <w:p w14:paraId="69DD1596" w14:textId="7777777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c>
              <w:tcPr>
                <w:tcW w:w="301" w:type="pct"/>
                <w:shd w:val="clear" w:color="auto" w:fill="FFFFFF" w:themeFill="background2"/>
                <w:vAlign w:val="center"/>
              </w:tcPr>
              <w:p w14:paraId="61920870" w14:textId="7777777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c>
              <w:tcPr>
                <w:tcW w:w="325" w:type="pct"/>
                <w:shd w:val="clear" w:color="auto" w:fill="FFFFFF" w:themeFill="background2"/>
                <w:vAlign w:val="center"/>
              </w:tcPr>
              <w:p w14:paraId="3A5A8E93" w14:textId="7777777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r>
          <w:tr w:rsidR="006D68BE" w:rsidRPr="005F389E" w14:paraId="1C0181C5"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3FC451F7" w14:textId="77777777" w:rsidR="006D68BE" w:rsidRPr="005F389E" w:rsidRDefault="006D68BE" w:rsidP="0007107A">
                <w:pPr>
                  <w:spacing w:before="0" w:line="240" w:lineRule="auto"/>
                  <w:jc w:val="left"/>
                  <w:rPr>
                    <w:rFonts w:eastAsia="Times New Roman" w:cs="Segoe UI"/>
                    <w:b/>
                    <w:bCs/>
                    <w:sz w:val="14"/>
                    <w:szCs w:val="14"/>
                    <w:lang w:val="en-GB" w:eastAsia="it-IT"/>
                  </w:rPr>
                </w:pPr>
                <w:r w:rsidRPr="005F389E">
                  <w:rPr>
                    <w:rFonts w:cs="Segoe UI"/>
                    <w:b/>
                    <w:bCs/>
                    <w:sz w:val="14"/>
                    <w:szCs w:val="14"/>
                    <w:lang w:eastAsia="it-IT"/>
                  </w:rPr>
                  <w:t>B2.1</w:t>
                </w:r>
              </w:p>
            </w:tc>
            <w:tc>
              <w:tcPr>
                <w:tcW w:w="357" w:type="pct"/>
                <w:shd w:val="clear" w:color="auto" w:fill="FFFFFF" w:themeFill="background2"/>
                <w:tcMar>
                  <w:top w:w="60" w:type="dxa"/>
                  <w:left w:w="114" w:type="dxa"/>
                  <w:bottom w:w="60" w:type="dxa"/>
                  <w:right w:w="114" w:type="dxa"/>
                </w:tcMar>
                <w:vAlign w:val="center"/>
              </w:tcPr>
              <w:p w14:paraId="6989532F" w14:textId="345E1FB5"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11.35%</w:t>
                </w:r>
              </w:p>
            </w:tc>
            <w:tc>
              <w:tcPr>
                <w:tcW w:w="396" w:type="pct"/>
                <w:shd w:val="clear" w:color="auto" w:fill="FFFFFF" w:themeFill="background2"/>
                <w:tcMar>
                  <w:top w:w="60" w:type="dxa"/>
                  <w:left w:w="114" w:type="dxa"/>
                  <w:bottom w:w="60" w:type="dxa"/>
                  <w:right w:w="114" w:type="dxa"/>
                </w:tcMar>
                <w:vAlign w:val="center"/>
              </w:tcPr>
              <w:p w14:paraId="544925D6" w14:textId="21155FAA"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10.88%</w:t>
                </w:r>
              </w:p>
            </w:tc>
            <w:tc>
              <w:tcPr>
                <w:tcW w:w="301" w:type="pct"/>
                <w:shd w:val="clear" w:color="auto" w:fill="FFFFFF" w:themeFill="background2"/>
                <w:vAlign w:val="center"/>
              </w:tcPr>
              <w:p w14:paraId="153D74F0" w14:textId="45D75099"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11.12%</w:t>
                </w:r>
              </w:p>
            </w:tc>
            <w:tc>
              <w:tcPr>
                <w:tcW w:w="301" w:type="pct"/>
                <w:shd w:val="clear" w:color="auto" w:fill="FFFFFF" w:themeFill="background2"/>
                <w:vAlign w:val="center"/>
              </w:tcPr>
              <w:p w14:paraId="71BBC7C4" w14:textId="40AA941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16.11%</w:t>
                </w:r>
              </w:p>
            </w:tc>
            <w:tc>
              <w:tcPr>
                <w:tcW w:w="301" w:type="pct"/>
                <w:shd w:val="clear" w:color="auto" w:fill="FFFFFF" w:themeFill="background2"/>
                <w:vAlign w:val="center"/>
              </w:tcPr>
              <w:p w14:paraId="4BEBAD54" w14:textId="7CED1AA9"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13.02%</w:t>
                </w:r>
              </w:p>
            </w:tc>
            <w:tc>
              <w:tcPr>
                <w:tcW w:w="301" w:type="pct"/>
                <w:shd w:val="clear" w:color="auto" w:fill="FFFFFF" w:themeFill="background2"/>
                <w:vAlign w:val="center"/>
              </w:tcPr>
              <w:p w14:paraId="2B654490" w14:textId="2EFCE481"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12.02%</w:t>
                </w:r>
              </w:p>
            </w:tc>
            <w:tc>
              <w:tcPr>
                <w:tcW w:w="301" w:type="pct"/>
                <w:shd w:val="clear" w:color="auto" w:fill="FFFFFF" w:themeFill="background2"/>
                <w:vAlign w:val="center"/>
              </w:tcPr>
              <w:p w14:paraId="67040201" w14:textId="712529D8"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8.91%</w:t>
                </w:r>
              </w:p>
            </w:tc>
            <w:tc>
              <w:tcPr>
                <w:tcW w:w="302" w:type="pct"/>
                <w:shd w:val="clear" w:color="auto" w:fill="FFFFFF" w:themeFill="background2"/>
                <w:vAlign w:val="center"/>
              </w:tcPr>
              <w:p w14:paraId="1FCDDB53" w14:textId="12D1519E"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7.34%</w:t>
                </w:r>
              </w:p>
            </w:tc>
            <w:tc>
              <w:tcPr>
                <w:tcW w:w="302" w:type="pct"/>
                <w:shd w:val="clear" w:color="auto" w:fill="FFFFFF" w:themeFill="background2"/>
                <w:vAlign w:val="center"/>
              </w:tcPr>
              <w:p w14:paraId="3763B567" w14:textId="1BF5FA1C"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5.36%</w:t>
                </w:r>
              </w:p>
            </w:tc>
            <w:tc>
              <w:tcPr>
                <w:tcW w:w="302" w:type="pct"/>
                <w:shd w:val="clear" w:color="auto" w:fill="FFFFFF" w:themeFill="background2"/>
                <w:vAlign w:val="center"/>
              </w:tcPr>
              <w:p w14:paraId="0732F761" w14:textId="08250B06"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4.83%</w:t>
                </w:r>
              </w:p>
            </w:tc>
            <w:tc>
              <w:tcPr>
                <w:tcW w:w="301" w:type="pct"/>
                <w:shd w:val="clear" w:color="auto" w:fill="FFFFFF" w:themeFill="background2"/>
                <w:vAlign w:val="center"/>
              </w:tcPr>
              <w:p w14:paraId="4948F83D" w14:textId="4C39960E"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5,12%</w:t>
                </w:r>
              </w:p>
            </w:tc>
            <w:tc>
              <w:tcPr>
                <w:tcW w:w="301" w:type="pct"/>
                <w:shd w:val="clear" w:color="auto" w:fill="FFFFFF" w:themeFill="background2"/>
                <w:vAlign w:val="center"/>
              </w:tcPr>
              <w:p w14:paraId="0F681840" w14:textId="148AB33C"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c>
              <w:tcPr>
                <w:tcW w:w="301" w:type="pct"/>
                <w:shd w:val="clear" w:color="auto" w:fill="FFFFFF" w:themeFill="background2"/>
                <w:vAlign w:val="center"/>
              </w:tcPr>
              <w:p w14:paraId="27770BCB" w14:textId="7777777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c>
              <w:tcPr>
                <w:tcW w:w="301" w:type="pct"/>
                <w:shd w:val="clear" w:color="auto" w:fill="FFFFFF" w:themeFill="background2"/>
                <w:vAlign w:val="center"/>
              </w:tcPr>
              <w:p w14:paraId="1D0C3B99" w14:textId="7777777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c>
              <w:tcPr>
                <w:tcW w:w="325" w:type="pct"/>
                <w:shd w:val="clear" w:color="auto" w:fill="FFFFFF" w:themeFill="background2"/>
                <w:vAlign w:val="center"/>
              </w:tcPr>
              <w:p w14:paraId="79570FAE" w14:textId="7777777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r>
          <w:tr w:rsidR="006D68BE" w:rsidRPr="005F389E" w14:paraId="3C95B9DF"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00DC2A47" w14:textId="77777777" w:rsidR="006D68BE" w:rsidRPr="005F389E" w:rsidRDefault="006D68BE" w:rsidP="0007107A">
                <w:pPr>
                  <w:spacing w:before="0" w:line="240" w:lineRule="auto"/>
                  <w:jc w:val="left"/>
                  <w:rPr>
                    <w:rFonts w:eastAsia="Times New Roman" w:cs="Segoe UI"/>
                    <w:b/>
                    <w:bCs/>
                    <w:sz w:val="14"/>
                    <w:szCs w:val="14"/>
                    <w:lang w:val="en-GB" w:eastAsia="it-IT"/>
                  </w:rPr>
                </w:pPr>
                <w:r w:rsidRPr="005F389E">
                  <w:rPr>
                    <w:rFonts w:cs="Segoe UI"/>
                    <w:b/>
                    <w:bCs/>
                    <w:sz w:val="14"/>
                    <w:szCs w:val="14"/>
                    <w:lang w:eastAsia="it-IT"/>
                  </w:rPr>
                  <w:t>B2.2</w:t>
                </w:r>
              </w:p>
            </w:tc>
            <w:tc>
              <w:tcPr>
                <w:tcW w:w="357" w:type="pct"/>
                <w:shd w:val="clear" w:color="auto" w:fill="FFFFFF" w:themeFill="background2"/>
                <w:tcMar>
                  <w:top w:w="60" w:type="dxa"/>
                  <w:left w:w="114" w:type="dxa"/>
                  <w:bottom w:w="60" w:type="dxa"/>
                  <w:right w:w="114" w:type="dxa"/>
                </w:tcMar>
                <w:vAlign w:val="center"/>
              </w:tcPr>
              <w:p w14:paraId="194E92C1" w14:textId="671DF568"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18.09%</w:t>
                </w:r>
              </w:p>
            </w:tc>
            <w:tc>
              <w:tcPr>
                <w:tcW w:w="396" w:type="pct"/>
                <w:shd w:val="clear" w:color="auto" w:fill="FFFFFF" w:themeFill="background2"/>
                <w:tcMar>
                  <w:top w:w="60" w:type="dxa"/>
                  <w:left w:w="114" w:type="dxa"/>
                  <w:bottom w:w="60" w:type="dxa"/>
                  <w:right w:w="114" w:type="dxa"/>
                </w:tcMar>
                <w:vAlign w:val="center"/>
              </w:tcPr>
              <w:p w14:paraId="7660A8FD" w14:textId="119A98EA"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18.62%</w:t>
                </w:r>
              </w:p>
            </w:tc>
            <w:tc>
              <w:tcPr>
                <w:tcW w:w="301" w:type="pct"/>
                <w:shd w:val="clear" w:color="auto" w:fill="FFFFFF" w:themeFill="background2"/>
                <w:vAlign w:val="center"/>
              </w:tcPr>
              <w:p w14:paraId="753FE40F" w14:textId="6D874599"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19.68%</w:t>
                </w:r>
              </w:p>
            </w:tc>
            <w:tc>
              <w:tcPr>
                <w:tcW w:w="301" w:type="pct"/>
                <w:shd w:val="clear" w:color="auto" w:fill="FFFFFF" w:themeFill="background2"/>
                <w:vAlign w:val="center"/>
              </w:tcPr>
              <w:p w14:paraId="2F1D1C7F" w14:textId="22A94C7F"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23.47%</w:t>
                </w:r>
              </w:p>
            </w:tc>
            <w:tc>
              <w:tcPr>
                <w:tcW w:w="301" w:type="pct"/>
                <w:shd w:val="clear" w:color="auto" w:fill="FFFFFF" w:themeFill="background2"/>
                <w:vAlign w:val="center"/>
              </w:tcPr>
              <w:p w14:paraId="0ADAF028" w14:textId="14B7E53A"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20.68%</w:t>
                </w:r>
              </w:p>
            </w:tc>
            <w:tc>
              <w:tcPr>
                <w:tcW w:w="301" w:type="pct"/>
                <w:shd w:val="clear" w:color="auto" w:fill="FFFFFF" w:themeFill="background2"/>
                <w:vAlign w:val="center"/>
              </w:tcPr>
              <w:p w14:paraId="0C3BF4F8" w14:textId="01F3B061"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18.53%</w:t>
                </w:r>
              </w:p>
            </w:tc>
            <w:tc>
              <w:tcPr>
                <w:tcW w:w="301" w:type="pct"/>
                <w:shd w:val="clear" w:color="auto" w:fill="FFFFFF" w:themeFill="background2"/>
                <w:vAlign w:val="center"/>
              </w:tcPr>
              <w:p w14:paraId="733177AD" w14:textId="423FA2E0"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14.07%</w:t>
                </w:r>
              </w:p>
            </w:tc>
            <w:tc>
              <w:tcPr>
                <w:tcW w:w="302" w:type="pct"/>
                <w:shd w:val="clear" w:color="auto" w:fill="FFFFFF" w:themeFill="background2"/>
                <w:vAlign w:val="center"/>
              </w:tcPr>
              <w:p w14:paraId="4BC920C8" w14:textId="3CD9CFD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11.58%</w:t>
                </w:r>
              </w:p>
            </w:tc>
            <w:tc>
              <w:tcPr>
                <w:tcW w:w="302" w:type="pct"/>
                <w:shd w:val="clear" w:color="auto" w:fill="FFFFFF" w:themeFill="background2"/>
                <w:vAlign w:val="center"/>
              </w:tcPr>
              <w:p w14:paraId="7DFB7916" w14:textId="310F4809"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8.65%</w:t>
                </w:r>
              </w:p>
            </w:tc>
            <w:tc>
              <w:tcPr>
                <w:tcW w:w="302" w:type="pct"/>
                <w:shd w:val="clear" w:color="auto" w:fill="FFFFFF" w:themeFill="background2"/>
                <w:vAlign w:val="center"/>
              </w:tcPr>
              <w:p w14:paraId="3361386E" w14:textId="0E3866C3"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7.81%</w:t>
                </w:r>
              </w:p>
            </w:tc>
            <w:tc>
              <w:tcPr>
                <w:tcW w:w="301" w:type="pct"/>
                <w:shd w:val="clear" w:color="auto" w:fill="FFFFFF" w:themeFill="background2"/>
                <w:vAlign w:val="center"/>
              </w:tcPr>
              <w:p w14:paraId="33BE9C1E" w14:textId="70AF8C8C"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7,67%</w:t>
                </w:r>
              </w:p>
            </w:tc>
            <w:tc>
              <w:tcPr>
                <w:tcW w:w="301" w:type="pct"/>
                <w:shd w:val="clear" w:color="auto" w:fill="FFFFFF" w:themeFill="background2"/>
                <w:vAlign w:val="center"/>
              </w:tcPr>
              <w:p w14:paraId="327801AB" w14:textId="280AC8FC"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c>
              <w:tcPr>
                <w:tcW w:w="301" w:type="pct"/>
                <w:shd w:val="clear" w:color="auto" w:fill="FFFFFF" w:themeFill="background2"/>
                <w:vAlign w:val="center"/>
              </w:tcPr>
              <w:p w14:paraId="40E4BDA2" w14:textId="7777777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c>
              <w:tcPr>
                <w:tcW w:w="301" w:type="pct"/>
                <w:shd w:val="clear" w:color="auto" w:fill="FFFFFF" w:themeFill="background2"/>
                <w:vAlign w:val="center"/>
              </w:tcPr>
              <w:p w14:paraId="224BD8C1" w14:textId="7777777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c>
              <w:tcPr>
                <w:tcW w:w="325" w:type="pct"/>
                <w:shd w:val="clear" w:color="auto" w:fill="FFFFFF" w:themeFill="background2"/>
                <w:vAlign w:val="center"/>
              </w:tcPr>
              <w:p w14:paraId="52C722FA" w14:textId="7777777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r>
          <w:tr w:rsidR="006D68BE" w:rsidRPr="005F389E" w14:paraId="5C8E6675"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57086CD0" w14:textId="77777777" w:rsidR="006D68BE" w:rsidRPr="005F389E" w:rsidRDefault="006D68BE" w:rsidP="0007107A">
                <w:pPr>
                  <w:spacing w:before="0" w:line="240" w:lineRule="auto"/>
                  <w:jc w:val="left"/>
                  <w:rPr>
                    <w:rFonts w:eastAsia="Times New Roman" w:cs="Segoe UI"/>
                    <w:b/>
                    <w:bCs/>
                    <w:sz w:val="14"/>
                    <w:szCs w:val="14"/>
                    <w:lang w:val="en-GB" w:eastAsia="it-IT"/>
                  </w:rPr>
                </w:pPr>
                <w:r w:rsidRPr="005F389E">
                  <w:rPr>
                    <w:rFonts w:cs="Segoe UI"/>
                    <w:b/>
                    <w:bCs/>
                    <w:sz w:val="14"/>
                    <w:szCs w:val="14"/>
                    <w:lang w:eastAsia="it-IT"/>
                  </w:rPr>
                  <w:t>C1.1</w:t>
                </w:r>
              </w:p>
            </w:tc>
            <w:tc>
              <w:tcPr>
                <w:tcW w:w="357" w:type="pct"/>
                <w:shd w:val="clear" w:color="auto" w:fill="FFFFFF" w:themeFill="background2"/>
                <w:tcMar>
                  <w:top w:w="60" w:type="dxa"/>
                  <w:left w:w="114" w:type="dxa"/>
                  <w:bottom w:w="60" w:type="dxa"/>
                  <w:right w:w="114" w:type="dxa"/>
                </w:tcMar>
                <w:vAlign w:val="center"/>
              </w:tcPr>
              <w:p w14:paraId="7943485E" w14:textId="1CFFA3EC"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29.25%</w:t>
                </w:r>
              </w:p>
            </w:tc>
            <w:tc>
              <w:tcPr>
                <w:tcW w:w="396" w:type="pct"/>
                <w:shd w:val="clear" w:color="auto" w:fill="FFFFFF" w:themeFill="background2"/>
                <w:tcMar>
                  <w:top w:w="60" w:type="dxa"/>
                  <w:left w:w="114" w:type="dxa"/>
                  <w:bottom w:w="60" w:type="dxa"/>
                  <w:right w:w="114" w:type="dxa"/>
                </w:tcMar>
                <w:vAlign w:val="center"/>
              </w:tcPr>
              <w:p w14:paraId="253C3211" w14:textId="3F8B9E56"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26.75%</w:t>
                </w:r>
              </w:p>
            </w:tc>
            <w:tc>
              <w:tcPr>
                <w:tcW w:w="301" w:type="pct"/>
                <w:shd w:val="clear" w:color="auto" w:fill="FFFFFF" w:themeFill="background2"/>
                <w:vAlign w:val="center"/>
              </w:tcPr>
              <w:p w14:paraId="115969A8" w14:textId="1DCE448C"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27.19%</w:t>
                </w:r>
              </w:p>
            </w:tc>
            <w:tc>
              <w:tcPr>
                <w:tcW w:w="301" w:type="pct"/>
                <w:shd w:val="clear" w:color="auto" w:fill="FFFFFF" w:themeFill="background2"/>
                <w:vAlign w:val="center"/>
              </w:tcPr>
              <w:p w14:paraId="2E36FD57" w14:textId="63FD7022"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33.37%</w:t>
                </w:r>
              </w:p>
            </w:tc>
            <w:tc>
              <w:tcPr>
                <w:tcW w:w="301" w:type="pct"/>
                <w:shd w:val="clear" w:color="auto" w:fill="FFFFFF" w:themeFill="background2"/>
                <w:vAlign w:val="center"/>
              </w:tcPr>
              <w:p w14:paraId="0EA1CC00" w14:textId="4A9EE78A"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32.08%</w:t>
                </w:r>
              </w:p>
            </w:tc>
            <w:tc>
              <w:tcPr>
                <w:tcW w:w="301" w:type="pct"/>
                <w:shd w:val="clear" w:color="auto" w:fill="FFFFFF" w:themeFill="background2"/>
                <w:vAlign w:val="center"/>
              </w:tcPr>
              <w:p w14:paraId="701BC3DC" w14:textId="2F7C5A5B"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27.75%</w:t>
                </w:r>
              </w:p>
            </w:tc>
            <w:tc>
              <w:tcPr>
                <w:tcW w:w="301" w:type="pct"/>
                <w:shd w:val="clear" w:color="auto" w:fill="FFFFFF" w:themeFill="background2"/>
                <w:vAlign w:val="center"/>
              </w:tcPr>
              <w:p w14:paraId="7435C109" w14:textId="1E2B8C29"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20.99%</w:t>
                </w:r>
              </w:p>
            </w:tc>
            <w:tc>
              <w:tcPr>
                <w:tcW w:w="302" w:type="pct"/>
                <w:shd w:val="clear" w:color="auto" w:fill="FFFFFF" w:themeFill="background2"/>
                <w:vAlign w:val="center"/>
              </w:tcPr>
              <w:p w14:paraId="4D3B68AF" w14:textId="0BC381D2"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18.01%</w:t>
                </w:r>
              </w:p>
            </w:tc>
            <w:tc>
              <w:tcPr>
                <w:tcW w:w="302" w:type="pct"/>
                <w:shd w:val="clear" w:color="auto" w:fill="FFFFFF" w:themeFill="background2"/>
                <w:vAlign w:val="center"/>
              </w:tcPr>
              <w:p w14:paraId="7B2BE97F" w14:textId="5941254A"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13.45%</w:t>
                </w:r>
              </w:p>
            </w:tc>
            <w:tc>
              <w:tcPr>
                <w:tcW w:w="302" w:type="pct"/>
                <w:shd w:val="clear" w:color="auto" w:fill="FFFFFF" w:themeFill="background2"/>
                <w:vAlign w:val="center"/>
              </w:tcPr>
              <w:p w14:paraId="5EA9AADD" w14:textId="49AC73F6"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12.09%</w:t>
                </w:r>
              </w:p>
            </w:tc>
            <w:tc>
              <w:tcPr>
                <w:tcW w:w="301" w:type="pct"/>
                <w:shd w:val="clear" w:color="auto" w:fill="FFFFFF" w:themeFill="background2"/>
                <w:vAlign w:val="center"/>
              </w:tcPr>
              <w:p w14:paraId="2E0CD8B2" w14:textId="0A16AFC6"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10,85%</w:t>
                </w:r>
              </w:p>
            </w:tc>
            <w:tc>
              <w:tcPr>
                <w:tcW w:w="301" w:type="pct"/>
                <w:shd w:val="clear" w:color="auto" w:fill="FFFFFF" w:themeFill="background2"/>
                <w:vAlign w:val="center"/>
              </w:tcPr>
              <w:p w14:paraId="3DE1FA88" w14:textId="5D552C52"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c>
              <w:tcPr>
                <w:tcW w:w="301" w:type="pct"/>
                <w:shd w:val="clear" w:color="auto" w:fill="FFFFFF" w:themeFill="background2"/>
                <w:vAlign w:val="center"/>
              </w:tcPr>
              <w:p w14:paraId="21551364" w14:textId="7777777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c>
              <w:tcPr>
                <w:tcW w:w="301" w:type="pct"/>
                <w:shd w:val="clear" w:color="auto" w:fill="FFFFFF" w:themeFill="background2"/>
                <w:vAlign w:val="center"/>
              </w:tcPr>
              <w:p w14:paraId="57D5B0F4" w14:textId="7777777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c>
              <w:tcPr>
                <w:tcW w:w="325" w:type="pct"/>
                <w:shd w:val="clear" w:color="auto" w:fill="FFFFFF" w:themeFill="background2"/>
                <w:vAlign w:val="center"/>
              </w:tcPr>
              <w:p w14:paraId="3BF26160" w14:textId="7777777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r>
          <w:tr w:rsidR="006D68BE" w:rsidRPr="005F389E" w14:paraId="1E46BB8B"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5DFD7463" w14:textId="77777777" w:rsidR="006D68BE" w:rsidRPr="005F389E" w:rsidRDefault="006D68BE" w:rsidP="0007107A">
                <w:pPr>
                  <w:spacing w:before="0" w:line="240" w:lineRule="auto"/>
                  <w:jc w:val="left"/>
                  <w:rPr>
                    <w:rFonts w:eastAsia="Times New Roman" w:cs="Segoe UI"/>
                    <w:b/>
                    <w:bCs/>
                    <w:sz w:val="14"/>
                    <w:szCs w:val="14"/>
                    <w:lang w:val="en-GB" w:eastAsia="it-IT"/>
                  </w:rPr>
                </w:pPr>
                <w:r w:rsidRPr="005F389E">
                  <w:rPr>
                    <w:rFonts w:cs="Segoe UI"/>
                    <w:b/>
                    <w:bCs/>
                    <w:sz w:val="14"/>
                    <w:szCs w:val="14"/>
                    <w:lang w:eastAsia="it-IT"/>
                  </w:rPr>
                  <w:t>C1.2</w:t>
                </w:r>
              </w:p>
            </w:tc>
            <w:tc>
              <w:tcPr>
                <w:tcW w:w="357" w:type="pct"/>
                <w:shd w:val="clear" w:color="auto" w:fill="FFFFFF" w:themeFill="background2"/>
                <w:tcMar>
                  <w:top w:w="60" w:type="dxa"/>
                  <w:left w:w="114" w:type="dxa"/>
                  <w:bottom w:w="60" w:type="dxa"/>
                  <w:right w:w="114" w:type="dxa"/>
                </w:tcMar>
                <w:vAlign w:val="center"/>
              </w:tcPr>
              <w:p w14:paraId="5F66EAA8" w14:textId="562AEB70"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46.25%</w:t>
                </w:r>
              </w:p>
            </w:tc>
            <w:tc>
              <w:tcPr>
                <w:tcW w:w="396" w:type="pct"/>
                <w:shd w:val="clear" w:color="auto" w:fill="FFFFFF" w:themeFill="background2"/>
                <w:tcMar>
                  <w:top w:w="60" w:type="dxa"/>
                  <w:left w:w="114" w:type="dxa"/>
                  <w:bottom w:w="60" w:type="dxa"/>
                  <w:right w:w="114" w:type="dxa"/>
                </w:tcMar>
                <w:vAlign w:val="center"/>
              </w:tcPr>
              <w:p w14:paraId="0A451011" w14:textId="0A02489C"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42.89%</w:t>
                </w:r>
              </w:p>
            </w:tc>
            <w:tc>
              <w:tcPr>
                <w:tcW w:w="301" w:type="pct"/>
                <w:shd w:val="clear" w:color="auto" w:fill="FFFFFF" w:themeFill="background2"/>
                <w:vAlign w:val="center"/>
              </w:tcPr>
              <w:p w14:paraId="16861845" w14:textId="17E6EF26"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40.06%</w:t>
                </w:r>
              </w:p>
            </w:tc>
            <w:tc>
              <w:tcPr>
                <w:tcW w:w="301" w:type="pct"/>
                <w:shd w:val="clear" w:color="auto" w:fill="FFFFFF" w:themeFill="background2"/>
                <w:vAlign w:val="center"/>
              </w:tcPr>
              <w:p w14:paraId="315DDC78" w14:textId="404C6B09"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49.34%</w:t>
                </w:r>
              </w:p>
            </w:tc>
            <w:tc>
              <w:tcPr>
                <w:tcW w:w="301" w:type="pct"/>
                <w:shd w:val="clear" w:color="auto" w:fill="FFFFFF" w:themeFill="background2"/>
                <w:vAlign w:val="center"/>
              </w:tcPr>
              <w:p w14:paraId="78DFB36B" w14:textId="44F8E2CB"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48.20%</w:t>
                </w:r>
              </w:p>
            </w:tc>
            <w:tc>
              <w:tcPr>
                <w:tcW w:w="301" w:type="pct"/>
                <w:shd w:val="clear" w:color="auto" w:fill="FFFFFF" w:themeFill="background2"/>
                <w:vAlign w:val="center"/>
              </w:tcPr>
              <w:p w14:paraId="38F3092E" w14:textId="6C9BB54C"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34.85%</w:t>
                </w:r>
              </w:p>
            </w:tc>
            <w:tc>
              <w:tcPr>
                <w:tcW w:w="301" w:type="pct"/>
                <w:shd w:val="clear" w:color="auto" w:fill="FFFFFF" w:themeFill="background2"/>
                <w:vAlign w:val="center"/>
              </w:tcPr>
              <w:p w14:paraId="5EB4068C" w14:textId="54C1F228"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26.06%</w:t>
                </w:r>
              </w:p>
            </w:tc>
            <w:tc>
              <w:tcPr>
                <w:tcW w:w="302" w:type="pct"/>
                <w:shd w:val="clear" w:color="auto" w:fill="FFFFFF" w:themeFill="background2"/>
                <w:vAlign w:val="center"/>
              </w:tcPr>
              <w:p w14:paraId="3B6C04B9" w14:textId="09924A0E"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22.88%</w:t>
                </w:r>
              </w:p>
            </w:tc>
            <w:tc>
              <w:tcPr>
                <w:tcW w:w="302" w:type="pct"/>
                <w:shd w:val="clear" w:color="auto" w:fill="FFFFFF" w:themeFill="background2"/>
                <w:vAlign w:val="center"/>
              </w:tcPr>
              <w:p w14:paraId="39FDFB35" w14:textId="5C0C3EB3"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18.29%</w:t>
                </w:r>
              </w:p>
            </w:tc>
            <w:tc>
              <w:tcPr>
                <w:tcW w:w="302" w:type="pct"/>
                <w:shd w:val="clear" w:color="auto" w:fill="FFFFFF" w:themeFill="background2"/>
                <w:vAlign w:val="center"/>
              </w:tcPr>
              <w:p w14:paraId="5F9AFD77" w14:textId="6EE9902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17.72%</w:t>
                </w:r>
              </w:p>
            </w:tc>
            <w:tc>
              <w:tcPr>
                <w:tcW w:w="301" w:type="pct"/>
                <w:shd w:val="clear" w:color="auto" w:fill="FFFFFF" w:themeFill="background2"/>
                <w:vAlign w:val="center"/>
              </w:tcPr>
              <w:p w14:paraId="57FA9692" w14:textId="7E13832B"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19,75%</w:t>
                </w:r>
              </w:p>
            </w:tc>
            <w:tc>
              <w:tcPr>
                <w:tcW w:w="301" w:type="pct"/>
                <w:shd w:val="clear" w:color="auto" w:fill="FFFFFF" w:themeFill="background2"/>
                <w:vAlign w:val="center"/>
              </w:tcPr>
              <w:p w14:paraId="436F3ECC" w14:textId="26BDE05E"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c>
              <w:tcPr>
                <w:tcW w:w="301" w:type="pct"/>
                <w:shd w:val="clear" w:color="auto" w:fill="FFFFFF" w:themeFill="background2"/>
                <w:vAlign w:val="center"/>
              </w:tcPr>
              <w:p w14:paraId="1DC8F732" w14:textId="7777777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c>
              <w:tcPr>
                <w:tcW w:w="301" w:type="pct"/>
                <w:shd w:val="clear" w:color="auto" w:fill="FFFFFF" w:themeFill="background2"/>
                <w:vAlign w:val="center"/>
              </w:tcPr>
              <w:p w14:paraId="41BFFFE6" w14:textId="7777777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c>
              <w:tcPr>
                <w:tcW w:w="325" w:type="pct"/>
                <w:shd w:val="clear" w:color="auto" w:fill="FFFFFF" w:themeFill="background2"/>
                <w:vAlign w:val="center"/>
              </w:tcPr>
              <w:p w14:paraId="7DC8E003" w14:textId="7777777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r>
          <w:tr w:rsidR="006D68BE" w:rsidRPr="005F389E" w14:paraId="63553FE9" w14:textId="77777777" w:rsidTr="0007107A">
            <w:trPr>
              <w:trHeight w:val="227"/>
            </w:trPr>
            <w:tc>
              <w:tcPr>
                <w:tcW w:w="307" w:type="pct"/>
                <w:shd w:val="clear" w:color="auto" w:fill="FFFFFF" w:themeFill="background2"/>
                <w:tcMar>
                  <w:top w:w="60" w:type="dxa"/>
                  <w:left w:w="114" w:type="dxa"/>
                  <w:bottom w:w="60" w:type="dxa"/>
                  <w:right w:w="114" w:type="dxa"/>
                </w:tcMar>
                <w:vAlign w:val="center"/>
              </w:tcPr>
              <w:p w14:paraId="1A957F11" w14:textId="77777777" w:rsidR="006D68BE" w:rsidRPr="005F389E" w:rsidRDefault="006D68BE" w:rsidP="0007107A">
                <w:pPr>
                  <w:spacing w:before="0" w:line="240" w:lineRule="auto"/>
                  <w:jc w:val="left"/>
                  <w:rPr>
                    <w:rFonts w:eastAsia="Times New Roman" w:cs="Segoe UI"/>
                    <w:b/>
                    <w:bCs/>
                    <w:sz w:val="14"/>
                    <w:szCs w:val="14"/>
                    <w:lang w:val="en-GB" w:eastAsia="it-IT"/>
                  </w:rPr>
                </w:pPr>
                <w:r w:rsidRPr="005F389E">
                  <w:rPr>
                    <w:rFonts w:cs="Segoe UI"/>
                    <w:b/>
                    <w:bCs/>
                    <w:sz w:val="14"/>
                    <w:szCs w:val="14"/>
                    <w:lang w:eastAsia="it-IT"/>
                  </w:rPr>
                  <w:t>C2.1</w:t>
                </w:r>
              </w:p>
            </w:tc>
            <w:tc>
              <w:tcPr>
                <w:tcW w:w="357" w:type="pct"/>
                <w:shd w:val="clear" w:color="auto" w:fill="FFFFFF" w:themeFill="background2"/>
                <w:tcMar>
                  <w:top w:w="60" w:type="dxa"/>
                  <w:left w:w="114" w:type="dxa"/>
                  <w:bottom w:w="60" w:type="dxa"/>
                  <w:right w:w="114" w:type="dxa"/>
                </w:tcMar>
                <w:vAlign w:val="center"/>
              </w:tcPr>
              <w:p w14:paraId="74387229" w14:textId="2F2ED36F"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76.29%</w:t>
                </w:r>
              </w:p>
            </w:tc>
            <w:tc>
              <w:tcPr>
                <w:tcW w:w="396" w:type="pct"/>
                <w:shd w:val="clear" w:color="auto" w:fill="FFFFFF" w:themeFill="background2"/>
                <w:tcMar>
                  <w:top w:w="60" w:type="dxa"/>
                  <w:left w:w="114" w:type="dxa"/>
                  <w:bottom w:w="60" w:type="dxa"/>
                  <w:right w:w="114" w:type="dxa"/>
                </w:tcMar>
                <w:vAlign w:val="center"/>
              </w:tcPr>
              <w:p w14:paraId="34807792" w14:textId="5CFB939D"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69.69%</w:t>
                </w:r>
              </w:p>
            </w:tc>
            <w:tc>
              <w:tcPr>
                <w:tcW w:w="301" w:type="pct"/>
                <w:shd w:val="clear" w:color="auto" w:fill="FFFFFF" w:themeFill="background2"/>
                <w:vAlign w:val="center"/>
              </w:tcPr>
              <w:p w14:paraId="3F77EC70" w14:textId="4975F9BE"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62.72%</w:t>
                </w:r>
              </w:p>
            </w:tc>
            <w:tc>
              <w:tcPr>
                <w:tcW w:w="301" w:type="pct"/>
                <w:shd w:val="clear" w:color="auto" w:fill="FFFFFF" w:themeFill="background2"/>
                <w:vAlign w:val="center"/>
              </w:tcPr>
              <w:p w14:paraId="76B65AB4" w14:textId="298752D0"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69.79%</w:t>
                </w:r>
              </w:p>
            </w:tc>
            <w:tc>
              <w:tcPr>
                <w:tcW w:w="301" w:type="pct"/>
                <w:shd w:val="clear" w:color="auto" w:fill="FFFFFF" w:themeFill="background2"/>
                <w:vAlign w:val="center"/>
              </w:tcPr>
              <w:p w14:paraId="4CC2994F" w14:textId="2F2687B1"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80.07%</w:t>
                </w:r>
              </w:p>
            </w:tc>
            <w:tc>
              <w:tcPr>
                <w:tcW w:w="301" w:type="pct"/>
                <w:shd w:val="clear" w:color="auto" w:fill="FFFFFF" w:themeFill="background2"/>
                <w:vAlign w:val="center"/>
              </w:tcPr>
              <w:p w14:paraId="60805785" w14:textId="7FADBFB4"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75.14%</w:t>
                </w:r>
              </w:p>
            </w:tc>
            <w:tc>
              <w:tcPr>
                <w:tcW w:w="301" w:type="pct"/>
                <w:shd w:val="clear" w:color="auto" w:fill="FFFFFF" w:themeFill="background2"/>
                <w:vAlign w:val="center"/>
              </w:tcPr>
              <w:p w14:paraId="36AA71C4" w14:textId="6F8E33A2"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60.77%</w:t>
                </w:r>
              </w:p>
            </w:tc>
            <w:tc>
              <w:tcPr>
                <w:tcW w:w="302" w:type="pct"/>
                <w:shd w:val="clear" w:color="auto" w:fill="FFFFFF" w:themeFill="background2"/>
                <w:vAlign w:val="center"/>
              </w:tcPr>
              <w:p w14:paraId="43DB4DFC" w14:textId="1E262FA2"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58.91%</w:t>
                </w:r>
              </w:p>
            </w:tc>
            <w:tc>
              <w:tcPr>
                <w:tcW w:w="302" w:type="pct"/>
                <w:shd w:val="clear" w:color="auto" w:fill="FFFFFF" w:themeFill="background2"/>
                <w:vAlign w:val="center"/>
              </w:tcPr>
              <w:p w14:paraId="4F4B97F5" w14:textId="64492A8E"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52.54%</w:t>
                </w:r>
              </w:p>
            </w:tc>
            <w:tc>
              <w:tcPr>
                <w:tcW w:w="302" w:type="pct"/>
                <w:shd w:val="clear" w:color="auto" w:fill="FFFFFF" w:themeFill="background2"/>
                <w:vAlign w:val="center"/>
              </w:tcPr>
              <w:p w14:paraId="221182EC" w14:textId="1FF3F1BA"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52.20%</w:t>
                </w:r>
              </w:p>
            </w:tc>
            <w:tc>
              <w:tcPr>
                <w:tcW w:w="301" w:type="pct"/>
                <w:shd w:val="clear" w:color="auto" w:fill="FFFFFF" w:themeFill="background2"/>
                <w:vAlign w:val="center"/>
              </w:tcPr>
              <w:p w14:paraId="14D86750" w14:textId="74594BD9"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52,92%</w:t>
                </w:r>
              </w:p>
            </w:tc>
            <w:tc>
              <w:tcPr>
                <w:tcW w:w="301" w:type="pct"/>
                <w:shd w:val="clear" w:color="auto" w:fill="FFFFFF" w:themeFill="background2"/>
                <w:vAlign w:val="center"/>
              </w:tcPr>
              <w:p w14:paraId="4D0017CB" w14:textId="1B94639B"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c>
              <w:tcPr>
                <w:tcW w:w="301" w:type="pct"/>
                <w:shd w:val="clear" w:color="auto" w:fill="FFFFFF" w:themeFill="background2"/>
                <w:vAlign w:val="center"/>
              </w:tcPr>
              <w:p w14:paraId="179D9546" w14:textId="7777777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c>
              <w:tcPr>
                <w:tcW w:w="301" w:type="pct"/>
                <w:shd w:val="clear" w:color="auto" w:fill="FFFFFF" w:themeFill="background2"/>
                <w:vAlign w:val="center"/>
              </w:tcPr>
              <w:p w14:paraId="13745FB2" w14:textId="7777777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c>
              <w:tcPr>
                <w:tcW w:w="325" w:type="pct"/>
                <w:shd w:val="clear" w:color="auto" w:fill="FFFFFF" w:themeFill="background2"/>
                <w:vAlign w:val="center"/>
              </w:tcPr>
              <w:p w14:paraId="7287EB28" w14:textId="77777777" w:rsidR="006D68BE" w:rsidRPr="005F389E" w:rsidRDefault="006D68BE"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r>
          <w:tr w:rsidR="006D68BE" w:rsidRPr="005F389E" w14:paraId="600C01FD" w14:textId="77777777" w:rsidTr="00B47881">
            <w:trPr>
              <w:trHeight w:val="227"/>
            </w:trPr>
            <w:tc>
              <w:tcPr>
                <w:tcW w:w="307" w:type="pct"/>
                <w:shd w:val="clear" w:color="auto" w:fill="FFFFFF" w:themeFill="background2"/>
                <w:tcMar>
                  <w:top w:w="60" w:type="dxa"/>
                  <w:left w:w="114" w:type="dxa"/>
                  <w:bottom w:w="60" w:type="dxa"/>
                  <w:right w:w="114" w:type="dxa"/>
                </w:tcMar>
                <w:vAlign w:val="center"/>
              </w:tcPr>
              <w:p w14:paraId="5881BA84" w14:textId="77777777" w:rsidR="00781E27" w:rsidRPr="005F389E" w:rsidRDefault="00781E27" w:rsidP="00B80369">
                <w:pPr>
                  <w:spacing w:before="0" w:line="240" w:lineRule="auto"/>
                  <w:jc w:val="center"/>
                  <w:rPr>
                    <w:rFonts w:cs="Segoe UI"/>
                    <w:b/>
                    <w:bCs/>
                    <w:sz w:val="14"/>
                    <w:szCs w:val="14"/>
                    <w:lang w:eastAsia="it-IT"/>
                  </w:rPr>
                </w:pPr>
                <w:r w:rsidRPr="005F389E">
                  <w:rPr>
                    <w:rFonts w:cs="Segoe UI"/>
                    <w:b/>
                    <w:bCs/>
                    <w:sz w:val="14"/>
                    <w:szCs w:val="14"/>
                    <w:lang w:eastAsia="it-IT"/>
                  </w:rPr>
                  <w:t>TOTAL</w:t>
                </w:r>
              </w:p>
            </w:tc>
            <w:tc>
              <w:tcPr>
                <w:tcW w:w="357" w:type="pct"/>
                <w:shd w:val="clear" w:color="auto" w:fill="FFFFFF" w:themeFill="background2"/>
                <w:tcMar>
                  <w:top w:w="60" w:type="dxa"/>
                  <w:left w:w="114" w:type="dxa"/>
                  <w:bottom w:w="60" w:type="dxa"/>
                  <w:right w:w="114" w:type="dxa"/>
                </w:tcMar>
                <w:vAlign w:val="center"/>
              </w:tcPr>
              <w:p w14:paraId="03DD30E0" w14:textId="0057B867" w:rsidR="00781E27" w:rsidRPr="005F389E" w:rsidRDefault="00781E27" w:rsidP="00B80369">
                <w:pPr>
                  <w:spacing w:before="0" w:line="240" w:lineRule="auto"/>
                  <w:jc w:val="center"/>
                  <w:rPr>
                    <w:rFonts w:eastAsia="Times New Roman" w:cs="Segoe UI"/>
                    <w:b/>
                    <w:bCs/>
                    <w:sz w:val="14"/>
                    <w:szCs w:val="14"/>
                    <w:lang w:val="en-GB" w:eastAsia="it-IT"/>
                  </w:rPr>
                </w:pPr>
                <w:r w:rsidRPr="005F389E">
                  <w:rPr>
                    <w:rFonts w:eastAsia="Times New Roman" w:cs="Segoe UI"/>
                    <w:b/>
                    <w:sz w:val="14"/>
                    <w:szCs w:val="14"/>
                    <w:lang w:val="en-GB" w:eastAsia="it-IT"/>
                  </w:rPr>
                  <w:t>15.52%</w:t>
                </w:r>
              </w:p>
            </w:tc>
            <w:tc>
              <w:tcPr>
                <w:tcW w:w="396" w:type="pct"/>
                <w:shd w:val="clear" w:color="auto" w:fill="FFFFFF" w:themeFill="background2"/>
                <w:tcMar>
                  <w:top w:w="60" w:type="dxa"/>
                  <w:left w:w="114" w:type="dxa"/>
                  <w:bottom w:w="60" w:type="dxa"/>
                  <w:right w:w="114" w:type="dxa"/>
                </w:tcMar>
                <w:vAlign w:val="center"/>
              </w:tcPr>
              <w:p w14:paraId="57A8A976" w14:textId="6F9E46B6" w:rsidR="00781E27" w:rsidRPr="005F389E" w:rsidRDefault="00781E27" w:rsidP="00B80369">
                <w:pPr>
                  <w:spacing w:before="0" w:line="240" w:lineRule="auto"/>
                  <w:jc w:val="center"/>
                  <w:rPr>
                    <w:rFonts w:eastAsia="Times New Roman" w:cs="Segoe UI"/>
                    <w:b/>
                    <w:bCs/>
                    <w:sz w:val="14"/>
                    <w:szCs w:val="14"/>
                    <w:lang w:val="en-GB" w:eastAsia="it-IT"/>
                  </w:rPr>
                </w:pPr>
                <w:r w:rsidRPr="005F389E">
                  <w:rPr>
                    <w:rFonts w:eastAsia="Times New Roman" w:cs="Segoe UI"/>
                    <w:b/>
                    <w:sz w:val="14"/>
                    <w:szCs w:val="14"/>
                    <w:lang w:val="en-GB" w:eastAsia="it-IT"/>
                  </w:rPr>
                  <w:t>14.08%</w:t>
                </w:r>
              </w:p>
            </w:tc>
            <w:tc>
              <w:tcPr>
                <w:tcW w:w="301" w:type="pct"/>
                <w:shd w:val="clear" w:color="auto" w:fill="FFFFFF" w:themeFill="background2"/>
                <w:vAlign w:val="center"/>
              </w:tcPr>
              <w:p w14:paraId="7C79F485" w14:textId="2565B556" w:rsidR="00781E27" w:rsidRPr="005F389E" w:rsidRDefault="00781E27" w:rsidP="00B80369">
                <w:pPr>
                  <w:spacing w:before="0" w:line="240" w:lineRule="auto"/>
                  <w:jc w:val="center"/>
                  <w:rPr>
                    <w:rFonts w:eastAsia="Times New Roman" w:cs="Segoe UI"/>
                    <w:b/>
                    <w:bCs/>
                    <w:sz w:val="14"/>
                    <w:szCs w:val="14"/>
                    <w:lang w:val="en-GB" w:eastAsia="it-IT"/>
                  </w:rPr>
                </w:pPr>
                <w:r w:rsidRPr="005F389E">
                  <w:rPr>
                    <w:rFonts w:eastAsia="Times New Roman" w:cs="Segoe UI"/>
                    <w:b/>
                    <w:sz w:val="14"/>
                    <w:szCs w:val="14"/>
                    <w:lang w:val="en-GB" w:eastAsia="it-IT"/>
                  </w:rPr>
                  <w:t>13.49%</w:t>
                </w:r>
              </w:p>
            </w:tc>
            <w:tc>
              <w:tcPr>
                <w:tcW w:w="301" w:type="pct"/>
                <w:shd w:val="clear" w:color="auto" w:fill="FFFFFF" w:themeFill="background2"/>
                <w:vAlign w:val="center"/>
              </w:tcPr>
              <w:p w14:paraId="6DA69EA8" w14:textId="4321E6BE" w:rsidR="00781E27" w:rsidRPr="005F389E" w:rsidRDefault="00781E27" w:rsidP="00B80369">
                <w:pPr>
                  <w:spacing w:before="0" w:line="240" w:lineRule="auto"/>
                  <w:jc w:val="center"/>
                  <w:rPr>
                    <w:rFonts w:eastAsia="Times New Roman" w:cs="Segoe UI"/>
                    <w:b/>
                    <w:bCs/>
                    <w:sz w:val="14"/>
                    <w:szCs w:val="14"/>
                    <w:lang w:val="en-GB" w:eastAsia="it-IT"/>
                  </w:rPr>
                </w:pPr>
                <w:r w:rsidRPr="005F389E">
                  <w:rPr>
                    <w:rFonts w:eastAsia="Times New Roman" w:cs="Segoe UI"/>
                    <w:b/>
                    <w:sz w:val="14"/>
                    <w:szCs w:val="14"/>
                    <w:lang w:val="en-GB" w:eastAsia="it-IT"/>
                  </w:rPr>
                  <w:t>14.73%</w:t>
                </w:r>
              </w:p>
            </w:tc>
            <w:tc>
              <w:tcPr>
                <w:tcW w:w="301" w:type="pct"/>
                <w:shd w:val="clear" w:color="auto" w:fill="FFFFFF" w:themeFill="background2"/>
                <w:vAlign w:val="center"/>
              </w:tcPr>
              <w:p w14:paraId="2C21751D" w14:textId="70CE3B35" w:rsidR="00781E27" w:rsidRPr="005F389E" w:rsidRDefault="00781E27" w:rsidP="00B80369">
                <w:pPr>
                  <w:spacing w:before="0" w:line="240" w:lineRule="auto"/>
                  <w:jc w:val="center"/>
                  <w:rPr>
                    <w:rFonts w:eastAsia="Times New Roman" w:cs="Segoe UI"/>
                    <w:b/>
                    <w:bCs/>
                    <w:sz w:val="14"/>
                    <w:szCs w:val="14"/>
                    <w:lang w:val="en-GB" w:eastAsia="it-IT"/>
                  </w:rPr>
                </w:pPr>
                <w:r w:rsidRPr="005F389E">
                  <w:rPr>
                    <w:rFonts w:eastAsia="Times New Roman" w:cs="Segoe UI"/>
                    <w:b/>
                    <w:sz w:val="14"/>
                    <w:szCs w:val="14"/>
                    <w:lang w:val="en-GB" w:eastAsia="it-IT"/>
                  </w:rPr>
                  <w:t>13.02%</w:t>
                </w:r>
              </w:p>
            </w:tc>
            <w:tc>
              <w:tcPr>
                <w:tcW w:w="301" w:type="pct"/>
                <w:shd w:val="clear" w:color="auto" w:fill="FFFFFF" w:themeFill="background2"/>
                <w:vAlign w:val="center"/>
              </w:tcPr>
              <w:p w14:paraId="1A96AA89" w14:textId="6227066D" w:rsidR="00781E27" w:rsidRPr="005F389E" w:rsidRDefault="00781E27" w:rsidP="00B80369">
                <w:pPr>
                  <w:spacing w:before="0" w:line="240" w:lineRule="auto"/>
                  <w:jc w:val="center"/>
                  <w:rPr>
                    <w:rFonts w:eastAsia="Times New Roman" w:cs="Segoe UI"/>
                    <w:sz w:val="14"/>
                    <w:szCs w:val="14"/>
                    <w:lang w:val="en-GB" w:eastAsia="it-IT"/>
                  </w:rPr>
                </w:pPr>
                <w:r w:rsidRPr="005F389E">
                  <w:rPr>
                    <w:rFonts w:eastAsia="Times New Roman" w:cs="Segoe UI"/>
                    <w:b/>
                    <w:sz w:val="14"/>
                    <w:szCs w:val="14"/>
                    <w:lang w:val="en-GB" w:eastAsia="it-IT"/>
                  </w:rPr>
                  <w:t>11.43%</w:t>
                </w:r>
              </w:p>
            </w:tc>
            <w:tc>
              <w:tcPr>
                <w:tcW w:w="301" w:type="pct"/>
                <w:shd w:val="clear" w:color="auto" w:fill="FFFFFF" w:themeFill="background2"/>
                <w:vAlign w:val="center"/>
              </w:tcPr>
              <w:p w14:paraId="21190ACF" w14:textId="23A98486" w:rsidR="00781E27" w:rsidRPr="005F389E" w:rsidRDefault="00781E27" w:rsidP="00B80369">
                <w:pPr>
                  <w:spacing w:before="0" w:line="240" w:lineRule="auto"/>
                  <w:jc w:val="center"/>
                  <w:rPr>
                    <w:rFonts w:eastAsia="Times New Roman" w:cs="Segoe UI"/>
                    <w:b/>
                    <w:bCs/>
                    <w:sz w:val="14"/>
                    <w:szCs w:val="14"/>
                    <w:lang w:val="en-GB" w:eastAsia="it-IT"/>
                  </w:rPr>
                </w:pPr>
                <w:r w:rsidRPr="005F389E">
                  <w:rPr>
                    <w:rFonts w:eastAsia="Times New Roman" w:cs="Segoe UI"/>
                    <w:b/>
                    <w:sz w:val="14"/>
                    <w:szCs w:val="14"/>
                    <w:lang w:val="en-GB" w:eastAsia="it-IT"/>
                  </w:rPr>
                  <w:t>9.79%</w:t>
                </w:r>
              </w:p>
            </w:tc>
            <w:tc>
              <w:tcPr>
                <w:tcW w:w="302" w:type="pct"/>
                <w:shd w:val="clear" w:color="auto" w:fill="FFFFFF" w:themeFill="background2"/>
                <w:vAlign w:val="center"/>
              </w:tcPr>
              <w:p w14:paraId="58C07426" w14:textId="7BB5BCF6" w:rsidR="00781E27" w:rsidRPr="005F389E" w:rsidRDefault="00781E27" w:rsidP="00B80369">
                <w:pPr>
                  <w:spacing w:before="0" w:line="240" w:lineRule="auto"/>
                  <w:jc w:val="center"/>
                  <w:rPr>
                    <w:rFonts w:eastAsia="Times New Roman" w:cs="Segoe UI"/>
                    <w:b/>
                    <w:bCs/>
                    <w:sz w:val="14"/>
                    <w:szCs w:val="14"/>
                    <w:lang w:val="en-GB" w:eastAsia="it-IT"/>
                  </w:rPr>
                </w:pPr>
                <w:r w:rsidRPr="005F389E">
                  <w:rPr>
                    <w:rFonts w:eastAsia="Times New Roman" w:cs="Segoe UI"/>
                    <w:b/>
                    <w:sz w:val="14"/>
                    <w:szCs w:val="14"/>
                    <w:lang w:val="en-GB" w:eastAsia="it-IT"/>
                  </w:rPr>
                  <w:t>8.34%</w:t>
                </w:r>
              </w:p>
            </w:tc>
            <w:tc>
              <w:tcPr>
                <w:tcW w:w="302" w:type="pct"/>
                <w:shd w:val="clear" w:color="auto" w:fill="FFFFFF" w:themeFill="background2"/>
                <w:vAlign w:val="center"/>
              </w:tcPr>
              <w:p w14:paraId="6A34C48C" w14:textId="716E5BAE" w:rsidR="00781E27" w:rsidRPr="005F389E" w:rsidRDefault="00781E27" w:rsidP="00B80369">
                <w:pPr>
                  <w:spacing w:before="0" w:line="240" w:lineRule="auto"/>
                  <w:jc w:val="center"/>
                  <w:rPr>
                    <w:rFonts w:eastAsia="Times New Roman" w:cs="Segoe UI"/>
                    <w:b/>
                    <w:bCs/>
                    <w:sz w:val="14"/>
                    <w:szCs w:val="14"/>
                    <w:lang w:val="en-GB" w:eastAsia="it-IT"/>
                  </w:rPr>
                </w:pPr>
                <w:r w:rsidRPr="005F389E">
                  <w:rPr>
                    <w:rFonts w:eastAsia="Times New Roman" w:cs="Segoe UI"/>
                    <w:b/>
                    <w:sz w:val="14"/>
                    <w:szCs w:val="14"/>
                    <w:lang w:val="en-GB" w:eastAsia="it-IT"/>
                  </w:rPr>
                  <w:t>5.86%</w:t>
                </w:r>
              </w:p>
            </w:tc>
            <w:tc>
              <w:tcPr>
                <w:tcW w:w="302" w:type="pct"/>
                <w:shd w:val="clear" w:color="auto" w:fill="FFFFFF" w:themeFill="background2"/>
                <w:vAlign w:val="center"/>
              </w:tcPr>
              <w:p w14:paraId="05651A89" w14:textId="33932738" w:rsidR="00781E27" w:rsidRPr="005F389E" w:rsidRDefault="00781E27" w:rsidP="00B80369">
                <w:pPr>
                  <w:spacing w:before="0" w:line="240" w:lineRule="auto"/>
                  <w:jc w:val="center"/>
                  <w:rPr>
                    <w:rFonts w:eastAsia="Times New Roman" w:cs="Segoe UI"/>
                    <w:b/>
                    <w:bCs/>
                    <w:sz w:val="14"/>
                    <w:szCs w:val="14"/>
                    <w:lang w:val="en-GB" w:eastAsia="it-IT"/>
                  </w:rPr>
                </w:pPr>
                <w:r w:rsidRPr="005F389E">
                  <w:rPr>
                    <w:rFonts w:eastAsia="Times New Roman" w:cs="Segoe UI"/>
                    <w:b/>
                    <w:bCs/>
                    <w:sz w:val="14"/>
                    <w:szCs w:val="14"/>
                    <w:lang w:val="en-GB" w:eastAsia="it-IT"/>
                  </w:rPr>
                  <w:t>5.12%</w:t>
                </w:r>
              </w:p>
            </w:tc>
            <w:tc>
              <w:tcPr>
                <w:tcW w:w="301" w:type="pct"/>
                <w:shd w:val="clear" w:color="auto" w:fill="FFFFFF" w:themeFill="background2"/>
                <w:vAlign w:val="center"/>
              </w:tcPr>
              <w:p w14:paraId="12B7ADEC" w14:textId="44B592F9" w:rsidR="00781E27" w:rsidRPr="005F389E" w:rsidRDefault="006D68BE" w:rsidP="00B80369">
                <w:pPr>
                  <w:spacing w:before="0" w:line="240" w:lineRule="auto"/>
                  <w:jc w:val="center"/>
                  <w:rPr>
                    <w:rFonts w:eastAsia="Times New Roman" w:cs="Segoe UI"/>
                    <w:b/>
                    <w:bCs/>
                    <w:sz w:val="14"/>
                    <w:szCs w:val="14"/>
                    <w:lang w:val="en-GB" w:eastAsia="it-IT"/>
                  </w:rPr>
                </w:pPr>
                <w:r w:rsidRPr="005F389E">
                  <w:rPr>
                    <w:rFonts w:eastAsia="Times New Roman" w:cs="Segoe UI"/>
                    <w:b/>
                    <w:bCs/>
                    <w:sz w:val="14"/>
                    <w:szCs w:val="14"/>
                    <w:lang w:val="en-GB" w:eastAsia="it-IT"/>
                  </w:rPr>
                  <w:t>4.57</w:t>
                </w:r>
                <w:r w:rsidR="00781E27" w:rsidRPr="005F389E">
                  <w:rPr>
                    <w:rFonts w:eastAsia="Times New Roman" w:cs="Segoe UI"/>
                    <w:b/>
                    <w:bCs/>
                    <w:sz w:val="14"/>
                    <w:szCs w:val="14"/>
                    <w:lang w:val="en-GB" w:eastAsia="it-IT"/>
                  </w:rPr>
                  <w:t>%</w:t>
                </w:r>
              </w:p>
            </w:tc>
            <w:tc>
              <w:tcPr>
                <w:tcW w:w="301" w:type="pct"/>
                <w:shd w:val="clear" w:color="auto" w:fill="FFFFFF" w:themeFill="background2"/>
                <w:vAlign w:val="center"/>
              </w:tcPr>
              <w:p w14:paraId="2B97FA65" w14:textId="40CD35C3" w:rsidR="00781E27" w:rsidRPr="005F389E" w:rsidRDefault="006D68BE" w:rsidP="00B80369">
                <w:pPr>
                  <w:spacing w:before="0" w:line="240" w:lineRule="auto"/>
                  <w:jc w:val="center"/>
                  <w:rPr>
                    <w:rFonts w:eastAsia="Times New Roman" w:cs="Segoe UI"/>
                    <w:b/>
                    <w:bCs/>
                    <w:sz w:val="14"/>
                    <w:szCs w:val="14"/>
                    <w:lang w:val="en-GB" w:eastAsia="it-IT"/>
                  </w:rPr>
                </w:pPr>
                <w:r w:rsidRPr="005F389E">
                  <w:rPr>
                    <w:rFonts w:eastAsia="Times New Roman" w:cs="Segoe UI"/>
                    <w:b/>
                    <w:bCs/>
                    <w:sz w:val="14"/>
                    <w:szCs w:val="14"/>
                    <w:lang w:val="en-GB" w:eastAsia="it-IT"/>
                  </w:rPr>
                  <w:t>-</w:t>
                </w:r>
              </w:p>
            </w:tc>
            <w:tc>
              <w:tcPr>
                <w:tcW w:w="301" w:type="pct"/>
                <w:shd w:val="clear" w:color="auto" w:fill="FFFFFF" w:themeFill="background2"/>
                <w:vAlign w:val="center"/>
              </w:tcPr>
              <w:p w14:paraId="006DCF5C" w14:textId="77777777" w:rsidR="00781E27" w:rsidRPr="005F389E" w:rsidRDefault="00781E27" w:rsidP="00B80369">
                <w:pPr>
                  <w:spacing w:before="0" w:line="240" w:lineRule="auto"/>
                  <w:jc w:val="center"/>
                  <w:rPr>
                    <w:rFonts w:eastAsia="Times New Roman" w:cs="Segoe UI"/>
                    <w:b/>
                    <w:bCs/>
                    <w:sz w:val="14"/>
                    <w:szCs w:val="14"/>
                    <w:lang w:val="en-GB" w:eastAsia="it-IT"/>
                  </w:rPr>
                </w:pPr>
                <w:r w:rsidRPr="005F389E">
                  <w:rPr>
                    <w:rFonts w:eastAsia="Times New Roman" w:cs="Segoe UI"/>
                    <w:sz w:val="14"/>
                    <w:szCs w:val="14"/>
                    <w:lang w:val="en-GB" w:eastAsia="it-IT"/>
                  </w:rPr>
                  <w:t>-</w:t>
                </w:r>
              </w:p>
            </w:tc>
            <w:tc>
              <w:tcPr>
                <w:tcW w:w="301" w:type="pct"/>
                <w:shd w:val="clear" w:color="auto" w:fill="FFFFFF" w:themeFill="background2"/>
                <w:vAlign w:val="center"/>
              </w:tcPr>
              <w:p w14:paraId="0FB8A7A9" w14:textId="77777777" w:rsidR="00781E27" w:rsidRPr="005F389E" w:rsidRDefault="00781E27" w:rsidP="00B80369">
                <w:pPr>
                  <w:spacing w:before="0" w:line="240" w:lineRule="auto"/>
                  <w:jc w:val="center"/>
                  <w:rPr>
                    <w:rFonts w:eastAsia="Times New Roman" w:cs="Segoe UI"/>
                    <w:b/>
                    <w:bCs/>
                    <w:sz w:val="14"/>
                    <w:szCs w:val="14"/>
                    <w:lang w:val="en-GB" w:eastAsia="it-IT"/>
                  </w:rPr>
                </w:pPr>
                <w:r w:rsidRPr="005F389E">
                  <w:rPr>
                    <w:rFonts w:eastAsia="Times New Roman" w:cs="Segoe UI"/>
                    <w:sz w:val="14"/>
                    <w:szCs w:val="14"/>
                    <w:lang w:val="en-GB" w:eastAsia="it-IT"/>
                  </w:rPr>
                  <w:t>-</w:t>
                </w:r>
              </w:p>
            </w:tc>
            <w:tc>
              <w:tcPr>
                <w:tcW w:w="325" w:type="pct"/>
                <w:shd w:val="clear" w:color="auto" w:fill="FFFFFF" w:themeFill="background2"/>
                <w:vAlign w:val="center"/>
              </w:tcPr>
              <w:p w14:paraId="3A04AA74" w14:textId="77777777" w:rsidR="00781E27" w:rsidRPr="005F389E" w:rsidRDefault="00781E27" w:rsidP="00B80369">
                <w:pPr>
                  <w:spacing w:before="0" w:line="240" w:lineRule="auto"/>
                  <w:jc w:val="center"/>
                  <w:rPr>
                    <w:rFonts w:eastAsia="Times New Roman" w:cs="Segoe UI"/>
                    <w:sz w:val="14"/>
                    <w:szCs w:val="14"/>
                    <w:lang w:val="en-GB" w:eastAsia="it-IT"/>
                  </w:rPr>
                </w:pPr>
                <w:r w:rsidRPr="005F389E">
                  <w:rPr>
                    <w:rFonts w:eastAsia="Times New Roman" w:cs="Segoe UI"/>
                    <w:sz w:val="14"/>
                    <w:szCs w:val="14"/>
                    <w:lang w:val="en-GB" w:eastAsia="it-IT"/>
                  </w:rPr>
                  <w:t>-</w:t>
                </w:r>
              </w:p>
            </w:tc>
          </w:tr>
        </w:tbl>
        <w:p w14:paraId="414D5588" w14:textId="77777777" w:rsidR="004101BF" w:rsidRPr="00FA752D" w:rsidRDefault="004101BF" w:rsidP="004101BF">
          <w:pPr>
            <w:pStyle w:val="Titolo2"/>
            <w:rPr>
              <w:lang w:val="en-GB"/>
            </w:rPr>
          </w:pPr>
          <w:bookmarkStart w:id="170" w:name="_Toc130806403"/>
          <w:bookmarkStart w:id="171" w:name="_Toc167131724"/>
          <w:r w:rsidRPr="00FA752D">
            <w:rPr>
              <w:lang w:val="en-GB"/>
            </w:rPr>
            <w:lastRenderedPageBreak/>
            <w:t>Model performance on 5-year time horizon</w:t>
          </w:r>
          <w:bookmarkEnd w:id="170"/>
          <w:bookmarkEnd w:id="171"/>
        </w:p>
        <w:p w14:paraId="4ED70EFB" w14:textId="1CD55660" w:rsidR="004101BF" w:rsidRPr="0032337D" w:rsidRDefault="004101BF" w:rsidP="004101BF">
          <w:pPr>
            <w:rPr>
              <w:rFonts w:cs="Segoe UI"/>
              <w:lang w:val="en-GB"/>
            </w:rPr>
          </w:pPr>
          <w:r w:rsidRPr="0032337D">
            <w:rPr>
              <w:rFonts w:cs="Segoe UI"/>
              <w:lang w:val="en-GB"/>
            </w:rPr>
            <w:t>Cerved Rating Agency</w:t>
          </w:r>
          <w:r w:rsidR="00654199">
            <w:rPr>
              <w:rFonts w:cs="Segoe UI"/>
              <w:lang w:val="en-GB"/>
            </w:rPr>
            <w:t>’s</w:t>
          </w:r>
          <w:r w:rsidRPr="0032337D">
            <w:rPr>
              <w:rFonts w:cs="Segoe UI"/>
              <w:lang w:val="en-GB"/>
            </w:rPr>
            <w:t xml:space="preserve"> rating process presents robust performance</w:t>
          </w:r>
          <w:r w:rsidR="00654199">
            <w:rPr>
              <w:rFonts w:cs="Segoe UI"/>
              <w:lang w:val="en-GB"/>
            </w:rPr>
            <w:t xml:space="preserve"> in </w:t>
          </w:r>
          <w:r w:rsidRPr="0032337D">
            <w:rPr>
              <w:rFonts w:cs="Segoe UI"/>
              <w:lang w:val="en-GB"/>
            </w:rPr>
            <w:t xml:space="preserve">both </w:t>
          </w:r>
          <w:r w:rsidR="00654199">
            <w:rPr>
              <w:rFonts w:cs="Segoe UI"/>
              <w:lang w:val="en-GB"/>
            </w:rPr>
            <w:t xml:space="preserve">the </w:t>
          </w:r>
          <w:r w:rsidRPr="0032337D">
            <w:rPr>
              <w:rFonts w:cs="Segoe UI"/>
              <w:lang w:val="en-GB"/>
            </w:rPr>
            <w:t xml:space="preserve">short term (1-year default) and </w:t>
          </w:r>
          <w:r w:rsidR="00654199">
            <w:rPr>
              <w:rFonts w:cs="Segoe UI"/>
              <w:lang w:val="en-GB"/>
            </w:rPr>
            <w:t xml:space="preserve">the </w:t>
          </w:r>
          <w:r w:rsidRPr="0032337D">
            <w:rPr>
              <w:rFonts w:cs="Segoe UI"/>
              <w:lang w:val="en-GB"/>
            </w:rPr>
            <w:t>mid-long term (3-5 years)</w:t>
          </w:r>
          <w:r w:rsidR="00654199">
            <w:rPr>
              <w:rFonts w:cs="Segoe UI"/>
              <w:lang w:val="en-GB"/>
            </w:rPr>
            <w:t>,</w:t>
          </w:r>
          <w:r w:rsidRPr="0032337D">
            <w:rPr>
              <w:rFonts w:cs="Segoe UI"/>
              <w:lang w:val="en-GB"/>
            </w:rPr>
            <w:t xml:space="preserve"> as shown in Exhibit </w:t>
          </w:r>
          <w:r w:rsidR="00D222C2">
            <w:rPr>
              <w:rFonts w:cs="Segoe UI"/>
              <w:lang w:val="en-GB"/>
            </w:rPr>
            <w:t>50</w:t>
          </w:r>
          <w:r w:rsidRPr="0032337D">
            <w:rPr>
              <w:rFonts w:cs="Segoe UI"/>
              <w:lang w:val="en-GB"/>
            </w:rPr>
            <w:t>.</w:t>
          </w:r>
        </w:p>
        <w:p w14:paraId="2B66A573" w14:textId="256D97F6" w:rsidR="004101BF" w:rsidRPr="0032337D" w:rsidRDefault="004101BF" w:rsidP="004101BF">
          <w:pPr>
            <w:pStyle w:val="Didascalia"/>
            <w:rPr>
              <w:rFonts w:ascii="Segoe UI" w:hAnsi="Segoe UI" w:cs="Segoe UI"/>
              <w:i/>
              <w:sz w:val="14"/>
              <w:lang w:val="en-GB"/>
            </w:rPr>
          </w:pPr>
          <w:bookmarkStart w:id="172" w:name="_Toc130806350"/>
          <w:bookmarkStart w:id="173" w:name="_Toc166675691"/>
          <w:bookmarkStart w:id="174" w:name="_Toc167131818"/>
          <w:r w:rsidRPr="00F87407">
            <w:rPr>
              <w:rFonts w:ascii="Segoe UI" w:hAnsi="Segoe UI" w:cs="Segoe UI"/>
              <w:i/>
              <w:sz w:val="14"/>
              <w:lang w:val="en-GB"/>
            </w:rPr>
            <w:t xml:space="preserve">Exhibit </w:t>
          </w:r>
          <w:r w:rsidRPr="00F87407">
            <w:rPr>
              <w:rFonts w:ascii="Segoe UI" w:hAnsi="Segoe UI" w:cs="Segoe UI"/>
              <w:i/>
              <w:sz w:val="14"/>
              <w:lang w:val="en-GB"/>
            </w:rPr>
            <w:fldChar w:fldCharType="begin"/>
          </w:r>
          <w:r w:rsidRPr="00F87407">
            <w:rPr>
              <w:rFonts w:ascii="Segoe UI" w:hAnsi="Segoe UI" w:cs="Segoe UI"/>
              <w:i/>
              <w:sz w:val="14"/>
              <w:lang w:val="en-GB"/>
            </w:rPr>
            <w:instrText xml:space="preserve"> SEQ Exhibit \* ARABIC </w:instrText>
          </w:r>
          <w:r w:rsidRPr="00F87407">
            <w:rPr>
              <w:rFonts w:ascii="Segoe UI" w:hAnsi="Segoe UI" w:cs="Segoe UI"/>
              <w:i/>
              <w:sz w:val="14"/>
              <w:lang w:val="en-GB"/>
            </w:rPr>
            <w:fldChar w:fldCharType="separate"/>
          </w:r>
          <w:r w:rsidR="009857B6">
            <w:rPr>
              <w:rFonts w:ascii="Segoe UI" w:hAnsi="Segoe UI" w:cs="Segoe UI"/>
              <w:i/>
              <w:noProof/>
              <w:sz w:val="14"/>
              <w:lang w:val="en-GB"/>
            </w:rPr>
            <w:t>50</w:t>
          </w:r>
          <w:r w:rsidRPr="00F87407">
            <w:rPr>
              <w:rFonts w:ascii="Segoe UI" w:hAnsi="Segoe UI" w:cs="Segoe UI"/>
              <w:i/>
              <w:sz w:val="14"/>
              <w:lang w:val="en-GB"/>
            </w:rPr>
            <w:fldChar w:fldCharType="end"/>
          </w:r>
          <w:r w:rsidRPr="00F87407">
            <w:rPr>
              <w:rFonts w:ascii="Segoe UI" w:hAnsi="Segoe UI" w:cs="Segoe UI"/>
              <w:i/>
              <w:sz w:val="14"/>
              <w:lang w:val="en-GB"/>
            </w:rPr>
            <w:t>: Average Accuracy Ratio by time horizon (1-y to 5-y, default period from 2009 to 202</w:t>
          </w:r>
          <w:r w:rsidR="007B4BF4">
            <w:rPr>
              <w:rFonts w:ascii="Segoe UI" w:hAnsi="Segoe UI" w:cs="Segoe UI"/>
              <w:i/>
              <w:sz w:val="14"/>
              <w:lang w:val="en-GB"/>
            </w:rPr>
            <w:t>3</w:t>
          </w:r>
          <w:r w:rsidRPr="00F87407">
            <w:rPr>
              <w:rFonts w:ascii="Segoe UI" w:hAnsi="Segoe UI" w:cs="Segoe UI"/>
              <w:i/>
              <w:sz w:val="14"/>
              <w:lang w:val="en-GB"/>
            </w:rPr>
            <w:t>)</w:t>
          </w:r>
          <w:bookmarkEnd w:id="172"/>
          <w:bookmarkEnd w:id="173"/>
          <w:bookmarkEnd w:id="174"/>
        </w:p>
        <w:p w14:paraId="1BE606B2" w14:textId="77777777" w:rsidR="004101BF" w:rsidRPr="0032337D" w:rsidRDefault="004101BF" w:rsidP="004101BF">
          <w:pPr>
            <w:jc w:val="center"/>
            <w:rPr>
              <w:rFonts w:cs="Segoe UI"/>
              <w:lang w:val="en-GB"/>
            </w:rPr>
          </w:pPr>
          <w:r>
            <w:rPr>
              <w:noProof/>
            </w:rPr>
            <w:drawing>
              <wp:inline distT="0" distB="0" distL="0" distR="0" wp14:anchorId="11300DB0" wp14:editId="6DF74090">
                <wp:extent cx="6479540" cy="2160000"/>
                <wp:effectExtent l="0" t="0" r="0" b="0"/>
                <wp:docPr id="61" name="Grafico 61">
                  <a:extLst xmlns:a="http://schemas.openxmlformats.org/drawingml/2006/main">
                    <a:ext uri="{FF2B5EF4-FFF2-40B4-BE49-F238E27FC236}">
                      <a16:creationId xmlns:a16="http://schemas.microsoft.com/office/drawing/2014/main" id="{00000000-0008-0000-1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29B8CF0" w14:textId="77777777" w:rsidR="004101BF" w:rsidRPr="0032337D" w:rsidRDefault="004101BF" w:rsidP="004101BF">
          <w:pPr>
            <w:rPr>
              <w:rFonts w:cs="Segoe UI"/>
              <w:lang w:val="en-GB"/>
            </w:rPr>
          </w:pPr>
        </w:p>
        <w:p w14:paraId="047ACED3" w14:textId="04206925" w:rsidR="004101BF" w:rsidRPr="0032337D" w:rsidRDefault="004101BF" w:rsidP="004101BF">
          <w:pPr>
            <w:rPr>
              <w:rFonts w:cs="Segoe UI"/>
              <w:lang w:val="en-GB"/>
            </w:rPr>
          </w:pPr>
          <w:r w:rsidRPr="0032337D">
            <w:rPr>
              <w:rFonts w:cs="Segoe UI"/>
              <w:lang w:val="en-GB"/>
            </w:rPr>
            <w:t xml:space="preserve">Exhibit </w:t>
          </w:r>
          <w:r>
            <w:rPr>
              <w:rFonts w:cs="Segoe UI"/>
              <w:lang w:val="en-GB"/>
            </w:rPr>
            <w:t>5</w:t>
          </w:r>
          <w:r w:rsidR="00D222C2">
            <w:rPr>
              <w:rFonts w:cs="Segoe UI"/>
              <w:lang w:val="en-GB"/>
            </w:rPr>
            <w:t>1</w:t>
          </w:r>
          <w:r w:rsidRPr="0032337D">
            <w:rPr>
              <w:rFonts w:cs="Segoe UI"/>
              <w:lang w:val="en-GB"/>
            </w:rPr>
            <w:t xml:space="preserve"> shows</w:t>
          </w:r>
          <w:r w:rsidR="00C9630D">
            <w:rPr>
              <w:rFonts w:cs="Segoe UI"/>
              <w:lang w:val="en-GB"/>
            </w:rPr>
            <w:t xml:space="preserve"> the</w:t>
          </w:r>
          <w:r w:rsidRPr="0032337D">
            <w:rPr>
              <w:rFonts w:cs="Segoe UI"/>
              <w:lang w:val="en-GB"/>
            </w:rPr>
            <w:t xml:space="preserve"> Cumulative Accuracy Profile curves for </w:t>
          </w:r>
          <w:r w:rsidR="00C9630D">
            <w:rPr>
              <w:rFonts w:cs="Segoe UI"/>
              <w:lang w:val="en-GB"/>
            </w:rPr>
            <w:t xml:space="preserve">defaults </w:t>
          </w:r>
          <w:r w:rsidR="00040328">
            <w:rPr>
              <w:rFonts w:cs="Segoe UI"/>
              <w:lang w:val="en-GB"/>
            </w:rPr>
            <w:t>happen</w:t>
          </w:r>
          <w:r w:rsidR="00654199">
            <w:rPr>
              <w:rFonts w:cs="Segoe UI"/>
              <w:lang w:val="en-GB"/>
            </w:rPr>
            <w:t>ing</w:t>
          </w:r>
          <w:r w:rsidR="00040328">
            <w:rPr>
              <w:rFonts w:cs="Segoe UI"/>
              <w:lang w:val="en-GB"/>
            </w:rPr>
            <w:t xml:space="preserve"> 1, 3 or 5 years after the rating has been issued</w:t>
          </w:r>
          <w:r w:rsidRPr="0032337D">
            <w:rPr>
              <w:rFonts w:cs="Segoe UI"/>
              <w:lang w:val="en-GB"/>
            </w:rPr>
            <w:t>.</w:t>
          </w:r>
        </w:p>
        <w:p w14:paraId="70F10303" w14:textId="51FE9DE5" w:rsidR="00FB1D04" w:rsidRDefault="004101BF" w:rsidP="00291CCB">
          <w:pPr>
            <w:pStyle w:val="Didascalia"/>
            <w:rPr>
              <w:rFonts w:cs="Segoe UI"/>
              <w:lang w:val="en-GB"/>
            </w:rPr>
          </w:pPr>
          <w:bookmarkStart w:id="175" w:name="_Toc130806351"/>
          <w:bookmarkStart w:id="176" w:name="_Toc166675692"/>
          <w:bookmarkStart w:id="177" w:name="_Toc167131819"/>
          <w:r w:rsidRPr="00291CCB">
            <w:rPr>
              <w:rFonts w:ascii="Segoe UI" w:hAnsi="Segoe UI" w:cs="Segoe UI"/>
              <w:i/>
              <w:sz w:val="14"/>
              <w:lang w:val="en-GB"/>
            </w:rPr>
            <w:t xml:space="preserve">Exhibit </w:t>
          </w:r>
          <w:r w:rsidRPr="00291CCB">
            <w:rPr>
              <w:rFonts w:ascii="Segoe UI" w:hAnsi="Segoe UI" w:cs="Segoe UI"/>
              <w:i/>
              <w:sz w:val="14"/>
              <w:lang w:val="en-GB"/>
            </w:rPr>
            <w:fldChar w:fldCharType="begin"/>
          </w:r>
          <w:r w:rsidRPr="00291CCB">
            <w:rPr>
              <w:rFonts w:ascii="Segoe UI" w:hAnsi="Segoe UI" w:cs="Segoe UI"/>
              <w:i/>
              <w:sz w:val="14"/>
              <w:lang w:val="en-GB"/>
            </w:rPr>
            <w:instrText xml:space="preserve"> SEQ Exhibit \* ARABIC </w:instrText>
          </w:r>
          <w:r w:rsidRPr="00291CCB">
            <w:rPr>
              <w:rFonts w:ascii="Segoe UI" w:hAnsi="Segoe UI" w:cs="Segoe UI"/>
              <w:i/>
              <w:sz w:val="14"/>
              <w:lang w:val="en-GB"/>
            </w:rPr>
            <w:fldChar w:fldCharType="separate"/>
          </w:r>
          <w:r w:rsidR="009857B6">
            <w:rPr>
              <w:rFonts w:ascii="Segoe UI" w:hAnsi="Segoe UI" w:cs="Segoe UI"/>
              <w:i/>
              <w:noProof/>
              <w:sz w:val="14"/>
              <w:lang w:val="en-GB"/>
            </w:rPr>
            <w:t>51</w:t>
          </w:r>
          <w:r w:rsidRPr="00291CCB">
            <w:rPr>
              <w:rFonts w:ascii="Segoe UI" w:hAnsi="Segoe UI" w:cs="Segoe UI"/>
              <w:i/>
              <w:sz w:val="14"/>
              <w:lang w:val="en-GB"/>
            </w:rPr>
            <w:fldChar w:fldCharType="end"/>
          </w:r>
          <w:r w:rsidRPr="00291CCB">
            <w:rPr>
              <w:rFonts w:ascii="Segoe UI" w:hAnsi="Segoe UI" w:cs="Segoe UI"/>
              <w:i/>
              <w:sz w:val="14"/>
              <w:lang w:val="en-GB"/>
            </w:rPr>
            <w:t>: Comparison between Cumulative Accuracy Profiles for 1-3-5 years</w:t>
          </w:r>
          <w:bookmarkEnd w:id="175"/>
          <w:bookmarkEnd w:id="176"/>
          <w:bookmarkEnd w:id="177"/>
        </w:p>
        <w:p w14:paraId="6239B46F" w14:textId="74900B98" w:rsidR="00FB1D04" w:rsidRPr="0032337D" w:rsidRDefault="009E5897" w:rsidP="004101BF">
          <w:pPr>
            <w:jc w:val="center"/>
            <w:rPr>
              <w:rFonts w:cs="Segoe UI"/>
              <w:lang w:val="en-GB"/>
            </w:rPr>
          </w:pPr>
          <w:r>
            <w:rPr>
              <w:noProof/>
            </w:rPr>
            <w:drawing>
              <wp:inline distT="0" distB="0" distL="0" distR="0" wp14:anchorId="5519BC3B" wp14:editId="7042B883">
                <wp:extent cx="6570980" cy="3048635"/>
                <wp:effectExtent l="0" t="0" r="1270" b="0"/>
                <wp:docPr id="2009485474" name="Grafico 1">
                  <a:extLst xmlns:a="http://schemas.openxmlformats.org/drawingml/2006/main">
                    <a:ext uri="{FF2B5EF4-FFF2-40B4-BE49-F238E27FC236}">
                      <a16:creationId xmlns:a16="http://schemas.microsoft.com/office/drawing/2014/main" id="{45657CAB-13C1-4DC4-8341-8EB36093FE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3F66030" w14:textId="77777777" w:rsidR="004101BF" w:rsidRPr="0032337D" w:rsidRDefault="004101BF" w:rsidP="004101BF">
          <w:pPr>
            <w:rPr>
              <w:rFonts w:cs="Segoe UI"/>
              <w:lang w:val="en-GB"/>
            </w:rPr>
          </w:pPr>
        </w:p>
        <w:p w14:paraId="1DD4CDE8" w14:textId="09F64A28" w:rsidR="004101BF" w:rsidRPr="0032337D" w:rsidRDefault="004101BF" w:rsidP="004101BF">
          <w:pPr>
            <w:rPr>
              <w:rFonts w:cs="Segoe UI"/>
              <w:lang w:val="en-GB"/>
            </w:rPr>
          </w:pPr>
          <w:r w:rsidRPr="0032337D">
            <w:rPr>
              <w:rFonts w:cs="Segoe UI"/>
              <w:lang w:val="en-GB"/>
            </w:rPr>
            <w:t xml:space="preserve">Exhibit </w:t>
          </w:r>
          <w:r>
            <w:rPr>
              <w:rFonts w:cs="Segoe UI"/>
              <w:lang w:val="en-GB"/>
            </w:rPr>
            <w:t>5</w:t>
          </w:r>
          <w:r w:rsidR="00D222C2">
            <w:rPr>
              <w:rFonts w:cs="Segoe UI"/>
              <w:lang w:val="en-GB"/>
            </w:rPr>
            <w:t>2</w:t>
          </w:r>
          <w:r w:rsidRPr="0032337D">
            <w:rPr>
              <w:rFonts w:cs="Segoe UI"/>
              <w:lang w:val="en-GB"/>
            </w:rPr>
            <w:t xml:space="preserve"> shows the Accuracy Ratio on multi-period time horizon for each static pool.</w:t>
          </w:r>
        </w:p>
        <w:p w14:paraId="07EC072A" w14:textId="6E7CB627" w:rsidR="004101BF" w:rsidRPr="0032337D" w:rsidRDefault="004101BF" w:rsidP="004101BF">
          <w:pPr>
            <w:pStyle w:val="Didascalia"/>
            <w:rPr>
              <w:rFonts w:ascii="Segoe UI" w:hAnsi="Segoe UI" w:cs="Segoe UI"/>
              <w:i/>
              <w:sz w:val="14"/>
              <w:lang w:val="en-GB"/>
            </w:rPr>
          </w:pPr>
          <w:bookmarkStart w:id="178" w:name="_Toc130806352"/>
          <w:bookmarkStart w:id="179" w:name="_Toc166675693"/>
          <w:bookmarkStart w:id="180" w:name="_Toc167131820"/>
          <w:r w:rsidRPr="0032337D">
            <w:rPr>
              <w:rFonts w:ascii="Segoe UI" w:hAnsi="Segoe UI" w:cs="Segoe UI"/>
              <w:i/>
              <w:sz w:val="14"/>
              <w:lang w:val="en-GB"/>
            </w:rPr>
            <w:lastRenderedPageBreak/>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52</w:t>
          </w:r>
          <w:r>
            <w:rPr>
              <w:rFonts w:ascii="Segoe UI" w:hAnsi="Segoe UI" w:cs="Segoe UI"/>
              <w:i/>
              <w:sz w:val="14"/>
              <w:lang w:val="en-GB"/>
            </w:rPr>
            <w:fldChar w:fldCharType="end"/>
          </w:r>
          <w:r w:rsidRPr="0032337D">
            <w:rPr>
              <w:rFonts w:ascii="Segoe UI" w:hAnsi="Segoe UI" w:cs="Segoe UI"/>
              <w:i/>
              <w:sz w:val="14"/>
              <w:lang w:val="en-GB"/>
            </w:rPr>
            <w:t>: Accuracy Ratio by static pool (1-year to 5-year)</w:t>
          </w:r>
          <w:bookmarkEnd w:id="178"/>
          <w:bookmarkEnd w:id="179"/>
          <w:bookmarkEnd w:id="180"/>
        </w:p>
        <w:p w14:paraId="33E82C04" w14:textId="7378AA68" w:rsidR="004101BF" w:rsidRDefault="007655DD" w:rsidP="007655DD">
          <w:pPr>
            <w:spacing w:line="240" w:lineRule="auto"/>
            <w:jc w:val="center"/>
            <w:rPr>
              <w:rFonts w:cs="Segoe UI"/>
              <w:b/>
              <w:bCs/>
              <w:sz w:val="28"/>
              <w:szCs w:val="32"/>
              <w:lang w:val="en-GB"/>
            </w:rPr>
          </w:pPr>
          <w:r>
            <w:rPr>
              <w:noProof/>
            </w:rPr>
            <w:drawing>
              <wp:inline distT="0" distB="0" distL="0" distR="0" wp14:anchorId="3A5A47F1" wp14:editId="453CA0FA">
                <wp:extent cx="6577965" cy="2750820"/>
                <wp:effectExtent l="0" t="0" r="0" b="0"/>
                <wp:docPr id="215702569" name="Grafico 1">
                  <a:extLst xmlns:a="http://schemas.openxmlformats.org/drawingml/2006/main">
                    <a:ext uri="{FF2B5EF4-FFF2-40B4-BE49-F238E27FC236}">
                      <a16:creationId xmlns:a16="http://schemas.microsoft.com/office/drawing/2014/main" id="{00000000-0008-0000-1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193B2DE" w14:textId="72BEB759" w:rsidR="00F41010" w:rsidRPr="0032337D" w:rsidRDefault="00F41010" w:rsidP="00F41010">
          <w:pPr>
            <w:spacing w:before="0" w:after="200" w:line="276" w:lineRule="auto"/>
            <w:jc w:val="left"/>
            <w:rPr>
              <w:rFonts w:cs="Segoe UI"/>
              <w:b/>
              <w:bCs/>
              <w:sz w:val="28"/>
              <w:szCs w:val="32"/>
              <w:lang w:val="en-GB"/>
            </w:rPr>
          </w:pPr>
          <w:r>
            <w:rPr>
              <w:rFonts w:cs="Segoe UI"/>
              <w:b/>
              <w:bCs/>
              <w:sz w:val="28"/>
              <w:szCs w:val="32"/>
              <w:lang w:val="en-GB"/>
            </w:rPr>
            <w:br w:type="page"/>
          </w:r>
        </w:p>
        <w:p w14:paraId="6CED767C" w14:textId="77777777" w:rsidR="004101BF" w:rsidRPr="00FA752D" w:rsidRDefault="004101BF" w:rsidP="004101BF">
          <w:pPr>
            <w:pStyle w:val="Titolo2"/>
            <w:rPr>
              <w:lang w:val="en-GB"/>
            </w:rPr>
          </w:pPr>
          <w:bookmarkStart w:id="181" w:name="_Toc130806404"/>
          <w:bookmarkStart w:id="182" w:name="_Toc167131725"/>
          <w:r w:rsidRPr="00FA752D">
            <w:rPr>
              <w:lang w:val="en-GB"/>
            </w:rPr>
            <w:lastRenderedPageBreak/>
            <w:t>Focus on SMEs</w:t>
          </w:r>
          <w:bookmarkEnd w:id="181"/>
          <w:bookmarkEnd w:id="182"/>
        </w:p>
        <w:p w14:paraId="6CE75580" w14:textId="0CCD3C1C" w:rsidR="004101BF" w:rsidRPr="0032337D" w:rsidRDefault="00A971A6" w:rsidP="004101BF">
          <w:pPr>
            <w:rPr>
              <w:rFonts w:cs="Segoe UI"/>
              <w:lang w:val="en-GB"/>
            </w:rPr>
          </w:pPr>
          <w:r>
            <w:rPr>
              <w:rFonts w:cs="Segoe UI"/>
              <w:lang w:val="en-GB"/>
            </w:rPr>
            <w:t>The following section provides a</w:t>
          </w:r>
          <w:r w:rsidR="00B76BE7">
            <w:rPr>
              <w:rFonts w:cs="Segoe UI"/>
              <w:lang w:val="en-GB"/>
            </w:rPr>
            <w:t xml:space="preserve"> comprehensive</w:t>
          </w:r>
          <w:r w:rsidR="004101BF" w:rsidRPr="0032337D">
            <w:rPr>
              <w:rFonts w:cs="Segoe UI"/>
              <w:lang w:val="en-GB"/>
            </w:rPr>
            <w:t xml:space="preserve"> focus on SMEs</w:t>
          </w:r>
          <w:r>
            <w:rPr>
              <w:rFonts w:cs="Segoe UI"/>
              <w:lang w:val="en-GB"/>
            </w:rPr>
            <w:t>’</w:t>
          </w:r>
          <w:r w:rsidR="004101BF" w:rsidRPr="0032337D">
            <w:rPr>
              <w:rFonts w:cs="Segoe UI"/>
              <w:lang w:val="en-GB"/>
            </w:rPr>
            <w:t xml:space="preserve"> credit rating distribution and rating process performance. Exhibit 5</w:t>
          </w:r>
          <w:r w:rsidR="008A30F6">
            <w:rPr>
              <w:rFonts w:cs="Segoe UI"/>
              <w:lang w:val="en-GB"/>
            </w:rPr>
            <w:t>3</w:t>
          </w:r>
          <w:r w:rsidR="004101BF" w:rsidRPr="0032337D">
            <w:rPr>
              <w:rFonts w:cs="Segoe UI"/>
              <w:lang w:val="en-GB"/>
            </w:rPr>
            <w:t xml:space="preserve"> </w:t>
          </w:r>
          <w:r w:rsidR="008A30F6">
            <w:rPr>
              <w:rFonts w:cs="Segoe UI"/>
              <w:lang w:val="en-GB"/>
            </w:rPr>
            <w:t>shows</w:t>
          </w:r>
          <w:r w:rsidR="004101BF" w:rsidRPr="0032337D">
            <w:rPr>
              <w:rFonts w:cs="Segoe UI"/>
              <w:lang w:val="en-GB"/>
            </w:rPr>
            <w:t xml:space="preserve"> the breakdown of </w:t>
          </w:r>
          <w:r w:rsidR="00B76BE7">
            <w:rPr>
              <w:rFonts w:cs="Segoe UI"/>
              <w:lang w:val="en-GB"/>
            </w:rPr>
            <w:t>s</w:t>
          </w:r>
          <w:r w:rsidR="004101BF" w:rsidRPr="0032337D">
            <w:rPr>
              <w:rFonts w:cs="Segoe UI"/>
              <w:lang w:val="en-GB"/>
            </w:rPr>
            <w:t>mall</w:t>
          </w:r>
          <w:r w:rsidR="00B76BE7">
            <w:rPr>
              <w:rFonts w:cs="Segoe UI"/>
              <w:lang w:val="en-GB"/>
            </w:rPr>
            <w:t>-</w:t>
          </w:r>
          <w:r w:rsidR="004101BF" w:rsidRPr="0032337D">
            <w:rPr>
              <w:rFonts w:cs="Segoe UI"/>
              <w:lang w:val="en-GB"/>
            </w:rPr>
            <w:t xml:space="preserve"> and </w:t>
          </w:r>
          <w:r w:rsidR="00B76BE7">
            <w:rPr>
              <w:rFonts w:cs="Segoe UI"/>
              <w:lang w:val="en-GB"/>
            </w:rPr>
            <w:t>m</w:t>
          </w:r>
          <w:r w:rsidR="004101BF" w:rsidRPr="0032337D">
            <w:rPr>
              <w:rFonts w:cs="Segoe UI"/>
              <w:lang w:val="en-GB"/>
            </w:rPr>
            <w:t>edium-sized rated entities.</w:t>
          </w:r>
        </w:p>
        <w:p w14:paraId="7C95158D" w14:textId="2BBC89A9" w:rsidR="007F5FD7" w:rsidRDefault="004101BF" w:rsidP="005A63E4">
          <w:pPr>
            <w:pStyle w:val="Didascalia"/>
            <w:rPr>
              <w:rFonts w:cs="Segoe UI"/>
              <w:color w:val="1F85BB"/>
              <w:sz w:val="24"/>
              <w:szCs w:val="32"/>
              <w:lang w:val="en-GB"/>
            </w:rPr>
          </w:pPr>
          <w:bookmarkStart w:id="183" w:name="_Toc130806353"/>
          <w:bookmarkStart w:id="184" w:name="_Toc166675694"/>
          <w:bookmarkStart w:id="185" w:name="_Toc167131821"/>
          <w:r w:rsidRPr="0032337D">
            <w:rPr>
              <w:rFonts w:ascii="Segoe UI" w:hAnsi="Segoe UI" w:cs="Segoe UI"/>
              <w:i/>
              <w:sz w:val="14"/>
              <w:lang w:val="en-GB"/>
            </w:rPr>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53</w:t>
          </w:r>
          <w:r>
            <w:rPr>
              <w:rFonts w:ascii="Segoe UI" w:hAnsi="Segoe UI" w:cs="Segoe UI"/>
              <w:i/>
              <w:sz w:val="14"/>
              <w:lang w:val="en-GB"/>
            </w:rPr>
            <w:fldChar w:fldCharType="end"/>
          </w:r>
          <w:r w:rsidRPr="0032337D">
            <w:rPr>
              <w:rFonts w:ascii="Segoe UI" w:hAnsi="Segoe UI" w:cs="Segoe UI"/>
              <w:i/>
              <w:sz w:val="14"/>
              <w:lang w:val="en-GB"/>
            </w:rPr>
            <w:t>: Breakdown of Small and Medium rated entities (percentage of share within SME segment)</w:t>
          </w:r>
          <w:bookmarkStart w:id="186" w:name="_Toc3474312"/>
          <w:bookmarkEnd w:id="183"/>
          <w:bookmarkEnd w:id="184"/>
          <w:bookmarkEnd w:id="185"/>
          <w:bookmarkEnd w:id="186"/>
        </w:p>
        <w:p w14:paraId="1173BE51" w14:textId="6DC13507" w:rsidR="007F5FD7" w:rsidRPr="0032337D" w:rsidRDefault="007F5FD7" w:rsidP="004101BF">
          <w:pPr>
            <w:jc w:val="center"/>
            <w:rPr>
              <w:rFonts w:cs="Segoe UI"/>
              <w:color w:val="1F85BB"/>
              <w:sz w:val="24"/>
              <w:szCs w:val="32"/>
              <w:lang w:val="en-GB"/>
            </w:rPr>
          </w:pPr>
          <w:r>
            <w:rPr>
              <w:noProof/>
            </w:rPr>
            <w:drawing>
              <wp:inline distT="0" distB="0" distL="0" distR="0" wp14:anchorId="281C4A60" wp14:editId="37E6F15B">
                <wp:extent cx="6586220" cy="3916680"/>
                <wp:effectExtent l="0" t="0" r="5080" b="7620"/>
                <wp:docPr id="642565498" name="Grafico 1">
                  <a:extLst xmlns:a="http://schemas.openxmlformats.org/drawingml/2006/main">
                    <a:ext uri="{FF2B5EF4-FFF2-40B4-BE49-F238E27FC236}">
                      <a16:creationId xmlns:a16="http://schemas.microsoft.com/office/drawing/2014/main" id="{00000000-0008-0000-1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5B3CF03" w14:textId="77777777" w:rsidR="004101BF" w:rsidRPr="006114C7" w:rsidRDefault="004101BF" w:rsidP="004101BF">
          <w:pPr>
            <w:pStyle w:val="Titolo3"/>
            <w:rPr>
              <w:lang w:val="en-GB"/>
            </w:rPr>
          </w:pPr>
          <w:bookmarkStart w:id="187" w:name="_Toc130806405"/>
          <w:bookmarkStart w:id="188" w:name="_Toc167131726"/>
          <w:r w:rsidRPr="006114C7">
            <w:rPr>
              <w:lang w:val="en-GB"/>
            </w:rPr>
            <w:t>Rating distribution of Small and Medium rated entities</w:t>
          </w:r>
          <w:bookmarkEnd w:id="187"/>
          <w:bookmarkEnd w:id="188"/>
        </w:p>
        <w:p w14:paraId="5E1949D4" w14:textId="5B824052" w:rsidR="004101BF" w:rsidRPr="0032337D" w:rsidRDefault="004101BF" w:rsidP="004101BF">
          <w:pPr>
            <w:rPr>
              <w:rFonts w:cs="Segoe UI"/>
              <w:lang w:val="en-GB"/>
            </w:rPr>
          </w:pPr>
          <w:r w:rsidRPr="0032337D">
            <w:rPr>
              <w:rFonts w:cs="Segoe UI"/>
              <w:lang w:val="en-GB"/>
            </w:rPr>
            <w:t>Exhibits 5</w:t>
          </w:r>
          <w:r w:rsidR="008A30F6">
            <w:rPr>
              <w:rFonts w:cs="Segoe UI"/>
              <w:lang w:val="en-GB"/>
            </w:rPr>
            <w:t>4</w:t>
          </w:r>
          <w:r w:rsidRPr="0032337D">
            <w:rPr>
              <w:rFonts w:cs="Segoe UI"/>
              <w:lang w:val="en-GB"/>
            </w:rPr>
            <w:t xml:space="preserve"> and 5</w:t>
          </w:r>
          <w:r w:rsidR="008A30F6">
            <w:rPr>
              <w:rFonts w:cs="Segoe UI"/>
              <w:lang w:val="en-GB"/>
            </w:rPr>
            <w:t>5</w:t>
          </w:r>
          <w:r w:rsidRPr="0032337D">
            <w:rPr>
              <w:rFonts w:cs="Segoe UI"/>
              <w:lang w:val="en-GB"/>
            </w:rPr>
            <w:t xml:space="preserve"> show the average distribution by rating class and risk area of </w:t>
          </w:r>
          <w:r w:rsidR="00FD5185">
            <w:rPr>
              <w:rFonts w:cs="Segoe UI"/>
              <w:lang w:val="en-GB"/>
            </w:rPr>
            <w:t>s</w:t>
          </w:r>
          <w:r w:rsidRPr="0032337D">
            <w:rPr>
              <w:rFonts w:cs="Segoe UI"/>
              <w:lang w:val="en-GB"/>
            </w:rPr>
            <w:t xml:space="preserve">mall and </w:t>
          </w:r>
          <w:r w:rsidR="00FD5185">
            <w:rPr>
              <w:rFonts w:cs="Segoe UI"/>
              <w:lang w:val="en-GB"/>
            </w:rPr>
            <w:t>m</w:t>
          </w:r>
          <w:r w:rsidRPr="0032337D">
            <w:rPr>
              <w:rFonts w:cs="Segoe UI"/>
              <w:lang w:val="en-GB"/>
            </w:rPr>
            <w:t>edium rated entities.</w:t>
          </w:r>
        </w:p>
        <w:p w14:paraId="125B9E6F" w14:textId="261071C2" w:rsidR="00DC2D7F" w:rsidRPr="00E650C5" w:rsidRDefault="004101BF" w:rsidP="00E650C5">
          <w:pPr>
            <w:pStyle w:val="Didascalia"/>
            <w:rPr>
              <w:rFonts w:ascii="Segoe UI" w:hAnsi="Segoe UI" w:cs="Segoe UI"/>
              <w:i/>
              <w:sz w:val="14"/>
              <w:lang w:val="en-GB"/>
            </w:rPr>
          </w:pPr>
          <w:bookmarkStart w:id="189" w:name="_Toc130806354"/>
          <w:bookmarkStart w:id="190" w:name="_Toc166675695"/>
          <w:bookmarkStart w:id="191" w:name="_Toc167131822"/>
          <w:r w:rsidRPr="0032337D">
            <w:rPr>
              <w:rFonts w:ascii="Segoe UI" w:hAnsi="Segoe UI" w:cs="Segoe UI"/>
              <w:i/>
              <w:sz w:val="14"/>
              <w:lang w:val="en-GB"/>
            </w:rPr>
            <w:lastRenderedPageBreak/>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54</w:t>
          </w:r>
          <w:r>
            <w:rPr>
              <w:rFonts w:ascii="Segoe UI" w:hAnsi="Segoe UI" w:cs="Segoe UI"/>
              <w:i/>
              <w:sz w:val="14"/>
              <w:lang w:val="en-GB"/>
            </w:rPr>
            <w:fldChar w:fldCharType="end"/>
          </w:r>
          <w:r w:rsidRPr="0032337D">
            <w:rPr>
              <w:rFonts w:ascii="Segoe UI" w:hAnsi="Segoe UI" w:cs="Segoe UI"/>
              <w:i/>
              <w:sz w:val="14"/>
              <w:lang w:val="en-GB"/>
            </w:rPr>
            <w:t>: Rating distribution of Small and Medium rated entities on pools from 2008 to 20</w:t>
          </w:r>
          <w:r>
            <w:rPr>
              <w:rFonts w:ascii="Segoe UI" w:hAnsi="Segoe UI" w:cs="Segoe UI"/>
              <w:i/>
              <w:sz w:val="14"/>
              <w:lang w:val="en-GB"/>
            </w:rPr>
            <w:t>2</w:t>
          </w:r>
          <w:bookmarkEnd w:id="189"/>
          <w:r w:rsidR="008940F0">
            <w:rPr>
              <w:rFonts w:ascii="Segoe UI" w:hAnsi="Segoe UI" w:cs="Segoe UI"/>
              <w:i/>
              <w:sz w:val="14"/>
              <w:lang w:val="en-GB"/>
            </w:rPr>
            <w:t>2</w:t>
          </w:r>
          <w:bookmarkEnd w:id="190"/>
          <w:bookmarkEnd w:id="191"/>
        </w:p>
        <w:p w14:paraId="3F73B43B" w14:textId="3D2E3C96" w:rsidR="00DC2D7F" w:rsidRPr="0032337D" w:rsidRDefault="00DC2D7F" w:rsidP="004101BF">
          <w:pPr>
            <w:jc w:val="center"/>
            <w:rPr>
              <w:rFonts w:cs="Segoe UI"/>
              <w:lang w:val="en-GB"/>
            </w:rPr>
          </w:pPr>
          <w:r>
            <w:rPr>
              <w:noProof/>
            </w:rPr>
            <w:drawing>
              <wp:inline distT="0" distB="0" distL="0" distR="0" wp14:anchorId="31D72534" wp14:editId="06434B71">
                <wp:extent cx="6539865" cy="2994660"/>
                <wp:effectExtent l="0" t="0" r="0" b="0"/>
                <wp:docPr id="441298676" name="Grafico 1">
                  <a:extLst xmlns:a="http://schemas.openxmlformats.org/drawingml/2006/main">
                    <a:ext uri="{FF2B5EF4-FFF2-40B4-BE49-F238E27FC236}">
                      <a16:creationId xmlns:a16="http://schemas.microsoft.com/office/drawing/2014/main" id="{FB078B0D-7E61-090D-5339-D377E6134D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648E78D9" w14:textId="67E1E08F" w:rsidR="004101BF" w:rsidRPr="0032337D" w:rsidRDefault="004101BF" w:rsidP="004101BF">
          <w:pPr>
            <w:pStyle w:val="Didascalia"/>
            <w:rPr>
              <w:rFonts w:ascii="Segoe UI" w:hAnsi="Segoe UI" w:cs="Segoe UI"/>
              <w:i/>
              <w:sz w:val="14"/>
              <w:lang w:val="en-GB"/>
            </w:rPr>
          </w:pPr>
          <w:bookmarkStart w:id="192" w:name="_Toc130806355"/>
          <w:bookmarkStart w:id="193" w:name="_Toc166675696"/>
          <w:bookmarkStart w:id="194" w:name="_Toc167131823"/>
          <w:r w:rsidRPr="0032337D">
            <w:rPr>
              <w:rFonts w:ascii="Segoe UI" w:hAnsi="Segoe UI" w:cs="Segoe UI"/>
              <w:i/>
              <w:sz w:val="14"/>
              <w:lang w:val="en-GB"/>
            </w:rPr>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55</w:t>
          </w:r>
          <w:r>
            <w:rPr>
              <w:rFonts w:ascii="Segoe UI" w:hAnsi="Segoe UI" w:cs="Segoe UI"/>
              <w:i/>
              <w:sz w:val="14"/>
              <w:lang w:val="en-GB"/>
            </w:rPr>
            <w:fldChar w:fldCharType="end"/>
          </w:r>
          <w:r w:rsidRPr="0032337D">
            <w:rPr>
              <w:rFonts w:ascii="Segoe UI" w:hAnsi="Segoe UI" w:cs="Segoe UI"/>
              <w:i/>
              <w:sz w:val="14"/>
              <w:lang w:val="en-GB"/>
            </w:rPr>
            <w:t>: Distribution of SME by area of risk: details by size</w:t>
          </w:r>
          <w:bookmarkEnd w:id="192"/>
          <w:bookmarkEnd w:id="193"/>
          <w:bookmarkEnd w:id="194"/>
        </w:p>
        <w:p w14:paraId="52DE7627" w14:textId="73F00F08" w:rsidR="00A16438" w:rsidRDefault="00A16438" w:rsidP="004101BF">
          <w:pPr>
            <w:spacing w:before="240"/>
            <w:rPr>
              <w:rFonts w:cs="Segoe UI"/>
              <w:lang w:val="en-GB"/>
            </w:rPr>
          </w:pPr>
          <w:r>
            <w:rPr>
              <w:noProof/>
            </w:rPr>
            <w:drawing>
              <wp:inline distT="0" distB="0" distL="0" distR="0" wp14:anchorId="5B7DAAFA" wp14:editId="4BA492BA">
                <wp:extent cx="6281530" cy="3963421"/>
                <wp:effectExtent l="0" t="0" r="5080" b="0"/>
                <wp:docPr id="944990592" name="Grafico 1">
                  <a:extLst xmlns:a="http://schemas.openxmlformats.org/drawingml/2006/main">
                    <a:ext uri="{FF2B5EF4-FFF2-40B4-BE49-F238E27FC236}">
                      <a16:creationId xmlns:a16="http://schemas.microsoft.com/office/drawing/2014/main" id="{00000000-0008-0000-1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1261F6F9" w14:textId="42715F2E" w:rsidR="004101BF" w:rsidRDefault="004101BF" w:rsidP="00D216CF">
          <w:pPr>
            <w:spacing w:before="240"/>
            <w:rPr>
              <w:rFonts w:cs="Segoe UI"/>
              <w:lang w:val="en-GB"/>
            </w:rPr>
          </w:pPr>
          <w:r w:rsidRPr="0032337D">
            <w:rPr>
              <w:rFonts w:cs="Segoe UI"/>
              <w:lang w:val="en-GB"/>
            </w:rPr>
            <w:lastRenderedPageBreak/>
            <w:t>On average, 1</w:t>
          </w:r>
          <w:r w:rsidR="0084276D">
            <w:rPr>
              <w:rFonts w:cs="Segoe UI"/>
              <w:lang w:val="en-GB"/>
            </w:rPr>
            <w:t>4</w:t>
          </w:r>
          <w:r w:rsidRPr="0032337D">
            <w:rPr>
              <w:rFonts w:cs="Segoe UI"/>
              <w:lang w:val="en-GB"/>
            </w:rPr>
            <w:t>.</w:t>
          </w:r>
          <w:r w:rsidR="00B3575E">
            <w:rPr>
              <w:rFonts w:cs="Segoe UI"/>
              <w:lang w:val="en-GB"/>
            </w:rPr>
            <w:t>93</w:t>
          </w:r>
          <w:r w:rsidRPr="0032337D">
            <w:rPr>
              <w:rFonts w:cs="Segoe UI"/>
              <w:lang w:val="en-GB"/>
            </w:rPr>
            <w:t xml:space="preserve">% of SMEs </w:t>
          </w:r>
          <w:r w:rsidR="00B3575E">
            <w:rPr>
              <w:rFonts w:cs="Segoe UI"/>
              <w:lang w:val="en-GB"/>
            </w:rPr>
            <w:t xml:space="preserve">fall within </w:t>
          </w:r>
          <w:r w:rsidRPr="0032337D">
            <w:rPr>
              <w:rFonts w:cs="Segoe UI"/>
              <w:lang w:val="en-GB"/>
            </w:rPr>
            <w:t xml:space="preserve">the </w:t>
          </w:r>
          <w:r w:rsidRPr="0032337D">
            <w:rPr>
              <w:rFonts w:cs="Segoe UI"/>
              <w:i/>
              <w:lang w:val="en-GB"/>
            </w:rPr>
            <w:t>Safety Area</w:t>
          </w:r>
          <w:r w:rsidRPr="0032337D">
            <w:rPr>
              <w:rFonts w:cs="Segoe UI"/>
              <w:lang w:val="en-GB"/>
            </w:rPr>
            <w:t xml:space="preserve"> a</w:t>
          </w:r>
          <w:r w:rsidR="00637115">
            <w:rPr>
              <w:rFonts w:cs="Segoe UI"/>
              <w:lang w:val="en-GB"/>
            </w:rPr>
            <w:t>nd</w:t>
          </w:r>
          <w:r w:rsidRPr="0032337D">
            <w:rPr>
              <w:rFonts w:cs="Segoe UI"/>
              <w:lang w:val="en-GB"/>
            </w:rPr>
            <w:t xml:space="preserve"> 39.</w:t>
          </w:r>
          <w:r>
            <w:rPr>
              <w:rFonts w:cs="Segoe UI"/>
              <w:lang w:val="en-GB"/>
            </w:rPr>
            <w:t>3</w:t>
          </w:r>
          <w:r w:rsidR="00B3575E">
            <w:rPr>
              <w:rFonts w:cs="Segoe UI"/>
              <w:lang w:val="en-GB"/>
            </w:rPr>
            <w:t>8</w:t>
          </w:r>
          <w:r w:rsidRPr="0032337D">
            <w:rPr>
              <w:rFonts w:cs="Segoe UI"/>
              <w:lang w:val="en-GB"/>
            </w:rPr>
            <w:t>%</w:t>
          </w:r>
          <w:r w:rsidR="00637115">
            <w:rPr>
              <w:rFonts w:cs="Segoe UI"/>
              <w:lang w:val="en-GB"/>
            </w:rPr>
            <w:t xml:space="preserve"> of them </w:t>
          </w:r>
          <w:r w:rsidR="00E07F1F">
            <w:rPr>
              <w:rFonts w:cs="Segoe UI"/>
              <w:lang w:val="en-GB"/>
            </w:rPr>
            <w:t>are</w:t>
          </w:r>
          <w:r w:rsidRPr="0032337D">
            <w:rPr>
              <w:rFonts w:cs="Segoe UI"/>
              <w:lang w:val="en-GB"/>
            </w:rPr>
            <w:t xml:space="preserve"> in the </w:t>
          </w:r>
          <w:r w:rsidRPr="0032337D">
            <w:rPr>
              <w:rFonts w:cs="Segoe UI"/>
              <w:i/>
              <w:lang w:val="en-GB"/>
            </w:rPr>
            <w:t>Solvency Area</w:t>
          </w:r>
          <w:r w:rsidR="00E07F1F">
            <w:rPr>
              <w:rFonts w:cs="Segoe UI"/>
              <w:i/>
              <w:lang w:val="en-GB"/>
            </w:rPr>
            <w:t>,</w:t>
          </w:r>
          <w:r w:rsidRPr="0032337D">
            <w:rPr>
              <w:rFonts w:cs="Segoe UI"/>
              <w:lang w:val="en-GB"/>
            </w:rPr>
            <w:t xml:space="preserve"> for a total of 5</w:t>
          </w:r>
          <w:r>
            <w:rPr>
              <w:rFonts w:cs="Segoe UI"/>
              <w:lang w:val="en-GB"/>
            </w:rPr>
            <w:t>4</w:t>
          </w:r>
          <w:r w:rsidRPr="0032337D">
            <w:rPr>
              <w:rFonts w:cs="Segoe UI"/>
              <w:lang w:val="en-GB"/>
            </w:rPr>
            <w:t>.</w:t>
          </w:r>
          <w:r>
            <w:rPr>
              <w:rFonts w:cs="Segoe UI"/>
              <w:lang w:val="en-GB"/>
            </w:rPr>
            <w:t>3</w:t>
          </w:r>
          <w:r w:rsidR="00E07F1F">
            <w:rPr>
              <w:rFonts w:cs="Segoe UI"/>
              <w:lang w:val="en-GB"/>
            </w:rPr>
            <w:t>1</w:t>
          </w:r>
          <w:r w:rsidRPr="0032337D">
            <w:rPr>
              <w:rFonts w:cs="Segoe UI"/>
              <w:lang w:val="en-GB"/>
            </w:rPr>
            <w:t>%</w:t>
          </w:r>
          <w:r w:rsidR="00E07F1F">
            <w:rPr>
              <w:rFonts w:cs="Segoe UI"/>
              <w:lang w:val="en-GB"/>
            </w:rPr>
            <w:t xml:space="preserve"> of</w:t>
          </w:r>
          <w:r w:rsidRPr="0032337D">
            <w:rPr>
              <w:rFonts w:cs="Segoe UI"/>
              <w:lang w:val="en-GB"/>
            </w:rPr>
            <w:t xml:space="preserve"> entities classified as </w:t>
          </w:r>
          <w:r w:rsidRPr="0032337D">
            <w:rPr>
              <w:rFonts w:cs="Segoe UI"/>
              <w:i/>
              <w:lang w:val="en-GB"/>
            </w:rPr>
            <w:t>Investment Grade</w:t>
          </w:r>
          <w:r w:rsidRPr="0032337D">
            <w:rPr>
              <w:rFonts w:cs="Segoe UI"/>
              <w:lang w:val="en-GB"/>
            </w:rPr>
            <w:t>. In further detail, 6</w:t>
          </w:r>
          <w:r w:rsidR="008079A4">
            <w:rPr>
              <w:rFonts w:cs="Segoe UI"/>
              <w:lang w:val="en-GB"/>
            </w:rPr>
            <w:t>1</w:t>
          </w:r>
          <w:r w:rsidRPr="0032337D">
            <w:rPr>
              <w:rFonts w:cs="Segoe UI"/>
              <w:lang w:val="en-GB"/>
            </w:rPr>
            <w:t>.</w:t>
          </w:r>
          <w:r w:rsidR="008079A4">
            <w:rPr>
              <w:rFonts w:cs="Segoe UI"/>
              <w:lang w:val="en-GB"/>
            </w:rPr>
            <w:t>75</w:t>
          </w:r>
          <w:r w:rsidRPr="0032337D">
            <w:rPr>
              <w:rFonts w:cs="Segoe UI"/>
              <w:lang w:val="en-GB"/>
            </w:rPr>
            <w:t xml:space="preserve">% of Medium-sized companies are rated </w:t>
          </w:r>
          <w:r w:rsidRPr="0032337D">
            <w:rPr>
              <w:rFonts w:cs="Segoe UI"/>
              <w:i/>
              <w:lang w:val="en-GB"/>
            </w:rPr>
            <w:t>Investment Grade</w:t>
          </w:r>
          <w:r w:rsidR="007F1229">
            <w:rPr>
              <w:rFonts w:cs="Segoe UI"/>
              <w:lang w:val="en-GB"/>
            </w:rPr>
            <w:t xml:space="preserve">, with the percentage falling to </w:t>
          </w:r>
          <w:r w:rsidRPr="0032337D">
            <w:rPr>
              <w:rFonts w:cs="Segoe UI"/>
              <w:lang w:val="en-GB"/>
            </w:rPr>
            <w:t>4</w:t>
          </w:r>
          <w:r>
            <w:rPr>
              <w:rFonts w:cs="Segoe UI"/>
              <w:lang w:val="en-GB"/>
            </w:rPr>
            <w:t>8</w:t>
          </w:r>
          <w:r w:rsidRPr="0032337D">
            <w:rPr>
              <w:rFonts w:cs="Segoe UI"/>
              <w:lang w:val="en-GB"/>
            </w:rPr>
            <w:t>.</w:t>
          </w:r>
          <w:r w:rsidR="009921FE">
            <w:rPr>
              <w:rFonts w:cs="Segoe UI"/>
              <w:lang w:val="en-GB"/>
            </w:rPr>
            <w:t>66</w:t>
          </w:r>
          <w:r w:rsidRPr="0032337D">
            <w:rPr>
              <w:rFonts w:cs="Segoe UI"/>
              <w:lang w:val="en-GB"/>
            </w:rPr>
            <w:t>% f</w:t>
          </w:r>
          <w:r w:rsidR="009921FE">
            <w:rPr>
              <w:rFonts w:cs="Segoe UI"/>
              <w:lang w:val="en-GB"/>
            </w:rPr>
            <w:t>or</w:t>
          </w:r>
          <w:r w:rsidRPr="0032337D">
            <w:rPr>
              <w:rFonts w:cs="Segoe UI"/>
              <w:lang w:val="en-GB"/>
            </w:rPr>
            <w:t xml:space="preserve"> </w:t>
          </w:r>
          <w:r w:rsidR="00C83A14">
            <w:rPr>
              <w:rFonts w:cs="Segoe UI"/>
              <w:lang w:val="en-GB"/>
            </w:rPr>
            <w:t>s</w:t>
          </w:r>
          <w:r w:rsidRPr="0032337D">
            <w:rPr>
              <w:rFonts w:cs="Segoe UI"/>
              <w:lang w:val="en-GB"/>
            </w:rPr>
            <w:t>mall companies (as shown in Exhibit 5</w:t>
          </w:r>
          <w:r w:rsidR="009921FE">
            <w:rPr>
              <w:rFonts w:cs="Segoe UI"/>
              <w:lang w:val="en-GB"/>
            </w:rPr>
            <w:t>5</w:t>
          </w:r>
          <w:r w:rsidRPr="0032337D">
            <w:rPr>
              <w:rFonts w:cs="Segoe UI"/>
              <w:lang w:val="en-GB"/>
            </w:rPr>
            <w:t>).</w:t>
          </w:r>
        </w:p>
        <w:p w14:paraId="534C6B73" w14:textId="6DBB6E76" w:rsidR="004101BF" w:rsidRPr="0032337D" w:rsidRDefault="009E7447" w:rsidP="004101BF">
          <w:pPr>
            <w:rPr>
              <w:rFonts w:cs="Segoe UI"/>
              <w:lang w:val="en-GB"/>
            </w:rPr>
          </w:pPr>
          <w:r w:rsidRPr="00EA1874">
            <w:rPr>
              <w:rFonts w:cs="Segoe UI"/>
              <w:lang w:val="en-GB"/>
            </w:rPr>
            <w:t xml:space="preserve">The analysis </w:t>
          </w:r>
          <w:r w:rsidR="007C3370" w:rsidRPr="00EA1874">
            <w:rPr>
              <w:rFonts w:cs="Segoe UI"/>
              <w:lang w:val="en-GB"/>
            </w:rPr>
            <w:t>on SME</w:t>
          </w:r>
          <w:r w:rsidRPr="00EA1874">
            <w:rPr>
              <w:rFonts w:cs="Segoe UI"/>
              <w:lang w:val="en-GB"/>
            </w:rPr>
            <w:t xml:space="preserve"> d</w:t>
          </w:r>
          <w:r w:rsidR="004101BF" w:rsidRPr="00EA1874">
            <w:rPr>
              <w:rFonts w:cs="Segoe UI"/>
              <w:lang w:val="en-GB"/>
            </w:rPr>
            <w:t>efault</w:t>
          </w:r>
          <w:r w:rsidRPr="00EA1874">
            <w:rPr>
              <w:rFonts w:cs="Segoe UI"/>
              <w:lang w:val="en-GB"/>
            </w:rPr>
            <w:t>s</w:t>
          </w:r>
          <w:r w:rsidR="004101BF" w:rsidRPr="00EA1874">
            <w:rPr>
              <w:rFonts w:cs="Segoe UI"/>
              <w:lang w:val="en-GB"/>
            </w:rPr>
            <w:t xml:space="preserve"> confirms the overall performance of the model. Exhibits 5</w:t>
          </w:r>
          <w:r w:rsidR="00EA1874" w:rsidRPr="00EA1874">
            <w:rPr>
              <w:rFonts w:cs="Segoe UI"/>
              <w:lang w:val="en-GB"/>
            </w:rPr>
            <w:t>6</w:t>
          </w:r>
          <w:r w:rsidR="004101BF" w:rsidRPr="00EA1874">
            <w:rPr>
              <w:rFonts w:cs="Segoe UI"/>
              <w:lang w:val="en-GB"/>
            </w:rPr>
            <w:t xml:space="preserve"> and 5</w:t>
          </w:r>
          <w:r w:rsidR="00EA1874" w:rsidRPr="00EA1874">
            <w:rPr>
              <w:rFonts w:cs="Segoe UI"/>
              <w:lang w:val="en-GB"/>
            </w:rPr>
            <w:t>7</w:t>
          </w:r>
          <w:r w:rsidR="004101BF" w:rsidRPr="00EA1874">
            <w:rPr>
              <w:rFonts w:cs="Segoe UI"/>
              <w:lang w:val="en-GB"/>
            </w:rPr>
            <w:t xml:space="preserve"> show the percentage of </w:t>
          </w:r>
          <w:r w:rsidR="00EA1874" w:rsidRPr="00EA1874">
            <w:rPr>
              <w:rFonts w:cs="Segoe UI"/>
              <w:lang w:val="en-GB"/>
            </w:rPr>
            <w:t xml:space="preserve">SME </w:t>
          </w:r>
          <w:r w:rsidR="004101BF" w:rsidRPr="00EA1874">
            <w:rPr>
              <w:rFonts w:cs="Segoe UI"/>
              <w:lang w:val="en-GB"/>
            </w:rPr>
            <w:t>default events occurred in the period between 2009 and 202</w:t>
          </w:r>
          <w:r w:rsidR="00EA1874" w:rsidRPr="00EA1874">
            <w:rPr>
              <w:rFonts w:cs="Segoe UI"/>
              <w:lang w:val="en-GB"/>
            </w:rPr>
            <w:t>3</w:t>
          </w:r>
          <w:r w:rsidR="004101BF" w:rsidRPr="00EA1874">
            <w:rPr>
              <w:rFonts w:cs="Segoe UI"/>
              <w:lang w:val="en-GB"/>
            </w:rPr>
            <w:t xml:space="preserve"> one year after rating issuance.</w:t>
          </w:r>
        </w:p>
        <w:p w14:paraId="125A6CA5" w14:textId="65FF38AA" w:rsidR="004101BF" w:rsidRPr="00C83A14" w:rsidRDefault="004101BF" w:rsidP="00C83A14">
          <w:pPr>
            <w:pStyle w:val="Didascalia"/>
            <w:rPr>
              <w:rFonts w:ascii="Segoe UI" w:hAnsi="Segoe UI" w:cs="Segoe UI"/>
              <w:i/>
              <w:sz w:val="14"/>
              <w:lang w:val="en-GB"/>
            </w:rPr>
          </w:pPr>
          <w:bookmarkStart w:id="195" w:name="_Toc130806356"/>
          <w:bookmarkStart w:id="196" w:name="_Toc166675697"/>
          <w:bookmarkStart w:id="197" w:name="_Toc167131824"/>
          <w:r w:rsidRPr="0032337D">
            <w:rPr>
              <w:rFonts w:ascii="Segoe UI" w:hAnsi="Segoe UI" w:cs="Segoe UI"/>
              <w:i/>
              <w:sz w:val="14"/>
              <w:lang w:val="en-GB"/>
            </w:rPr>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56</w:t>
          </w:r>
          <w:r>
            <w:rPr>
              <w:rFonts w:ascii="Segoe UI" w:hAnsi="Segoe UI" w:cs="Segoe UI"/>
              <w:i/>
              <w:sz w:val="14"/>
              <w:lang w:val="en-GB"/>
            </w:rPr>
            <w:fldChar w:fldCharType="end"/>
          </w:r>
          <w:r w:rsidRPr="0032337D">
            <w:rPr>
              <w:rFonts w:ascii="Segoe UI" w:hAnsi="Segoe UI" w:cs="Segoe UI"/>
              <w:i/>
              <w:sz w:val="14"/>
              <w:lang w:val="en-GB"/>
            </w:rPr>
            <w:t>: Breakdown of SME defaulted rated entities by risk categories (1-year default events)</w:t>
          </w:r>
          <w:bookmarkEnd w:id="195"/>
          <w:bookmarkEnd w:id="196"/>
          <w:bookmarkEnd w:id="197"/>
        </w:p>
        <w:p w14:paraId="397911D9" w14:textId="5252926B" w:rsidR="00C83A14" w:rsidRDefault="00C83A14" w:rsidP="004101BF">
          <w:pPr>
            <w:jc w:val="center"/>
            <w:rPr>
              <w:rFonts w:cs="Segoe UI"/>
              <w:lang w:val="en-GB"/>
            </w:rPr>
          </w:pPr>
          <w:r>
            <w:rPr>
              <w:noProof/>
            </w:rPr>
            <w:drawing>
              <wp:inline distT="0" distB="0" distL="0" distR="0" wp14:anchorId="44C7F15B" wp14:editId="6C708222">
                <wp:extent cx="6570980" cy="3665220"/>
                <wp:effectExtent l="0" t="0" r="1270" b="0"/>
                <wp:docPr id="1231626012" name="Grafico 1">
                  <a:extLst xmlns:a="http://schemas.openxmlformats.org/drawingml/2006/main">
                    <a:ext uri="{FF2B5EF4-FFF2-40B4-BE49-F238E27FC236}">
                      <a16:creationId xmlns:a16="http://schemas.microsoft.com/office/drawing/2014/main" id="{00000000-0008-0000-1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63CA1E57" w14:textId="77777777" w:rsidR="00C83A14" w:rsidRPr="0032337D" w:rsidRDefault="00C83A14" w:rsidP="004101BF">
          <w:pPr>
            <w:jc w:val="center"/>
            <w:rPr>
              <w:rFonts w:cs="Segoe UI"/>
              <w:lang w:val="en-GB"/>
            </w:rPr>
          </w:pPr>
        </w:p>
        <w:p w14:paraId="3206A705" w14:textId="2544A649" w:rsidR="004101BF" w:rsidRPr="0032337D" w:rsidRDefault="004101BF" w:rsidP="004101BF">
          <w:pPr>
            <w:rPr>
              <w:rFonts w:cs="Segoe UI"/>
              <w:lang w:val="en-GB"/>
            </w:rPr>
          </w:pPr>
          <w:r w:rsidRPr="0032337D">
            <w:rPr>
              <w:rFonts w:cs="Segoe UI"/>
              <w:lang w:val="en-GB"/>
            </w:rPr>
            <w:t>Exhibit 5</w:t>
          </w:r>
          <w:r w:rsidR="00EA1874">
            <w:rPr>
              <w:rFonts w:cs="Segoe UI"/>
              <w:lang w:val="en-GB"/>
            </w:rPr>
            <w:t>6</w:t>
          </w:r>
          <w:r w:rsidRPr="0032337D">
            <w:rPr>
              <w:rFonts w:cs="Segoe UI"/>
              <w:lang w:val="en-GB"/>
            </w:rPr>
            <w:t xml:space="preserve"> shows that the average hit rate is 94.</w:t>
          </w:r>
          <w:r>
            <w:rPr>
              <w:rFonts w:cs="Segoe UI"/>
              <w:lang w:val="en-GB"/>
            </w:rPr>
            <w:t>6</w:t>
          </w:r>
          <w:r w:rsidR="00EA1874">
            <w:rPr>
              <w:rFonts w:cs="Segoe UI"/>
              <w:lang w:val="en-GB"/>
            </w:rPr>
            <w:t>1</w:t>
          </w:r>
          <w:r w:rsidRPr="0032337D">
            <w:rPr>
              <w:rFonts w:cs="Segoe UI"/>
              <w:lang w:val="en-GB"/>
            </w:rPr>
            <w:t>%, varying in the observed years from 90.11% to 9</w:t>
          </w:r>
          <w:r>
            <w:rPr>
              <w:rFonts w:cs="Segoe UI"/>
              <w:lang w:val="en-GB"/>
            </w:rPr>
            <w:t>8</w:t>
          </w:r>
          <w:r w:rsidRPr="0032337D">
            <w:rPr>
              <w:rFonts w:cs="Segoe UI"/>
              <w:lang w:val="en-GB"/>
            </w:rPr>
            <w:t>.</w:t>
          </w:r>
          <w:r>
            <w:rPr>
              <w:rFonts w:cs="Segoe UI"/>
              <w:lang w:val="en-GB"/>
            </w:rPr>
            <w:t>94</w:t>
          </w:r>
          <w:r w:rsidRPr="0032337D">
            <w:rPr>
              <w:rFonts w:cs="Segoe UI"/>
              <w:lang w:val="en-GB"/>
            </w:rPr>
            <w:t>%.</w:t>
          </w:r>
          <w:r>
            <w:rPr>
              <w:rFonts w:cs="Segoe UI"/>
              <w:lang w:val="en-GB"/>
            </w:rPr>
            <w:t xml:space="preserve"> </w:t>
          </w:r>
          <w:r w:rsidRPr="0032337D">
            <w:rPr>
              <w:rFonts w:cs="Segoe UI"/>
              <w:lang w:val="en-GB"/>
            </w:rPr>
            <w:t>Exhibit 5</w:t>
          </w:r>
          <w:r w:rsidR="0042647C">
            <w:rPr>
              <w:rFonts w:cs="Segoe UI"/>
              <w:lang w:val="en-GB"/>
            </w:rPr>
            <w:t>7</w:t>
          </w:r>
          <w:r w:rsidRPr="0032337D">
            <w:rPr>
              <w:rFonts w:cs="Segoe UI"/>
              <w:lang w:val="en-GB"/>
            </w:rPr>
            <w:t xml:space="preserve"> shows the average default rates related </w:t>
          </w:r>
          <w:r w:rsidR="002F06DC">
            <w:rPr>
              <w:rFonts w:cs="Segoe UI"/>
              <w:lang w:val="en-GB"/>
            </w:rPr>
            <w:t>to</w:t>
          </w:r>
          <w:r w:rsidRPr="0032337D">
            <w:rPr>
              <w:rFonts w:cs="Segoe UI"/>
              <w:lang w:val="en-GB"/>
            </w:rPr>
            <w:t xml:space="preserve"> the entire portfolio of SMEs in comparison </w:t>
          </w:r>
          <w:r w:rsidR="00B0322E">
            <w:rPr>
              <w:rFonts w:cs="Segoe UI"/>
              <w:lang w:val="en-GB"/>
            </w:rPr>
            <w:t>to</w:t>
          </w:r>
          <w:r w:rsidRPr="0032337D">
            <w:rPr>
              <w:rFonts w:cs="Segoe UI"/>
              <w:lang w:val="en-GB"/>
            </w:rPr>
            <w:t xml:space="preserve"> the average default rates of entities rated </w:t>
          </w:r>
          <w:r w:rsidRPr="0032337D">
            <w:rPr>
              <w:rFonts w:cs="Segoe UI"/>
              <w:i/>
              <w:lang w:val="en-GB"/>
            </w:rPr>
            <w:t>Investment</w:t>
          </w:r>
          <w:r w:rsidRPr="0032337D">
            <w:rPr>
              <w:rFonts w:cs="Segoe UI"/>
              <w:lang w:val="en-GB"/>
            </w:rPr>
            <w:t xml:space="preserve"> and </w:t>
          </w:r>
          <w:r w:rsidRPr="0032337D">
            <w:rPr>
              <w:rFonts w:cs="Segoe UI"/>
              <w:i/>
              <w:lang w:val="en-GB"/>
            </w:rPr>
            <w:t>Speculative Grade</w:t>
          </w:r>
          <w:r w:rsidRPr="0032337D">
            <w:rPr>
              <w:rFonts w:cs="Segoe UI"/>
              <w:lang w:val="en-GB"/>
            </w:rPr>
            <w:t>.</w:t>
          </w:r>
          <w:r>
            <w:rPr>
              <w:rFonts w:cs="Segoe UI"/>
              <w:lang w:val="en-GB"/>
            </w:rPr>
            <w:t xml:space="preserve"> </w:t>
          </w:r>
          <w:r w:rsidRPr="0032337D">
            <w:rPr>
              <w:rFonts w:cs="Segoe UI"/>
              <w:lang w:val="en-GB"/>
            </w:rPr>
            <w:t>Exhibit 5</w:t>
          </w:r>
          <w:r w:rsidR="00A05CE3">
            <w:rPr>
              <w:rFonts w:cs="Segoe UI"/>
              <w:lang w:val="en-GB"/>
            </w:rPr>
            <w:t>8</w:t>
          </w:r>
          <w:r w:rsidRPr="0032337D">
            <w:rPr>
              <w:rFonts w:cs="Segoe UI"/>
              <w:lang w:val="en-GB"/>
            </w:rPr>
            <w:t xml:space="preserve"> show</w:t>
          </w:r>
          <w:r w:rsidR="002F06DC">
            <w:rPr>
              <w:rFonts w:cs="Segoe UI"/>
              <w:lang w:val="en-GB"/>
            </w:rPr>
            <w:t>s</w:t>
          </w:r>
          <w:r w:rsidR="00AC37EA">
            <w:rPr>
              <w:rFonts w:cs="Segoe UI"/>
              <w:lang w:val="en-GB"/>
            </w:rPr>
            <w:t xml:space="preserve"> the</w:t>
          </w:r>
          <w:r w:rsidRPr="0032337D">
            <w:rPr>
              <w:rFonts w:cs="Segoe UI"/>
              <w:lang w:val="en-GB"/>
            </w:rPr>
            <w:t xml:space="preserve"> default rates by area of risk. The charts confirmed the significant discriminatory power of Cerved Rating Agency rating process also for SMEs.</w:t>
          </w:r>
        </w:p>
        <w:p w14:paraId="760B2B17" w14:textId="44FC72C5" w:rsidR="000C186E" w:rsidRDefault="00D15919" w:rsidP="004101BF">
          <w:pPr>
            <w:pStyle w:val="Didascalia"/>
            <w:rPr>
              <w:rFonts w:ascii="Segoe UI" w:hAnsi="Segoe UI" w:cs="Segoe UI"/>
              <w:i/>
              <w:sz w:val="14"/>
              <w:lang w:val="en-GB"/>
            </w:rPr>
          </w:pPr>
          <w:bookmarkStart w:id="198" w:name="_Toc130806357"/>
          <w:bookmarkStart w:id="199" w:name="_Toc166675698"/>
          <w:bookmarkStart w:id="200" w:name="_Toc167131825"/>
          <w:r w:rsidRPr="006301B1">
            <w:rPr>
              <w:noProof/>
              <w:sz w:val="14"/>
              <w:szCs w:val="14"/>
            </w:rPr>
            <w:lastRenderedPageBreak/>
            <w:drawing>
              <wp:anchor distT="0" distB="0" distL="114300" distR="114300" simplePos="0" relativeHeight="251658250" behindDoc="0" locked="0" layoutInCell="1" allowOverlap="1" wp14:anchorId="48A6A838" wp14:editId="47F10BA6">
                <wp:simplePos x="0" y="0"/>
                <wp:positionH relativeFrom="page">
                  <wp:posOffset>281940</wp:posOffset>
                </wp:positionH>
                <wp:positionV relativeFrom="paragraph">
                  <wp:posOffset>182880</wp:posOffset>
                </wp:positionV>
                <wp:extent cx="6837680" cy="3817620"/>
                <wp:effectExtent l="0" t="0" r="1270" b="0"/>
                <wp:wrapSquare wrapText="bothSides"/>
                <wp:docPr id="674724165" name="Grafico 1">
                  <a:extLst xmlns:a="http://schemas.openxmlformats.org/drawingml/2006/main">
                    <a:ext uri="{FF2B5EF4-FFF2-40B4-BE49-F238E27FC236}">
                      <a16:creationId xmlns:a16="http://schemas.microsoft.com/office/drawing/2014/main" id="{00000000-0008-0000-1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r w:rsidR="004101BF" w:rsidRPr="0032337D">
            <w:rPr>
              <w:rFonts w:ascii="Segoe UI" w:hAnsi="Segoe UI" w:cs="Segoe UI"/>
              <w:i/>
              <w:sz w:val="14"/>
              <w:lang w:val="en-GB"/>
            </w:rPr>
            <w:t xml:space="preserve">Exhibit </w:t>
          </w:r>
          <w:r w:rsidR="004101BF">
            <w:rPr>
              <w:rFonts w:ascii="Segoe UI" w:hAnsi="Segoe UI" w:cs="Segoe UI"/>
              <w:i/>
              <w:sz w:val="14"/>
              <w:lang w:val="en-GB"/>
            </w:rPr>
            <w:fldChar w:fldCharType="begin"/>
          </w:r>
          <w:r w:rsidR="004101BF">
            <w:rPr>
              <w:rFonts w:ascii="Segoe UI" w:hAnsi="Segoe UI" w:cs="Segoe UI"/>
              <w:i/>
              <w:sz w:val="14"/>
              <w:lang w:val="en-GB"/>
            </w:rPr>
            <w:instrText xml:space="preserve"> SEQ Exhibit \* ARABIC </w:instrText>
          </w:r>
          <w:r w:rsidR="004101BF">
            <w:rPr>
              <w:rFonts w:ascii="Segoe UI" w:hAnsi="Segoe UI" w:cs="Segoe UI"/>
              <w:i/>
              <w:sz w:val="14"/>
              <w:lang w:val="en-GB"/>
            </w:rPr>
            <w:fldChar w:fldCharType="separate"/>
          </w:r>
          <w:r w:rsidR="009857B6">
            <w:rPr>
              <w:rFonts w:ascii="Segoe UI" w:hAnsi="Segoe UI" w:cs="Segoe UI"/>
              <w:i/>
              <w:noProof/>
              <w:sz w:val="14"/>
              <w:lang w:val="en-GB"/>
            </w:rPr>
            <w:t>57</w:t>
          </w:r>
          <w:r w:rsidR="004101BF">
            <w:rPr>
              <w:rFonts w:ascii="Segoe UI" w:hAnsi="Segoe UI" w:cs="Segoe UI"/>
              <w:i/>
              <w:sz w:val="14"/>
              <w:lang w:val="en-GB"/>
            </w:rPr>
            <w:fldChar w:fldCharType="end"/>
          </w:r>
          <w:r w:rsidR="004101BF" w:rsidRPr="0032337D">
            <w:rPr>
              <w:rFonts w:ascii="Segoe UI" w:hAnsi="Segoe UI" w:cs="Segoe UI"/>
              <w:i/>
              <w:sz w:val="14"/>
              <w:lang w:val="en-GB"/>
            </w:rPr>
            <w:t>: Average 1-year SME default rates by rating grade</w:t>
          </w:r>
          <w:bookmarkStart w:id="201" w:name="_Toc130806358"/>
          <w:bookmarkEnd w:id="198"/>
          <w:bookmarkEnd w:id="199"/>
          <w:bookmarkEnd w:id="200"/>
        </w:p>
        <w:p w14:paraId="1D69DF13" w14:textId="79B18895" w:rsidR="0048034B" w:rsidRPr="00970A35" w:rsidRDefault="004101BF" w:rsidP="00970A35">
          <w:pPr>
            <w:pStyle w:val="Didascalia"/>
            <w:rPr>
              <w:rFonts w:ascii="Segoe UI" w:hAnsi="Segoe UI" w:cs="Segoe UI"/>
              <w:i/>
              <w:sz w:val="14"/>
              <w:lang w:val="en-GB"/>
            </w:rPr>
          </w:pPr>
          <w:bookmarkStart w:id="202" w:name="_Toc166675699"/>
          <w:bookmarkStart w:id="203" w:name="_Toc167131826"/>
          <w:r w:rsidRPr="00F87407">
            <w:rPr>
              <w:rFonts w:ascii="Segoe UI" w:hAnsi="Segoe UI" w:cs="Segoe UI"/>
              <w:i/>
              <w:sz w:val="14"/>
              <w:lang w:val="en-GB"/>
            </w:rPr>
            <w:t xml:space="preserve">Exhibit </w:t>
          </w:r>
          <w:r w:rsidRPr="00F87407">
            <w:rPr>
              <w:rFonts w:ascii="Segoe UI" w:hAnsi="Segoe UI" w:cs="Segoe UI"/>
              <w:i/>
              <w:sz w:val="14"/>
              <w:lang w:val="en-GB"/>
            </w:rPr>
            <w:fldChar w:fldCharType="begin"/>
          </w:r>
          <w:r w:rsidRPr="00F87407">
            <w:rPr>
              <w:rFonts w:ascii="Segoe UI" w:hAnsi="Segoe UI" w:cs="Segoe UI"/>
              <w:i/>
              <w:sz w:val="14"/>
              <w:lang w:val="en-GB"/>
            </w:rPr>
            <w:instrText xml:space="preserve"> SEQ Exhibit \* ARABIC </w:instrText>
          </w:r>
          <w:r w:rsidRPr="00F87407">
            <w:rPr>
              <w:rFonts w:ascii="Segoe UI" w:hAnsi="Segoe UI" w:cs="Segoe UI"/>
              <w:i/>
              <w:sz w:val="14"/>
              <w:lang w:val="en-GB"/>
            </w:rPr>
            <w:fldChar w:fldCharType="separate"/>
          </w:r>
          <w:r w:rsidR="009857B6">
            <w:rPr>
              <w:rFonts w:ascii="Segoe UI" w:hAnsi="Segoe UI" w:cs="Segoe UI"/>
              <w:i/>
              <w:noProof/>
              <w:sz w:val="14"/>
              <w:lang w:val="en-GB"/>
            </w:rPr>
            <w:t>58</w:t>
          </w:r>
          <w:r w:rsidRPr="00F87407">
            <w:rPr>
              <w:rFonts w:ascii="Segoe UI" w:hAnsi="Segoe UI" w:cs="Segoe UI"/>
              <w:i/>
              <w:sz w:val="14"/>
              <w:lang w:val="en-GB"/>
            </w:rPr>
            <w:fldChar w:fldCharType="end"/>
          </w:r>
          <w:r w:rsidRPr="00F87407">
            <w:rPr>
              <w:rFonts w:ascii="Segoe UI" w:hAnsi="Segoe UI" w:cs="Segoe UI"/>
              <w:i/>
              <w:sz w:val="14"/>
              <w:lang w:val="en-GB"/>
            </w:rPr>
            <w:t>: Average SME default rates by risk area</w:t>
          </w:r>
          <w:bookmarkEnd w:id="201"/>
          <w:bookmarkEnd w:id="202"/>
          <w:bookmarkEnd w:id="203"/>
        </w:p>
        <w:p w14:paraId="3CB3C03F" w14:textId="2E18A6A4" w:rsidR="004101BF" w:rsidRPr="00CD6618" w:rsidRDefault="00BA1AD9" w:rsidP="00CD6618">
          <w:pPr>
            <w:keepNext/>
            <w:jc w:val="center"/>
          </w:pPr>
          <w:r>
            <w:rPr>
              <w:noProof/>
            </w:rPr>
            <w:drawing>
              <wp:inline distT="0" distB="0" distL="0" distR="0" wp14:anchorId="5D000C70" wp14:editId="0408E897">
                <wp:extent cx="6901236" cy="3709035"/>
                <wp:effectExtent l="0" t="0" r="0" b="5715"/>
                <wp:docPr id="172399539" name="Grafico 1">
                  <a:extLst xmlns:a="http://schemas.openxmlformats.org/drawingml/2006/main">
                    <a:ext uri="{FF2B5EF4-FFF2-40B4-BE49-F238E27FC236}">
                      <a16:creationId xmlns:a16="http://schemas.microsoft.com/office/drawing/2014/main" id="{00000000-0008-0000-1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5E1F7EC0" w14:textId="56680EE6" w:rsidR="004101BF" w:rsidRPr="00CD6618" w:rsidRDefault="004101BF" w:rsidP="00CD6618">
          <w:pPr>
            <w:pStyle w:val="Didascalia"/>
            <w:rPr>
              <w:rFonts w:ascii="Segoe UI" w:hAnsi="Segoe UI" w:cs="Segoe UI"/>
              <w:i/>
              <w:sz w:val="14"/>
              <w:lang w:val="en-GB"/>
            </w:rPr>
          </w:pPr>
          <w:bookmarkStart w:id="204" w:name="_Toc130806359"/>
          <w:bookmarkStart w:id="205" w:name="_Toc166675700"/>
          <w:bookmarkStart w:id="206" w:name="_Toc167131827"/>
          <w:r w:rsidRPr="0032337D">
            <w:rPr>
              <w:rFonts w:ascii="Segoe UI" w:hAnsi="Segoe UI" w:cs="Segoe UI"/>
              <w:i/>
              <w:sz w:val="14"/>
              <w:lang w:val="en-GB"/>
            </w:rPr>
            <w:lastRenderedPageBreak/>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59</w:t>
          </w:r>
          <w:r>
            <w:rPr>
              <w:rFonts w:ascii="Segoe UI" w:hAnsi="Segoe UI" w:cs="Segoe UI"/>
              <w:i/>
              <w:sz w:val="14"/>
              <w:lang w:val="en-GB"/>
            </w:rPr>
            <w:fldChar w:fldCharType="end"/>
          </w:r>
          <w:r w:rsidRPr="0032337D">
            <w:rPr>
              <w:rFonts w:ascii="Segoe UI" w:hAnsi="Segoe UI" w:cs="Segoe UI"/>
              <w:i/>
              <w:sz w:val="14"/>
              <w:lang w:val="en-GB"/>
            </w:rPr>
            <w:t>: Breakdown of SME defaulted rated entities by risk area</w:t>
          </w:r>
          <w:bookmarkEnd w:id="204"/>
          <w:bookmarkEnd w:id="205"/>
          <w:bookmarkEnd w:id="206"/>
        </w:p>
        <w:p w14:paraId="3C5FAC5B" w14:textId="74BC8EA2" w:rsidR="00CD6618" w:rsidRDefault="00CD6618" w:rsidP="00CD6618">
          <w:pPr>
            <w:spacing w:before="240"/>
            <w:jc w:val="center"/>
            <w:rPr>
              <w:rFonts w:cs="Segoe UI"/>
              <w:lang w:val="en-GB"/>
            </w:rPr>
          </w:pPr>
          <w:r>
            <w:rPr>
              <w:noProof/>
            </w:rPr>
            <w:drawing>
              <wp:inline distT="0" distB="0" distL="0" distR="0" wp14:anchorId="00B8DE42" wp14:editId="716E2AEE">
                <wp:extent cx="5192201" cy="3387256"/>
                <wp:effectExtent l="0" t="0" r="8890" b="3810"/>
                <wp:docPr id="767610094" name="Grafico 1">
                  <a:extLst xmlns:a="http://schemas.openxmlformats.org/drawingml/2006/main">
                    <a:ext uri="{FF2B5EF4-FFF2-40B4-BE49-F238E27FC236}">
                      <a16:creationId xmlns:a16="http://schemas.microsoft.com/office/drawing/2014/main" id="{00000000-0008-0000-1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5579F800" w14:textId="6A098679" w:rsidR="000E2C15" w:rsidRPr="0032337D" w:rsidRDefault="004101BF" w:rsidP="000E2C15">
          <w:pPr>
            <w:spacing w:before="240"/>
            <w:rPr>
              <w:rFonts w:cs="Segoe UI"/>
              <w:lang w:val="en-GB"/>
            </w:rPr>
          </w:pPr>
          <w:r w:rsidRPr="0032337D">
            <w:rPr>
              <w:rFonts w:cs="Segoe UI"/>
              <w:lang w:val="en-GB"/>
            </w:rPr>
            <w:t>Exhibit 5</w:t>
          </w:r>
          <w:r w:rsidR="004B41FB">
            <w:rPr>
              <w:rFonts w:cs="Segoe UI"/>
              <w:lang w:val="en-GB"/>
            </w:rPr>
            <w:t>7</w:t>
          </w:r>
          <w:r w:rsidRPr="0032337D">
            <w:rPr>
              <w:rFonts w:cs="Segoe UI"/>
              <w:lang w:val="en-GB"/>
            </w:rPr>
            <w:t xml:space="preserve"> </w:t>
          </w:r>
          <w:r w:rsidR="00AD3BB6">
            <w:rPr>
              <w:rFonts w:cs="Segoe UI"/>
              <w:lang w:val="en-GB"/>
            </w:rPr>
            <w:t>portrays</w:t>
          </w:r>
          <w:r w:rsidRPr="0032337D">
            <w:rPr>
              <w:rFonts w:cs="Segoe UI"/>
              <w:lang w:val="en-GB"/>
            </w:rPr>
            <w:t xml:space="preserve"> that the 1-year default rate for </w:t>
          </w:r>
          <w:r w:rsidRPr="0032337D">
            <w:rPr>
              <w:rFonts w:cs="Segoe UI"/>
              <w:i/>
              <w:lang w:val="en-GB"/>
            </w:rPr>
            <w:t>Investment Grade</w:t>
          </w:r>
          <w:r w:rsidRPr="0032337D">
            <w:rPr>
              <w:rFonts w:cs="Segoe UI"/>
              <w:lang w:val="en-GB"/>
            </w:rPr>
            <w:t xml:space="preserve"> rated entities is low,</w:t>
          </w:r>
          <w:r w:rsidR="00FF0B06">
            <w:rPr>
              <w:rFonts w:cs="Segoe UI"/>
              <w:lang w:val="en-GB"/>
            </w:rPr>
            <w:t xml:space="preserve"> a</w:t>
          </w:r>
          <w:r w:rsidRPr="0032337D">
            <w:rPr>
              <w:rFonts w:cs="Segoe UI"/>
              <w:lang w:val="en-GB"/>
            </w:rPr>
            <w:t>verag</w:t>
          </w:r>
          <w:r w:rsidR="000E2C15">
            <w:rPr>
              <w:rFonts w:cs="Segoe UI"/>
              <w:lang w:val="en-GB"/>
            </w:rPr>
            <w:t>ing</w:t>
          </w:r>
          <w:r w:rsidRPr="0032337D">
            <w:rPr>
              <w:rFonts w:cs="Segoe UI"/>
              <w:lang w:val="en-GB"/>
            </w:rPr>
            <w:t xml:space="preserve"> 0.2</w:t>
          </w:r>
          <w:r w:rsidR="004B41FB">
            <w:rPr>
              <w:rFonts w:cs="Segoe UI"/>
              <w:lang w:val="en-GB"/>
            </w:rPr>
            <w:t>7</w:t>
          </w:r>
          <w:r w:rsidRPr="0032337D">
            <w:rPr>
              <w:rFonts w:cs="Segoe UI"/>
              <w:lang w:val="en-GB"/>
            </w:rPr>
            <w:t>%</w:t>
          </w:r>
          <w:r w:rsidR="00FF0B06">
            <w:rPr>
              <w:rFonts w:cs="Segoe UI"/>
              <w:lang w:val="en-GB"/>
            </w:rPr>
            <w:t xml:space="preserve"> throughout the considered time span.</w:t>
          </w:r>
          <w:r w:rsidRPr="0032337D">
            <w:rPr>
              <w:rFonts w:cs="Segoe UI"/>
              <w:lang w:val="en-GB"/>
            </w:rPr>
            <w:t xml:space="preserve"> </w:t>
          </w:r>
          <w:r w:rsidR="0085520E">
            <w:rPr>
              <w:rFonts w:cs="Segoe UI"/>
              <w:lang w:val="en-GB"/>
            </w:rPr>
            <w:t>The value is therefore</w:t>
          </w:r>
          <w:r w:rsidRPr="0032337D">
            <w:rPr>
              <w:rFonts w:cs="Segoe UI"/>
              <w:lang w:val="en-GB"/>
            </w:rPr>
            <w:t xml:space="preserve"> significantly lower than</w:t>
          </w:r>
          <w:r w:rsidR="0058285B">
            <w:rPr>
              <w:rFonts w:cs="Segoe UI"/>
              <w:lang w:val="en-GB"/>
            </w:rPr>
            <w:t xml:space="preserve"> both</w:t>
          </w:r>
          <w:r w:rsidRPr="0032337D">
            <w:rPr>
              <w:rFonts w:cs="Segoe UI"/>
              <w:lang w:val="en-GB"/>
            </w:rPr>
            <w:t xml:space="preserve"> the average default rates of SMEs (</w:t>
          </w:r>
          <w:r>
            <w:rPr>
              <w:rFonts w:cs="Segoe UI"/>
              <w:lang w:val="en-GB"/>
            </w:rPr>
            <w:t>2</w:t>
          </w:r>
          <w:r w:rsidRPr="0032337D">
            <w:rPr>
              <w:rFonts w:cs="Segoe UI"/>
              <w:lang w:val="en-GB"/>
            </w:rPr>
            <w:t>.</w:t>
          </w:r>
          <w:r>
            <w:rPr>
              <w:rFonts w:cs="Segoe UI"/>
              <w:lang w:val="en-GB"/>
            </w:rPr>
            <w:t>7</w:t>
          </w:r>
          <w:r w:rsidR="00A038AF">
            <w:rPr>
              <w:rFonts w:cs="Segoe UI"/>
              <w:lang w:val="en-GB"/>
            </w:rPr>
            <w:t>2</w:t>
          </w:r>
          <w:r w:rsidRPr="0032337D">
            <w:rPr>
              <w:rFonts w:cs="Segoe UI"/>
              <w:lang w:val="en-GB"/>
            </w:rPr>
            <w:t>%)</w:t>
          </w:r>
          <w:r w:rsidR="0058285B">
            <w:rPr>
              <w:rFonts w:cs="Segoe UI"/>
              <w:lang w:val="en-GB"/>
            </w:rPr>
            <w:t xml:space="preserve"> and the</w:t>
          </w:r>
          <w:r w:rsidR="00905FCE">
            <w:rPr>
              <w:rFonts w:cs="Segoe UI"/>
              <w:lang w:val="en-GB"/>
            </w:rPr>
            <w:t xml:space="preserve"> average</w:t>
          </w:r>
          <w:r w:rsidR="0058285B">
            <w:rPr>
              <w:rFonts w:cs="Segoe UI"/>
              <w:lang w:val="en-GB"/>
            </w:rPr>
            <w:t xml:space="preserve"> 1-year default rate</w:t>
          </w:r>
          <w:r w:rsidRPr="0032337D">
            <w:rPr>
              <w:rFonts w:cs="Segoe UI"/>
              <w:lang w:val="en-GB"/>
            </w:rPr>
            <w:t xml:space="preserve"> </w:t>
          </w:r>
          <w:r w:rsidR="0058285B">
            <w:rPr>
              <w:rFonts w:cs="Segoe UI"/>
              <w:lang w:val="en-GB"/>
            </w:rPr>
            <w:t>for</w:t>
          </w:r>
          <w:r w:rsidRPr="0032337D">
            <w:rPr>
              <w:rFonts w:cs="Segoe UI"/>
              <w:lang w:val="en-GB"/>
            </w:rPr>
            <w:t xml:space="preserve"> the </w:t>
          </w:r>
          <w:r w:rsidRPr="0032337D">
            <w:rPr>
              <w:rFonts w:cs="Segoe UI"/>
              <w:i/>
              <w:lang w:val="en-GB"/>
            </w:rPr>
            <w:t>Speculative Grade</w:t>
          </w:r>
          <w:r w:rsidRPr="0032337D">
            <w:rPr>
              <w:rFonts w:cs="Segoe UI"/>
              <w:lang w:val="en-GB"/>
            </w:rPr>
            <w:t xml:space="preserve"> portfolio, </w:t>
          </w:r>
          <w:r w:rsidR="0058285B">
            <w:rPr>
              <w:rFonts w:cs="Segoe UI"/>
              <w:lang w:val="en-GB"/>
            </w:rPr>
            <w:t xml:space="preserve">equal to </w:t>
          </w:r>
          <w:r>
            <w:rPr>
              <w:rFonts w:cs="Segoe UI"/>
              <w:lang w:val="en-GB"/>
            </w:rPr>
            <w:t>5</w:t>
          </w:r>
          <w:r w:rsidRPr="0032337D">
            <w:rPr>
              <w:rFonts w:cs="Segoe UI"/>
              <w:lang w:val="en-GB"/>
            </w:rPr>
            <w:t>.</w:t>
          </w:r>
          <w:r w:rsidR="00A038AF">
            <w:rPr>
              <w:rFonts w:cs="Segoe UI"/>
              <w:lang w:val="en-GB"/>
            </w:rPr>
            <w:t>64</w:t>
          </w:r>
          <w:r w:rsidRPr="0032337D">
            <w:rPr>
              <w:rFonts w:cs="Segoe UI"/>
              <w:lang w:val="en-GB"/>
            </w:rPr>
            <w:t>%.</w:t>
          </w:r>
        </w:p>
        <w:p w14:paraId="624F1865" w14:textId="4CFBB528" w:rsidR="004101BF" w:rsidRPr="0032337D" w:rsidRDefault="00CF7B1E" w:rsidP="004101BF">
          <w:pPr>
            <w:rPr>
              <w:rFonts w:cs="Segoe UI"/>
              <w:lang w:val="en-GB"/>
            </w:rPr>
          </w:pPr>
          <w:r>
            <w:rPr>
              <w:rFonts w:cs="Segoe UI"/>
              <w:lang w:val="en-GB"/>
            </w:rPr>
            <w:t>Interestingly, e</w:t>
          </w:r>
          <w:r w:rsidR="004101BF" w:rsidRPr="0032337D">
            <w:rPr>
              <w:rFonts w:cs="Segoe UI"/>
              <w:lang w:val="en-GB"/>
            </w:rPr>
            <w:t>xhibit 5</w:t>
          </w:r>
          <w:r w:rsidR="00905FCE">
            <w:rPr>
              <w:rFonts w:cs="Segoe UI"/>
              <w:lang w:val="en-GB"/>
            </w:rPr>
            <w:t>8</w:t>
          </w:r>
          <w:r w:rsidR="004101BF" w:rsidRPr="0032337D">
            <w:rPr>
              <w:rFonts w:cs="Segoe UI"/>
              <w:lang w:val="en-GB"/>
            </w:rPr>
            <w:t xml:space="preserve"> </w:t>
          </w:r>
          <w:r>
            <w:rPr>
              <w:rFonts w:cs="Segoe UI"/>
              <w:lang w:val="en-GB"/>
            </w:rPr>
            <w:t>show</w:t>
          </w:r>
          <w:r w:rsidR="004101BF" w:rsidRPr="0032337D">
            <w:rPr>
              <w:rFonts w:cs="Segoe UI"/>
              <w:lang w:val="en-GB"/>
            </w:rPr>
            <w:t xml:space="preserve">s </w:t>
          </w:r>
          <w:r>
            <w:rPr>
              <w:rFonts w:cs="Segoe UI"/>
              <w:lang w:val="en-GB"/>
            </w:rPr>
            <w:t>how</w:t>
          </w:r>
          <w:r w:rsidR="004101BF" w:rsidRPr="0032337D">
            <w:rPr>
              <w:rFonts w:cs="Segoe UI"/>
              <w:lang w:val="en-GB"/>
            </w:rPr>
            <w:t xml:space="preserve"> the </w:t>
          </w:r>
          <w:r w:rsidR="004101BF" w:rsidRPr="0032337D">
            <w:rPr>
              <w:rFonts w:cs="Segoe UI"/>
              <w:i/>
              <w:lang w:val="en-GB"/>
            </w:rPr>
            <w:t>Vulnerability Area</w:t>
          </w:r>
          <w:r w:rsidR="004101BF" w:rsidRPr="0032337D">
            <w:rPr>
              <w:rFonts w:cs="Segoe UI"/>
              <w:lang w:val="en-GB"/>
            </w:rPr>
            <w:t xml:space="preserve"> is characterised by a</w:t>
          </w:r>
          <w:r>
            <w:rPr>
              <w:rFonts w:cs="Segoe UI"/>
              <w:lang w:val="en-GB"/>
            </w:rPr>
            <w:t xml:space="preserve"> lower</w:t>
          </w:r>
          <w:r w:rsidR="004101BF" w:rsidRPr="0032337D">
            <w:rPr>
              <w:rFonts w:cs="Segoe UI"/>
              <w:lang w:val="en-GB"/>
            </w:rPr>
            <w:t xml:space="preserve"> average risk than the</w:t>
          </w:r>
          <w:r w:rsidR="002C7427">
            <w:rPr>
              <w:rFonts w:cs="Segoe UI"/>
              <w:lang w:val="en-GB"/>
            </w:rPr>
            <w:t xml:space="preserve"> SMEs’</w:t>
          </w:r>
          <w:r w:rsidR="004101BF" w:rsidRPr="0032337D">
            <w:rPr>
              <w:rFonts w:cs="Segoe UI"/>
              <w:lang w:val="en-GB"/>
            </w:rPr>
            <w:t xml:space="preserve"> average of SMEs (i.e. </w:t>
          </w:r>
          <w:r w:rsidR="004101BF">
            <w:rPr>
              <w:rFonts w:cs="Segoe UI"/>
              <w:lang w:val="en-GB"/>
            </w:rPr>
            <w:t>1</w:t>
          </w:r>
          <w:r w:rsidR="004101BF" w:rsidRPr="0032337D">
            <w:rPr>
              <w:rFonts w:cs="Segoe UI"/>
              <w:lang w:val="en-GB"/>
            </w:rPr>
            <w:t>.</w:t>
          </w:r>
          <w:r w:rsidR="004101BF">
            <w:rPr>
              <w:rFonts w:cs="Segoe UI"/>
              <w:lang w:val="en-GB"/>
            </w:rPr>
            <w:t>8</w:t>
          </w:r>
          <w:r w:rsidR="002C7427">
            <w:rPr>
              <w:rFonts w:cs="Segoe UI"/>
              <w:lang w:val="en-GB"/>
            </w:rPr>
            <w:t>0</w:t>
          </w:r>
          <w:r w:rsidR="004101BF" w:rsidRPr="0032337D">
            <w:rPr>
              <w:rFonts w:cs="Segoe UI"/>
              <w:lang w:val="en-GB"/>
            </w:rPr>
            <w:t xml:space="preserve">% vs. </w:t>
          </w:r>
          <w:r w:rsidR="004101BF">
            <w:rPr>
              <w:rFonts w:cs="Segoe UI"/>
              <w:lang w:val="en-GB"/>
            </w:rPr>
            <w:t>2</w:t>
          </w:r>
          <w:r w:rsidR="004101BF" w:rsidRPr="0032337D">
            <w:rPr>
              <w:rFonts w:cs="Segoe UI"/>
              <w:lang w:val="en-GB"/>
            </w:rPr>
            <w:t>.</w:t>
          </w:r>
          <w:r w:rsidR="004101BF">
            <w:rPr>
              <w:rFonts w:cs="Segoe UI"/>
              <w:lang w:val="en-GB"/>
            </w:rPr>
            <w:t>7</w:t>
          </w:r>
          <w:r w:rsidR="002C7427">
            <w:rPr>
              <w:rFonts w:cs="Segoe UI"/>
              <w:lang w:val="en-GB"/>
            </w:rPr>
            <w:t>2</w:t>
          </w:r>
          <w:r w:rsidR="004101BF" w:rsidRPr="0032337D">
            <w:rPr>
              <w:rFonts w:cs="Segoe UI"/>
              <w:lang w:val="en-GB"/>
            </w:rPr>
            <w:t xml:space="preserve">%), while the </w:t>
          </w:r>
          <w:r w:rsidR="004101BF" w:rsidRPr="0032337D">
            <w:rPr>
              <w:rFonts w:cs="Segoe UI"/>
              <w:i/>
              <w:lang w:val="en-GB"/>
            </w:rPr>
            <w:t>Risk Area</w:t>
          </w:r>
          <w:r w:rsidR="004101BF" w:rsidRPr="0032337D">
            <w:rPr>
              <w:rFonts w:cs="Segoe UI"/>
              <w:lang w:val="en-GB"/>
            </w:rPr>
            <w:t xml:space="preserve"> records a high default rate (</w:t>
          </w:r>
          <w:r w:rsidR="00C45504">
            <w:rPr>
              <w:rFonts w:cs="Segoe UI"/>
              <w:lang w:val="en-GB"/>
            </w:rPr>
            <w:t>15</w:t>
          </w:r>
          <w:r w:rsidR="004101BF" w:rsidRPr="0032337D">
            <w:rPr>
              <w:rFonts w:cs="Segoe UI"/>
              <w:lang w:val="en-GB"/>
            </w:rPr>
            <w:t>.</w:t>
          </w:r>
          <w:r w:rsidR="00C45504">
            <w:rPr>
              <w:rFonts w:cs="Segoe UI"/>
              <w:lang w:val="en-GB"/>
            </w:rPr>
            <w:t>94</w:t>
          </w:r>
          <w:r w:rsidR="004101BF" w:rsidRPr="0032337D">
            <w:rPr>
              <w:rFonts w:cs="Segoe UI"/>
              <w:lang w:val="en-GB"/>
            </w:rPr>
            <w:t xml:space="preserve">%). Within </w:t>
          </w:r>
          <w:r w:rsidR="004101BF" w:rsidRPr="0032337D">
            <w:rPr>
              <w:rFonts w:cs="Segoe UI"/>
              <w:i/>
              <w:lang w:val="en-GB"/>
            </w:rPr>
            <w:t>Investment Grade</w:t>
          </w:r>
          <w:r w:rsidR="004101BF" w:rsidRPr="0032337D">
            <w:rPr>
              <w:rFonts w:cs="Segoe UI"/>
              <w:lang w:val="en-GB"/>
            </w:rPr>
            <w:t xml:space="preserve">, the </w:t>
          </w:r>
          <w:r w:rsidR="004101BF" w:rsidRPr="0032337D">
            <w:rPr>
              <w:rFonts w:cs="Segoe UI"/>
              <w:i/>
              <w:lang w:val="en-GB"/>
            </w:rPr>
            <w:t>Safety Area</w:t>
          </w:r>
          <w:r w:rsidR="004101BF" w:rsidRPr="0032337D">
            <w:rPr>
              <w:rFonts w:cs="Segoe UI"/>
              <w:lang w:val="en-GB"/>
            </w:rPr>
            <w:t xml:space="preserve"> shows a default rate of 0.04% and the </w:t>
          </w:r>
          <w:r w:rsidR="004101BF" w:rsidRPr="0032337D">
            <w:rPr>
              <w:rFonts w:cs="Segoe UI"/>
              <w:i/>
              <w:lang w:val="en-GB"/>
            </w:rPr>
            <w:t>Solvency Area</w:t>
          </w:r>
          <w:r w:rsidR="004101BF" w:rsidRPr="0032337D">
            <w:rPr>
              <w:rFonts w:cs="Segoe UI"/>
              <w:lang w:val="en-GB"/>
            </w:rPr>
            <w:t xml:space="preserve"> a default rate of 0.3</w:t>
          </w:r>
          <w:r w:rsidR="004101BF">
            <w:rPr>
              <w:rFonts w:cs="Segoe UI"/>
              <w:lang w:val="en-GB"/>
            </w:rPr>
            <w:t>6</w:t>
          </w:r>
          <w:r w:rsidR="004101BF" w:rsidRPr="0032337D">
            <w:rPr>
              <w:rFonts w:cs="Segoe UI"/>
              <w:lang w:val="en-GB"/>
            </w:rPr>
            <w:t>%.</w:t>
          </w:r>
        </w:p>
        <w:p w14:paraId="0F67D08F" w14:textId="5AEC41F9" w:rsidR="004101BF" w:rsidRPr="0032337D" w:rsidRDefault="004101BF" w:rsidP="004101BF">
          <w:pPr>
            <w:rPr>
              <w:rFonts w:cs="Segoe UI"/>
              <w:color w:val="1F85BB"/>
              <w:sz w:val="24"/>
              <w:szCs w:val="32"/>
              <w:lang w:val="en-GB"/>
            </w:rPr>
          </w:pPr>
          <w:r w:rsidRPr="0032337D">
            <w:rPr>
              <w:rFonts w:cs="Segoe UI"/>
              <w:lang w:val="en-GB"/>
            </w:rPr>
            <w:t>From 2009 to 202</w:t>
          </w:r>
          <w:r w:rsidR="005A1152">
            <w:rPr>
              <w:rFonts w:cs="Segoe UI"/>
              <w:lang w:val="en-GB"/>
            </w:rPr>
            <w:t>3</w:t>
          </w:r>
          <w:r w:rsidRPr="0032337D">
            <w:rPr>
              <w:rFonts w:cs="Segoe UI"/>
              <w:lang w:val="en-GB"/>
            </w:rPr>
            <w:t xml:space="preserve">, </w:t>
          </w:r>
          <w:r w:rsidRPr="0086425E">
            <w:rPr>
              <w:rFonts w:cs="Segoe UI"/>
              <w:lang w:val="en-GB"/>
            </w:rPr>
            <w:t>8</w:t>
          </w:r>
          <w:r>
            <w:rPr>
              <w:rFonts w:cs="Segoe UI"/>
              <w:lang w:val="en-GB"/>
            </w:rPr>
            <w:t>,</w:t>
          </w:r>
          <w:r w:rsidRPr="0086425E">
            <w:rPr>
              <w:rFonts w:cs="Segoe UI"/>
              <w:lang w:val="en-GB"/>
            </w:rPr>
            <w:t>6</w:t>
          </w:r>
          <w:r w:rsidR="00D33ECB">
            <w:rPr>
              <w:rFonts w:cs="Segoe UI"/>
              <w:lang w:val="en-GB"/>
            </w:rPr>
            <w:t>96</w:t>
          </w:r>
          <w:r w:rsidRPr="0032337D">
            <w:rPr>
              <w:rFonts w:cs="Segoe UI"/>
              <w:lang w:val="en-GB"/>
            </w:rPr>
            <w:t xml:space="preserve"> default events occurred in a 1-y time horizon, the vast majority</w:t>
          </w:r>
          <w:r w:rsidR="00D33ECB">
            <w:rPr>
              <w:rFonts w:cs="Segoe UI"/>
              <w:lang w:val="en-GB"/>
            </w:rPr>
            <w:t xml:space="preserve"> of which</w:t>
          </w:r>
          <w:r w:rsidRPr="0032337D">
            <w:rPr>
              <w:rFonts w:cs="Segoe UI"/>
              <w:lang w:val="en-GB"/>
            </w:rPr>
            <w:t xml:space="preserve"> </w:t>
          </w:r>
          <w:r w:rsidR="00D33ECB">
            <w:rPr>
              <w:rFonts w:cs="Segoe UI"/>
              <w:lang w:val="en-GB"/>
            </w:rPr>
            <w:t>concerned</w:t>
          </w:r>
          <w:r w:rsidRPr="0032337D">
            <w:rPr>
              <w:rFonts w:cs="Segoe UI"/>
              <w:lang w:val="en-GB"/>
            </w:rPr>
            <w:t xml:space="preserve"> </w:t>
          </w:r>
          <w:r w:rsidRPr="0032337D">
            <w:rPr>
              <w:rFonts w:cs="Segoe UI"/>
              <w:i/>
              <w:lang w:val="en-GB"/>
            </w:rPr>
            <w:t>Risk</w:t>
          </w:r>
          <w:r w:rsidRPr="0032337D">
            <w:rPr>
              <w:rFonts w:cs="Segoe UI"/>
              <w:lang w:val="en-GB"/>
            </w:rPr>
            <w:t xml:space="preserve"> (72.</w:t>
          </w:r>
          <w:r w:rsidR="00D33ECB">
            <w:rPr>
              <w:rFonts w:cs="Segoe UI"/>
              <w:lang w:val="en-GB"/>
            </w:rPr>
            <w:t>55</w:t>
          </w:r>
          <w:r w:rsidRPr="0032337D">
            <w:rPr>
              <w:rFonts w:cs="Segoe UI"/>
              <w:lang w:val="en-GB"/>
            </w:rPr>
            <w:t xml:space="preserve">%) or </w:t>
          </w:r>
          <w:r w:rsidRPr="0032337D">
            <w:rPr>
              <w:rFonts w:cs="Segoe UI"/>
              <w:i/>
              <w:lang w:val="en-GB"/>
            </w:rPr>
            <w:t>Vulnerability</w:t>
          </w:r>
          <w:r w:rsidRPr="0032337D">
            <w:rPr>
              <w:rFonts w:cs="Segoe UI"/>
              <w:lang w:val="en-GB"/>
            </w:rPr>
            <w:t xml:space="preserve"> (2</w:t>
          </w:r>
          <w:r w:rsidR="00D33ECB">
            <w:rPr>
              <w:rFonts w:cs="Segoe UI"/>
              <w:lang w:val="en-GB"/>
            </w:rPr>
            <w:t>2</w:t>
          </w:r>
          <w:r w:rsidRPr="0032337D">
            <w:rPr>
              <w:rFonts w:cs="Segoe UI"/>
              <w:lang w:val="en-GB"/>
            </w:rPr>
            <w:t>.</w:t>
          </w:r>
          <w:r w:rsidR="00D33ECB">
            <w:rPr>
              <w:rFonts w:cs="Segoe UI"/>
              <w:lang w:val="en-GB"/>
            </w:rPr>
            <w:t>06</w:t>
          </w:r>
          <w:r w:rsidRPr="0032337D">
            <w:rPr>
              <w:rFonts w:cs="Segoe UI"/>
              <w:lang w:val="en-GB"/>
            </w:rPr>
            <w:t xml:space="preserve">%) areas. </w:t>
          </w:r>
          <w:r w:rsidR="00D33ECB">
            <w:rPr>
              <w:rFonts w:cs="Segoe UI"/>
              <w:lang w:val="en-GB"/>
            </w:rPr>
            <w:t>Only</w:t>
          </w:r>
          <w:r w:rsidRPr="0032337D">
            <w:rPr>
              <w:rFonts w:cs="Segoe UI"/>
              <w:lang w:val="en-GB"/>
            </w:rPr>
            <w:t xml:space="preserve"> </w:t>
          </w:r>
          <w:r w:rsidR="00D33ECB">
            <w:rPr>
              <w:rFonts w:cs="Segoe UI"/>
              <w:lang w:val="en-GB"/>
            </w:rPr>
            <w:t xml:space="preserve">20 </w:t>
          </w:r>
          <w:r w:rsidRPr="0032337D">
            <w:rPr>
              <w:rFonts w:cs="Segoe UI"/>
              <w:lang w:val="en-GB"/>
            </w:rPr>
            <w:t xml:space="preserve">defaults occurred in the </w:t>
          </w:r>
          <w:r w:rsidRPr="0032337D">
            <w:rPr>
              <w:rFonts w:cs="Segoe UI"/>
              <w:i/>
              <w:lang w:val="en-GB"/>
            </w:rPr>
            <w:t>Safety Area</w:t>
          </w:r>
          <w:r w:rsidRPr="0032337D">
            <w:rPr>
              <w:rFonts w:cs="Segoe UI"/>
              <w:lang w:val="en-GB"/>
            </w:rPr>
            <w:t xml:space="preserve"> (0.2</w:t>
          </w:r>
          <w:r w:rsidR="00D33ECB">
            <w:rPr>
              <w:rFonts w:cs="Segoe UI"/>
              <w:lang w:val="en-GB"/>
            </w:rPr>
            <w:t>3</w:t>
          </w:r>
          <w:r w:rsidRPr="0032337D">
            <w:rPr>
              <w:rFonts w:cs="Segoe UI"/>
              <w:lang w:val="en-GB"/>
            </w:rPr>
            <w:t>%) and 44</w:t>
          </w:r>
          <w:r w:rsidR="00243336">
            <w:rPr>
              <w:rFonts w:cs="Segoe UI"/>
              <w:lang w:val="en-GB"/>
            </w:rPr>
            <w:t>9</w:t>
          </w:r>
          <w:r w:rsidRPr="0032337D">
            <w:rPr>
              <w:rFonts w:cs="Segoe UI"/>
              <w:lang w:val="en-GB"/>
            </w:rPr>
            <w:t xml:space="preserve"> defaults in the </w:t>
          </w:r>
          <w:r w:rsidRPr="0032337D">
            <w:rPr>
              <w:rFonts w:cs="Segoe UI"/>
              <w:i/>
              <w:lang w:val="en-GB"/>
            </w:rPr>
            <w:t>Solvency</w:t>
          </w:r>
          <w:r w:rsidRPr="0032337D">
            <w:rPr>
              <w:rFonts w:cs="Segoe UI"/>
              <w:lang w:val="en-GB"/>
            </w:rPr>
            <w:t xml:space="preserve"> </w:t>
          </w:r>
          <w:r w:rsidRPr="0032337D">
            <w:rPr>
              <w:rFonts w:cs="Segoe UI"/>
              <w:i/>
              <w:lang w:val="en-GB"/>
            </w:rPr>
            <w:t>Area</w:t>
          </w:r>
          <w:r w:rsidRPr="0032337D">
            <w:rPr>
              <w:rFonts w:cs="Segoe UI"/>
              <w:lang w:val="en-GB"/>
            </w:rPr>
            <w:t xml:space="preserve"> (5.</w:t>
          </w:r>
          <w:r>
            <w:rPr>
              <w:rFonts w:cs="Segoe UI"/>
              <w:lang w:val="en-GB"/>
            </w:rPr>
            <w:t>1</w:t>
          </w:r>
          <w:r w:rsidR="00243336">
            <w:rPr>
              <w:rFonts w:cs="Segoe UI"/>
              <w:lang w:val="en-GB"/>
            </w:rPr>
            <w:t>6</w:t>
          </w:r>
          <w:r w:rsidRPr="0032337D">
            <w:rPr>
              <w:rFonts w:cs="Segoe UI"/>
              <w:lang w:val="en-GB"/>
            </w:rPr>
            <w:t>%).</w:t>
          </w:r>
        </w:p>
        <w:p w14:paraId="1CB8A6B6" w14:textId="77777777" w:rsidR="004101BF" w:rsidRPr="006114C7" w:rsidRDefault="004101BF" w:rsidP="004101BF">
          <w:pPr>
            <w:pStyle w:val="Titolo3"/>
            <w:rPr>
              <w:lang w:val="en-GB"/>
            </w:rPr>
          </w:pPr>
          <w:bookmarkStart w:id="207" w:name="_Toc130806406"/>
          <w:bookmarkStart w:id="208" w:name="_Toc167131727"/>
          <w:r w:rsidRPr="006114C7">
            <w:rPr>
              <w:lang w:val="en-GB"/>
            </w:rPr>
            <w:t>Cumulative Default Rates</w:t>
          </w:r>
          <w:bookmarkEnd w:id="207"/>
          <w:bookmarkEnd w:id="208"/>
        </w:p>
        <w:p w14:paraId="72E066C3" w14:textId="553D97A2" w:rsidR="004101BF" w:rsidRPr="0032337D" w:rsidRDefault="004101BF" w:rsidP="004101BF">
          <w:pPr>
            <w:rPr>
              <w:rFonts w:cs="Segoe UI"/>
              <w:lang w:val="en-GB"/>
            </w:rPr>
          </w:pPr>
          <w:r w:rsidRPr="0032337D">
            <w:rPr>
              <w:rFonts w:cs="Segoe UI"/>
              <w:lang w:val="en-GB"/>
            </w:rPr>
            <w:t>This paragraph reports the 1</w:t>
          </w:r>
          <w:r w:rsidR="006B48B5">
            <w:rPr>
              <w:rFonts w:cs="Segoe UI"/>
              <w:lang w:val="en-GB"/>
            </w:rPr>
            <w:t>-</w:t>
          </w:r>
          <w:r w:rsidRPr="0032337D">
            <w:rPr>
              <w:rFonts w:cs="Segoe UI"/>
              <w:lang w:val="en-GB"/>
            </w:rPr>
            <w:t>year to 5</w:t>
          </w:r>
          <w:r w:rsidR="006B48B5">
            <w:rPr>
              <w:rFonts w:cs="Segoe UI"/>
              <w:lang w:val="en-GB"/>
            </w:rPr>
            <w:t>-</w:t>
          </w:r>
          <w:r w:rsidRPr="0032337D">
            <w:rPr>
              <w:rFonts w:cs="Segoe UI"/>
              <w:lang w:val="en-GB"/>
            </w:rPr>
            <w:t>years Cumulative Default Rates</w:t>
          </w:r>
          <w:r w:rsidR="006B48B5">
            <w:rPr>
              <w:rFonts w:cs="Segoe UI"/>
              <w:lang w:val="en-GB"/>
            </w:rPr>
            <w:t xml:space="preserve"> of SMEs</w:t>
          </w:r>
          <w:r w:rsidRPr="0032337D">
            <w:rPr>
              <w:rFonts w:cs="Segoe UI"/>
              <w:lang w:val="en-GB"/>
            </w:rPr>
            <w:t>.</w:t>
          </w:r>
        </w:p>
        <w:p w14:paraId="4ACD75A9" w14:textId="3A0972A8" w:rsidR="004101BF" w:rsidRPr="0032337D" w:rsidRDefault="004101BF" w:rsidP="00DB41A7">
          <w:pPr>
            <w:pStyle w:val="Didascalia"/>
            <w:rPr>
              <w:rFonts w:cs="Segoe UI"/>
              <w:lang w:val="en-GB"/>
            </w:rPr>
          </w:pPr>
          <w:bookmarkStart w:id="209" w:name="_Toc130806360"/>
          <w:bookmarkStart w:id="210" w:name="_Toc166675701"/>
          <w:bookmarkStart w:id="211" w:name="_Toc167131828"/>
          <w:r w:rsidRPr="0032337D">
            <w:rPr>
              <w:rFonts w:ascii="Segoe UI" w:hAnsi="Segoe UI" w:cs="Segoe UI"/>
              <w:i/>
              <w:sz w:val="14"/>
              <w:lang w:val="en-GB"/>
            </w:rPr>
            <w:lastRenderedPageBreak/>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60</w:t>
          </w:r>
          <w:r>
            <w:rPr>
              <w:rFonts w:ascii="Segoe UI" w:hAnsi="Segoe UI" w:cs="Segoe UI"/>
              <w:i/>
              <w:sz w:val="14"/>
              <w:lang w:val="en-GB"/>
            </w:rPr>
            <w:fldChar w:fldCharType="end"/>
          </w:r>
          <w:r w:rsidRPr="0032337D">
            <w:rPr>
              <w:rFonts w:ascii="Segoe UI" w:hAnsi="Segoe UI" w:cs="Segoe UI"/>
              <w:i/>
              <w:sz w:val="14"/>
              <w:lang w:val="en-GB"/>
            </w:rPr>
            <w:t>: Cumulative SME default rates</w:t>
          </w:r>
          <w:bookmarkEnd w:id="209"/>
          <w:bookmarkEnd w:id="210"/>
          <w:bookmarkEnd w:id="211"/>
        </w:p>
        <w:p w14:paraId="5EDDCB8B" w14:textId="4D7ECBA4" w:rsidR="00171B9B" w:rsidRDefault="009D7467" w:rsidP="004D5808">
          <w:pPr>
            <w:jc w:val="center"/>
            <w:rPr>
              <w:rFonts w:cs="Segoe UI"/>
              <w:lang w:val="en-GB"/>
            </w:rPr>
          </w:pPr>
          <w:r>
            <w:rPr>
              <w:noProof/>
            </w:rPr>
            <w:drawing>
              <wp:inline distT="0" distB="0" distL="0" distR="0" wp14:anchorId="0EE920FB" wp14:editId="7CD58A87">
                <wp:extent cx="6655241" cy="3204375"/>
                <wp:effectExtent l="0" t="0" r="0" b="0"/>
                <wp:docPr id="1401075268" name="Grafico 1">
                  <a:extLst xmlns:a="http://schemas.openxmlformats.org/drawingml/2006/main">
                    <a:ext uri="{FF2B5EF4-FFF2-40B4-BE49-F238E27FC236}">
                      <a16:creationId xmlns:a16="http://schemas.microsoft.com/office/drawing/2014/main" id="{00000000-0008-0000-1F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59A73635" w14:textId="2B4EC2D5" w:rsidR="004101BF" w:rsidRDefault="004101BF" w:rsidP="00211FAB">
          <w:pPr>
            <w:rPr>
              <w:sz w:val="24"/>
              <w:szCs w:val="32"/>
              <w:lang w:val="en-GB"/>
            </w:rPr>
          </w:pPr>
          <w:r w:rsidRPr="0032337D">
            <w:rPr>
              <w:rFonts w:cs="Segoe UI"/>
              <w:lang w:val="en-GB"/>
            </w:rPr>
            <w:t xml:space="preserve">With the extension of the time horizon, Cumulative Default Rates for SMEs increase from </w:t>
          </w:r>
          <w:r>
            <w:rPr>
              <w:rFonts w:cs="Segoe UI"/>
              <w:lang w:val="en-GB"/>
            </w:rPr>
            <w:t>2</w:t>
          </w:r>
          <w:r w:rsidRPr="0032337D">
            <w:rPr>
              <w:rFonts w:cs="Segoe UI"/>
              <w:lang w:val="en-GB"/>
            </w:rPr>
            <w:t>.</w:t>
          </w:r>
          <w:r>
            <w:rPr>
              <w:rFonts w:cs="Segoe UI"/>
              <w:lang w:val="en-GB"/>
            </w:rPr>
            <w:t>7</w:t>
          </w:r>
          <w:r w:rsidR="004D5808">
            <w:rPr>
              <w:rFonts w:cs="Segoe UI"/>
              <w:lang w:val="en-GB"/>
            </w:rPr>
            <w:t>2</w:t>
          </w:r>
          <w:r w:rsidRPr="0032337D">
            <w:rPr>
              <w:rFonts w:cs="Segoe UI"/>
              <w:lang w:val="en-GB"/>
            </w:rPr>
            <w:t xml:space="preserve">% </w:t>
          </w:r>
          <w:r w:rsidR="004D5808">
            <w:rPr>
              <w:rFonts w:cs="Segoe UI"/>
              <w:lang w:val="en-GB"/>
            </w:rPr>
            <w:t>for the</w:t>
          </w:r>
          <w:r w:rsidRPr="0032337D">
            <w:rPr>
              <w:rFonts w:cs="Segoe UI"/>
              <w:lang w:val="en-GB"/>
            </w:rPr>
            <w:t xml:space="preserve"> 1-y time horizon to 1</w:t>
          </w:r>
          <w:r>
            <w:rPr>
              <w:rFonts w:cs="Segoe UI"/>
              <w:lang w:val="en-GB"/>
            </w:rPr>
            <w:t>2</w:t>
          </w:r>
          <w:r w:rsidRPr="0032337D">
            <w:rPr>
              <w:rFonts w:cs="Segoe UI"/>
              <w:lang w:val="en-GB"/>
            </w:rPr>
            <w:t>.</w:t>
          </w:r>
          <w:r w:rsidR="004D5808">
            <w:rPr>
              <w:rFonts w:cs="Segoe UI"/>
              <w:lang w:val="en-GB"/>
            </w:rPr>
            <w:t>06</w:t>
          </w:r>
          <w:r w:rsidRPr="0032337D">
            <w:rPr>
              <w:rFonts w:cs="Segoe UI"/>
              <w:lang w:val="en-GB"/>
            </w:rPr>
            <w:t xml:space="preserve">% </w:t>
          </w:r>
          <w:r w:rsidR="004D5808">
            <w:rPr>
              <w:rFonts w:cs="Segoe UI"/>
              <w:lang w:val="en-GB"/>
            </w:rPr>
            <w:t>for the</w:t>
          </w:r>
          <w:r w:rsidRPr="0032337D">
            <w:rPr>
              <w:rFonts w:cs="Segoe UI"/>
              <w:lang w:val="en-GB"/>
            </w:rPr>
            <w:t xml:space="preserve"> 5-y time horizon.</w:t>
          </w:r>
        </w:p>
        <w:p w14:paraId="7ED77514" w14:textId="77D3EF76" w:rsidR="004101BF" w:rsidRPr="006114C7" w:rsidRDefault="004101BF" w:rsidP="004101BF">
          <w:pPr>
            <w:pStyle w:val="Titolo3"/>
            <w:rPr>
              <w:lang w:val="en-GB"/>
            </w:rPr>
          </w:pPr>
          <w:bookmarkStart w:id="212" w:name="_Toc130806407"/>
          <w:bookmarkStart w:id="213" w:name="_Toc167131728"/>
          <w:r w:rsidRPr="006114C7">
            <w:rPr>
              <w:lang w:val="en-GB"/>
            </w:rPr>
            <w:t>Model performance on SMEs for multiple time horizon</w:t>
          </w:r>
          <w:bookmarkEnd w:id="212"/>
          <w:r w:rsidR="00985733">
            <w:rPr>
              <w:lang w:val="en-GB"/>
            </w:rPr>
            <w:t>s</w:t>
          </w:r>
          <w:bookmarkEnd w:id="213"/>
        </w:p>
        <w:p w14:paraId="3FDEA9C9" w14:textId="77777777" w:rsidR="00211FAB" w:rsidRDefault="003B6F72" w:rsidP="00211FAB">
          <w:pPr>
            <w:rPr>
              <w:rFonts w:cs="Segoe UI"/>
              <w:lang w:val="en-GB"/>
            </w:rPr>
          </w:pPr>
          <w:r>
            <w:rPr>
              <w:rFonts w:cs="Segoe UI"/>
              <w:lang w:val="en-GB"/>
            </w:rPr>
            <w:t xml:space="preserve">The rating process which </w:t>
          </w:r>
          <w:r w:rsidR="004101BF" w:rsidRPr="0032337D">
            <w:rPr>
              <w:rFonts w:cs="Segoe UI"/>
              <w:lang w:val="en-GB"/>
            </w:rPr>
            <w:t>Cerved Rating Agency</w:t>
          </w:r>
          <w:r w:rsidR="00B7795E">
            <w:rPr>
              <w:rFonts w:cs="Segoe UI"/>
              <w:lang w:val="en-GB"/>
            </w:rPr>
            <w:t>’s</w:t>
          </w:r>
          <w:r w:rsidR="004101BF" w:rsidRPr="0032337D">
            <w:rPr>
              <w:rFonts w:cs="Segoe UI"/>
              <w:lang w:val="en-GB"/>
            </w:rPr>
            <w:t xml:space="preserve"> </w:t>
          </w:r>
          <w:r>
            <w:rPr>
              <w:rFonts w:cs="Segoe UI"/>
              <w:lang w:val="en-GB"/>
            </w:rPr>
            <w:t>adopts</w:t>
          </w:r>
          <w:r w:rsidR="004101BF" w:rsidRPr="0032337D">
            <w:rPr>
              <w:rFonts w:cs="Segoe UI"/>
              <w:lang w:val="en-GB"/>
            </w:rPr>
            <w:t xml:space="preserve"> </w:t>
          </w:r>
          <w:r w:rsidR="000A01D4">
            <w:rPr>
              <w:rFonts w:cs="Segoe UI"/>
              <w:lang w:val="en-GB"/>
            </w:rPr>
            <w:t>for</w:t>
          </w:r>
          <w:r w:rsidR="004101BF" w:rsidRPr="0032337D">
            <w:rPr>
              <w:rFonts w:cs="Segoe UI"/>
              <w:lang w:val="en-GB"/>
            </w:rPr>
            <w:t xml:space="preserve"> SMEs </w:t>
          </w:r>
          <w:r>
            <w:rPr>
              <w:rFonts w:cs="Segoe UI"/>
              <w:lang w:val="en-GB"/>
            </w:rPr>
            <w:t>proves</w:t>
          </w:r>
          <w:r w:rsidR="007E4E2E">
            <w:rPr>
              <w:rFonts w:cs="Segoe UI"/>
              <w:lang w:val="en-GB"/>
            </w:rPr>
            <w:t xml:space="preserve"> rather</w:t>
          </w:r>
          <w:r w:rsidR="004101BF" w:rsidRPr="0032337D">
            <w:rPr>
              <w:rFonts w:cs="Segoe UI"/>
              <w:lang w:val="en-GB"/>
            </w:rPr>
            <w:t xml:space="preserve"> satisfactory.</w:t>
          </w:r>
          <w:r w:rsidR="007E4E2E">
            <w:rPr>
              <w:rFonts w:cs="Segoe UI"/>
              <w:lang w:val="en-GB"/>
            </w:rPr>
            <w:t xml:space="preserve"> T</w:t>
          </w:r>
          <w:r w:rsidR="004101BF" w:rsidRPr="0032337D">
            <w:rPr>
              <w:rFonts w:cs="Segoe UI"/>
              <w:lang w:val="en-GB"/>
            </w:rPr>
            <w:t>he average Accuracy Ratios computed on a multiple time horizon</w:t>
          </w:r>
          <w:r w:rsidR="007E4E2E">
            <w:rPr>
              <w:rFonts w:cs="Segoe UI"/>
              <w:lang w:val="en-GB"/>
            </w:rPr>
            <w:t>s</w:t>
          </w:r>
          <w:r w:rsidR="004101BF" w:rsidRPr="0032337D">
            <w:rPr>
              <w:rFonts w:cs="Segoe UI"/>
              <w:lang w:val="en-GB"/>
            </w:rPr>
            <w:t xml:space="preserve"> are shown in Exhibit </w:t>
          </w:r>
          <w:r w:rsidR="004101BF">
            <w:rPr>
              <w:rFonts w:cs="Segoe UI"/>
              <w:lang w:val="en-GB"/>
            </w:rPr>
            <w:t>6</w:t>
          </w:r>
          <w:r w:rsidR="000A01D4">
            <w:rPr>
              <w:rFonts w:cs="Segoe UI"/>
              <w:lang w:val="en-GB"/>
            </w:rPr>
            <w:t>1</w:t>
          </w:r>
          <w:r w:rsidR="004101BF" w:rsidRPr="0032337D">
            <w:rPr>
              <w:rFonts w:cs="Segoe UI"/>
              <w:lang w:val="en-GB"/>
            </w:rPr>
            <w:t>.</w:t>
          </w:r>
          <w:bookmarkStart w:id="214" w:name="_Toc130806361"/>
        </w:p>
        <w:p w14:paraId="68FCE940" w14:textId="6C261486" w:rsidR="004101BF" w:rsidRPr="000910EE" w:rsidRDefault="004101BF" w:rsidP="00211FAB">
          <w:pPr>
            <w:pStyle w:val="Didascalia"/>
            <w:rPr>
              <w:rFonts w:ascii="Segoe UI" w:hAnsi="Segoe UI" w:cs="Segoe UI"/>
              <w:i/>
              <w:sz w:val="14"/>
              <w:lang w:val="en-GB"/>
            </w:rPr>
          </w:pPr>
          <w:bookmarkStart w:id="215" w:name="_Toc166675702"/>
          <w:bookmarkStart w:id="216" w:name="_Toc167131829"/>
          <w:r w:rsidRPr="000910EE">
            <w:rPr>
              <w:rFonts w:ascii="Segoe UI" w:hAnsi="Segoe UI" w:cs="Segoe UI"/>
              <w:i/>
              <w:sz w:val="14"/>
              <w:lang w:val="en-GB"/>
            </w:rPr>
            <w:t xml:space="preserve">Exhibit </w:t>
          </w:r>
          <w:r w:rsidRPr="000910EE">
            <w:rPr>
              <w:rFonts w:ascii="Segoe UI" w:hAnsi="Segoe UI" w:cs="Segoe UI"/>
              <w:i/>
              <w:sz w:val="14"/>
              <w:lang w:val="en-GB"/>
            </w:rPr>
            <w:fldChar w:fldCharType="begin"/>
          </w:r>
          <w:r w:rsidRPr="000910EE">
            <w:rPr>
              <w:rFonts w:ascii="Segoe UI" w:hAnsi="Segoe UI" w:cs="Segoe UI"/>
              <w:i/>
              <w:sz w:val="14"/>
              <w:lang w:val="en-GB"/>
            </w:rPr>
            <w:instrText xml:space="preserve"> SEQ Exhibit \* ARABIC </w:instrText>
          </w:r>
          <w:r w:rsidRPr="000910EE">
            <w:rPr>
              <w:rFonts w:ascii="Segoe UI" w:hAnsi="Segoe UI" w:cs="Segoe UI"/>
              <w:i/>
              <w:sz w:val="14"/>
              <w:lang w:val="en-GB"/>
            </w:rPr>
            <w:fldChar w:fldCharType="separate"/>
          </w:r>
          <w:r w:rsidR="009857B6">
            <w:rPr>
              <w:rFonts w:ascii="Segoe UI" w:hAnsi="Segoe UI" w:cs="Segoe UI"/>
              <w:i/>
              <w:noProof/>
              <w:sz w:val="14"/>
              <w:lang w:val="en-GB"/>
            </w:rPr>
            <w:t>61</w:t>
          </w:r>
          <w:r w:rsidRPr="000910EE">
            <w:rPr>
              <w:rFonts w:ascii="Segoe UI" w:hAnsi="Segoe UI" w:cs="Segoe UI"/>
              <w:i/>
              <w:sz w:val="14"/>
              <w:lang w:val="en-GB"/>
            </w:rPr>
            <w:fldChar w:fldCharType="end"/>
          </w:r>
          <w:r w:rsidRPr="000910EE">
            <w:rPr>
              <w:rFonts w:ascii="Segoe UI" w:hAnsi="Segoe UI" w:cs="Segoe UI"/>
              <w:i/>
              <w:sz w:val="14"/>
              <w:lang w:val="en-GB"/>
            </w:rPr>
            <w:t>: Average SME Accuracy Ratio by time horizon (1-y to 5-y, default period from 2009 to 202</w:t>
          </w:r>
          <w:bookmarkEnd w:id="214"/>
          <w:r w:rsidR="000910EE" w:rsidRPr="000910EE">
            <w:rPr>
              <w:rFonts w:ascii="Segoe UI" w:hAnsi="Segoe UI" w:cs="Segoe UI"/>
              <w:i/>
              <w:sz w:val="14"/>
              <w:lang w:val="en-GB"/>
            </w:rPr>
            <w:t>3</w:t>
          </w:r>
          <w:bookmarkEnd w:id="215"/>
          <w:bookmarkEnd w:id="216"/>
        </w:p>
        <w:p w14:paraId="3DB26416" w14:textId="7E27E1F2" w:rsidR="008B3F74" w:rsidRDefault="008B3F74" w:rsidP="004101BF">
          <w:pPr>
            <w:rPr>
              <w:rFonts w:cs="Segoe UI"/>
              <w:lang w:val="en-GB"/>
            </w:rPr>
          </w:pPr>
          <w:r>
            <w:rPr>
              <w:noProof/>
            </w:rPr>
            <w:drawing>
              <wp:inline distT="0" distB="0" distL="0" distR="0" wp14:anchorId="5B140DC7" wp14:editId="1F2E7BAE">
                <wp:extent cx="6570980" cy="2682240"/>
                <wp:effectExtent l="0" t="0" r="1270" b="3810"/>
                <wp:docPr id="699365215" name="Grafico 1">
                  <a:extLst xmlns:a="http://schemas.openxmlformats.org/drawingml/2006/main">
                    <a:ext uri="{FF2B5EF4-FFF2-40B4-BE49-F238E27FC236}">
                      <a16:creationId xmlns:a16="http://schemas.microsoft.com/office/drawing/2014/main" id="{6D3576DB-193D-4C6A-133C-6627F777DA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498D321D" w14:textId="4F2A4928" w:rsidR="004101BF" w:rsidRPr="0032337D" w:rsidRDefault="007E4E2E" w:rsidP="004101BF">
          <w:pPr>
            <w:rPr>
              <w:rFonts w:cs="Segoe UI"/>
              <w:lang w:val="en-GB"/>
            </w:rPr>
          </w:pPr>
          <w:r>
            <w:rPr>
              <w:rFonts w:cs="Segoe UI"/>
              <w:lang w:val="en-GB"/>
            </w:rPr>
            <w:lastRenderedPageBreak/>
            <w:t xml:space="preserve">The </w:t>
          </w:r>
          <w:r w:rsidR="004101BF" w:rsidRPr="0032337D">
            <w:rPr>
              <w:rFonts w:cs="Segoe UI"/>
              <w:lang w:val="en-GB"/>
            </w:rPr>
            <w:t>Accuracy Ratio is roughly 80% for the 1-y time horizon,</w:t>
          </w:r>
          <w:r w:rsidR="00E9060D">
            <w:rPr>
              <w:rFonts w:cs="Segoe UI"/>
              <w:lang w:val="en-GB"/>
            </w:rPr>
            <w:t xml:space="preserve"> with the value</w:t>
          </w:r>
          <w:r w:rsidR="004101BF" w:rsidRPr="0032337D">
            <w:rPr>
              <w:rFonts w:cs="Segoe UI"/>
              <w:lang w:val="en-GB"/>
            </w:rPr>
            <w:t xml:space="preserve"> decreasing </w:t>
          </w:r>
          <w:r w:rsidR="00D34966">
            <w:rPr>
              <w:rFonts w:cs="Segoe UI"/>
              <w:lang w:val="en-GB"/>
            </w:rPr>
            <w:t>regularly</w:t>
          </w:r>
          <w:r w:rsidR="004101BF" w:rsidRPr="0032337D">
            <w:rPr>
              <w:rFonts w:cs="Segoe UI"/>
              <w:lang w:val="en-GB"/>
            </w:rPr>
            <w:t xml:space="preserve"> </w:t>
          </w:r>
          <w:r w:rsidR="00E9060D">
            <w:rPr>
              <w:rFonts w:cs="Segoe UI"/>
              <w:lang w:val="en-GB"/>
            </w:rPr>
            <w:t>for</w:t>
          </w:r>
          <w:r w:rsidR="004101BF" w:rsidRPr="0032337D">
            <w:rPr>
              <w:rFonts w:cs="Segoe UI"/>
              <w:lang w:val="en-GB"/>
            </w:rPr>
            <w:t xml:space="preserve"> longer time horizon</w:t>
          </w:r>
          <w:r w:rsidR="00E9060D">
            <w:rPr>
              <w:rFonts w:cs="Segoe UI"/>
              <w:lang w:val="en-GB"/>
            </w:rPr>
            <w:t>s</w:t>
          </w:r>
          <w:r w:rsidR="00D34966">
            <w:rPr>
              <w:rFonts w:cs="Segoe UI"/>
              <w:lang w:val="en-GB"/>
            </w:rPr>
            <w:t xml:space="preserve">, although </w:t>
          </w:r>
          <w:r w:rsidR="00E9060D">
            <w:rPr>
              <w:rFonts w:cs="Segoe UI"/>
              <w:lang w:val="en-GB"/>
            </w:rPr>
            <w:t>the</w:t>
          </w:r>
          <w:r w:rsidR="00B577DF">
            <w:rPr>
              <w:rFonts w:cs="Segoe UI"/>
              <w:lang w:val="en-GB"/>
            </w:rPr>
            <w:t xml:space="preserve"> Accuracy Ratio</w:t>
          </w:r>
          <w:r w:rsidR="00E9060D">
            <w:rPr>
              <w:rFonts w:cs="Segoe UI"/>
              <w:lang w:val="en-GB"/>
            </w:rPr>
            <w:t xml:space="preserve"> </w:t>
          </w:r>
          <w:r w:rsidR="00B577DF">
            <w:rPr>
              <w:rFonts w:cs="Segoe UI"/>
              <w:lang w:val="en-GB"/>
            </w:rPr>
            <w:t xml:space="preserve">for the </w:t>
          </w:r>
          <w:r w:rsidR="004101BF" w:rsidRPr="0032337D">
            <w:rPr>
              <w:rFonts w:cs="Segoe UI"/>
              <w:lang w:val="en-GB"/>
            </w:rPr>
            <w:t>5-year time horizon is still around 62%.</w:t>
          </w:r>
          <w:r w:rsidR="004101BF">
            <w:rPr>
              <w:rFonts w:cs="Segoe UI"/>
              <w:lang w:val="en-GB"/>
            </w:rPr>
            <w:t xml:space="preserve"> </w:t>
          </w:r>
          <w:r w:rsidR="004101BF" w:rsidRPr="0032337D">
            <w:rPr>
              <w:rFonts w:cs="Segoe UI"/>
              <w:lang w:val="en-GB"/>
            </w:rPr>
            <w:t xml:space="preserve">Accuracy Ratios by static pool in multiple time horizon are shown in Exhibit </w:t>
          </w:r>
          <w:r w:rsidR="004101BF">
            <w:rPr>
              <w:rFonts w:cs="Segoe UI"/>
              <w:lang w:val="en-GB"/>
            </w:rPr>
            <w:t>6</w:t>
          </w:r>
          <w:r w:rsidR="000A01D4">
            <w:rPr>
              <w:rFonts w:cs="Segoe UI"/>
              <w:lang w:val="en-GB"/>
            </w:rPr>
            <w:t>2</w:t>
          </w:r>
          <w:r w:rsidR="004101BF" w:rsidRPr="0032337D">
            <w:rPr>
              <w:rFonts w:cs="Segoe UI"/>
              <w:lang w:val="en-GB"/>
            </w:rPr>
            <w:t>.</w:t>
          </w:r>
        </w:p>
        <w:p w14:paraId="604E9096" w14:textId="2CE08BD3" w:rsidR="0049041F" w:rsidRDefault="004101BF" w:rsidP="00FD73D2">
          <w:pPr>
            <w:pStyle w:val="Didascalia"/>
            <w:rPr>
              <w:rFonts w:cs="Segoe UI"/>
              <w:lang w:val="en-GB"/>
            </w:rPr>
          </w:pPr>
          <w:bookmarkStart w:id="217" w:name="_Toc130806362"/>
          <w:bookmarkStart w:id="218" w:name="_Toc166675703"/>
          <w:bookmarkStart w:id="219" w:name="_Toc167131830"/>
          <w:r w:rsidRPr="00FD73D2">
            <w:rPr>
              <w:rFonts w:ascii="Segoe UI" w:hAnsi="Segoe UI" w:cs="Segoe UI"/>
              <w:i/>
              <w:sz w:val="14"/>
              <w:lang w:val="en-GB"/>
            </w:rPr>
            <w:t xml:space="preserve">Exhibit </w:t>
          </w:r>
          <w:r w:rsidRPr="00FD73D2">
            <w:rPr>
              <w:rFonts w:ascii="Segoe UI" w:hAnsi="Segoe UI" w:cs="Segoe UI"/>
              <w:i/>
              <w:sz w:val="14"/>
              <w:lang w:val="en-GB"/>
            </w:rPr>
            <w:fldChar w:fldCharType="begin"/>
          </w:r>
          <w:r w:rsidRPr="00FD73D2">
            <w:rPr>
              <w:rFonts w:ascii="Segoe UI" w:hAnsi="Segoe UI" w:cs="Segoe UI"/>
              <w:i/>
              <w:sz w:val="14"/>
              <w:lang w:val="en-GB"/>
            </w:rPr>
            <w:instrText xml:space="preserve"> SEQ Exhibit \* ARABIC </w:instrText>
          </w:r>
          <w:r w:rsidRPr="00FD73D2">
            <w:rPr>
              <w:rFonts w:ascii="Segoe UI" w:hAnsi="Segoe UI" w:cs="Segoe UI"/>
              <w:i/>
              <w:sz w:val="14"/>
              <w:lang w:val="en-GB"/>
            </w:rPr>
            <w:fldChar w:fldCharType="separate"/>
          </w:r>
          <w:r w:rsidR="009857B6">
            <w:rPr>
              <w:rFonts w:ascii="Segoe UI" w:hAnsi="Segoe UI" w:cs="Segoe UI"/>
              <w:i/>
              <w:noProof/>
              <w:sz w:val="14"/>
              <w:lang w:val="en-GB"/>
            </w:rPr>
            <w:t>62</w:t>
          </w:r>
          <w:r w:rsidRPr="00FD73D2">
            <w:rPr>
              <w:rFonts w:ascii="Segoe UI" w:hAnsi="Segoe UI" w:cs="Segoe UI"/>
              <w:i/>
              <w:sz w:val="14"/>
              <w:lang w:val="en-GB"/>
            </w:rPr>
            <w:fldChar w:fldCharType="end"/>
          </w:r>
          <w:r w:rsidRPr="00FD73D2">
            <w:rPr>
              <w:rFonts w:ascii="Segoe UI" w:hAnsi="Segoe UI" w:cs="Segoe UI"/>
              <w:i/>
              <w:sz w:val="14"/>
              <w:lang w:val="en-GB"/>
            </w:rPr>
            <w:t>: SME Accuracy Ratio by static pool (1-year to 5-year)</w:t>
          </w:r>
          <w:bookmarkEnd w:id="217"/>
          <w:bookmarkEnd w:id="218"/>
          <w:bookmarkEnd w:id="219"/>
        </w:p>
        <w:p w14:paraId="47F1930A" w14:textId="599E22F7" w:rsidR="004101BF" w:rsidRPr="0032337D" w:rsidRDefault="0049041F" w:rsidP="004101BF">
          <w:pPr>
            <w:rPr>
              <w:rFonts w:cs="Segoe UI"/>
              <w:color w:val="1F85BB"/>
              <w:sz w:val="40"/>
              <w:szCs w:val="40"/>
              <w:lang w:val="en-GB"/>
            </w:rPr>
          </w:pPr>
          <w:r>
            <w:rPr>
              <w:noProof/>
            </w:rPr>
            <w:drawing>
              <wp:inline distT="0" distB="0" distL="0" distR="0" wp14:anchorId="59B387EC" wp14:editId="554B8F04">
                <wp:extent cx="6487795" cy="3063240"/>
                <wp:effectExtent l="0" t="0" r="8255" b="3810"/>
                <wp:docPr id="548951712" name="Grafico 1">
                  <a:extLst xmlns:a="http://schemas.openxmlformats.org/drawingml/2006/main">
                    <a:ext uri="{FF2B5EF4-FFF2-40B4-BE49-F238E27FC236}">
                      <a16:creationId xmlns:a16="http://schemas.microsoft.com/office/drawing/2014/main" id="{00000000-0008-0000-2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r w:rsidRPr="0032337D">
            <w:rPr>
              <w:rFonts w:cs="Segoe UI"/>
              <w:lang w:val="en-GB"/>
            </w:rPr>
            <w:t xml:space="preserve"> </w:t>
          </w:r>
          <w:r w:rsidR="004101BF" w:rsidRPr="0032337D">
            <w:rPr>
              <w:rFonts w:cs="Segoe UI"/>
              <w:lang w:val="en-GB"/>
            </w:rPr>
            <w:br w:type="page"/>
          </w:r>
        </w:p>
        <w:p w14:paraId="19A2CDE3" w14:textId="77777777" w:rsidR="004101BF" w:rsidRPr="0032337D" w:rsidRDefault="004101BF" w:rsidP="004101BF">
          <w:pPr>
            <w:pStyle w:val="Titolo1"/>
            <w:rPr>
              <w:lang w:val="en-GB"/>
            </w:rPr>
          </w:pPr>
          <w:bookmarkStart w:id="220" w:name="_Toc130806408"/>
          <w:bookmarkStart w:id="221" w:name="_Toc167131729"/>
          <w:r w:rsidRPr="006301B1">
            <w:rPr>
              <w:lang w:val="en-GB"/>
            </w:rPr>
            <w:lastRenderedPageBreak/>
            <w:t>Transition matrix</w:t>
          </w:r>
          <w:bookmarkEnd w:id="220"/>
          <w:bookmarkEnd w:id="221"/>
        </w:p>
        <w:p w14:paraId="15C13C7C" w14:textId="7DE6F3D9" w:rsidR="004101BF" w:rsidRPr="0032337D" w:rsidRDefault="004101BF" w:rsidP="004101BF">
          <w:pPr>
            <w:rPr>
              <w:rFonts w:cs="Segoe UI"/>
              <w:lang w:val="en-GB"/>
            </w:rPr>
          </w:pPr>
          <w:r w:rsidRPr="0032337D">
            <w:rPr>
              <w:rFonts w:cs="Segoe UI"/>
              <w:lang w:val="en-GB"/>
            </w:rPr>
            <w:t xml:space="preserve">The transition matrix is </w:t>
          </w:r>
          <w:r w:rsidR="002320BA" w:rsidRPr="002320BA">
            <w:rPr>
              <w:rFonts w:cs="Segoe UI"/>
              <w:lang w:val="en-GB"/>
            </w:rPr>
            <w:t xml:space="preserve">calculated </w:t>
          </w:r>
          <w:proofErr w:type="gramStart"/>
          <w:r w:rsidR="002320BA" w:rsidRPr="002320BA">
            <w:rPr>
              <w:rFonts w:cs="Segoe UI"/>
              <w:lang w:val="en-GB"/>
            </w:rPr>
            <w:t>on the basis of</w:t>
          </w:r>
          <w:proofErr w:type="gramEnd"/>
          <w:r w:rsidR="002320BA" w:rsidRPr="002320BA">
            <w:rPr>
              <w:rFonts w:cs="Segoe UI"/>
              <w:lang w:val="en-GB"/>
            </w:rPr>
            <w:t xml:space="preserve"> </w:t>
          </w:r>
          <w:r w:rsidRPr="0032337D">
            <w:rPr>
              <w:rFonts w:cs="Segoe UI"/>
              <w:lang w:val="en-GB"/>
            </w:rPr>
            <w:t xml:space="preserve">outstanding </w:t>
          </w:r>
          <w:r w:rsidR="002320BA" w:rsidRPr="002320BA">
            <w:rPr>
              <w:rFonts w:cs="Segoe UI"/>
              <w:lang w:val="en-GB"/>
            </w:rPr>
            <w:t xml:space="preserve">ratings </w:t>
          </w:r>
          <w:r w:rsidR="0056636B">
            <w:rPr>
              <w:rFonts w:cs="Segoe UI"/>
              <w:lang w:val="en-GB"/>
            </w:rPr>
            <w:t>as of</w:t>
          </w:r>
          <w:r w:rsidR="002320BA" w:rsidRPr="002320BA">
            <w:rPr>
              <w:rFonts w:cs="Segoe UI"/>
              <w:lang w:val="en-GB"/>
            </w:rPr>
            <w:t xml:space="preserve"> 1</w:t>
          </w:r>
          <w:r w:rsidR="0056636B" w:rsidRPr="0056636B">
            <w:rPr>
              <w:rFonts w:cs="Segoe UI"/>
              <w:vertAlign w:val="superscript"/>
              <w:lang w:val="en-GB"/>
            </w:rPr>
            <w:t>st</w:t>
          </w:r>
          <w:r w:rsidR="002320BA" w:rsidRPr="002320BA">
            <w:rPr>
              <w:rFonts w:cs="Segoe UI"/>
              <w:lang w:val="en-GB"/>
            </w:rPr>
            <w:t xml:space="preserve"> </w:t>
          </w:r>
          <w:r w:rsidRPr="0032337D">
            <w:rPr>
              <w:rFonts w:cs="Segoe UI"/>
              <w:lang w:val="en-GB"/>
            </w:rPr>
            <w:t>January 202</w:t>
          </w:r>
          <w:r w:rsidR="0056636B">
            <w:rPr>
              <w:rFonts w:cs="Segoe UI"/>
              <w:lang w:val="en-GB"/>
            </w:rPr>
            <w:t>3</w:t>
          </w:r>
          <w:r w:rsidRPr="0032337D">
            <w:rPr>
              <w:rFonts w:cs="Segoe UI"/>
              <w:lang w:val="en-GB"/>
            </w:rPr>
            <w:t xml:space="preserve"> and </w:t>
          </w:r>
          <w:r w:rsidR="002320BA" w:rsidRPr="002320BA">
            <w:rPr>
              <w:rFonts w:cs="Segoe UI"/>
              <w:lang w:val="en-GB"/>
            </w:rPr>
            <w:t>31</w:t>
          </w:r>
          <w:r w:rsidR="0056636B" w:rsidRPr="0056636B">
            <w:rPr>
              <w:rFonts w:cs="Segoe UI"/>
              <w:vertAlign w:val="superscript"/>
              <w:lang w:val="en-GB"/>
            </w:rPr>
            <w:t>st</w:t>
          </w:r>
          <w:r w:rsidRPr="0032337D">
            <w:rPr>
              <w:rFonts w:cs="Segoe UI"/>
              <w:lang w:val="en-GB"/>
            </w:rPr>
            <w:t xml:space="preserve"> December 202</w:t>
          </w:r>
          <w:r w:rsidR="0056636B">
            <w:rPr>
              <w:rFonts w:cs="Segoe UI"/>
              <w:lang w:val="en-GB"/>
            </w:rPr>
            <w:t>3</w:t>
          </w:r>
          <w:r w:rsidRPr="0032337D">
            <w:rPr>
              <w:rFonts w:cs="Segoe UI"/>
              <w:lang w:val="en-GB"/>
            </w:rPr>
            <w:t>. On average</w:t>
          </w:r>
          <w:r w:rsidR="00613085">
            <w:rPr>
              <w:rFonts w:cs="Segoe UI"/>
              <w:lang w:val="en-GB"/>
            </w:rPr>
            <w:t>,</w:t>
          </w:r>
          <w:r w:rsidRPr="0032337D">
            <w:rPr>
              <w:rFonts w:cs="Segoe UI"/>
              <w:lang w:val="en-GB"/>
            </w:rPr>
            <w:t xml:space="preserve"> </w:t>
          </w:r>
          <w:r>
            <w:rPr>
              <w:rFonts w:cs="Segoe UI"/>
              <w:lang w:val="en-GB"/>
            </w:rPr>
            <w:t>more than 70</w:t>
          </w:r>
          <w:r w:rsidRPr="0032337D">
            <w:rPr>
              <w:rFonts w:cs="Segoe UI"/>
              <w:lang w:val="en-GB"/>
            </w:rPr>
            <w:t xml:space="preserve">% of all credit ratings </w:t>
          </w:r>
          <w:r w:rsidR="002320BA">
            <w:rPr>
              <w:rFonts w:cs="Segoe UI"/>
              <w:lang w:val="en-GB"/>
            </w:rPr>
            <w:t>are</w:t>
          </w:r>
          <w:r w:rsidRPr="0032337D">
            <w:rPr>
              <w:rFonts w:cs="Segoe UI"/>
              <w:lang w:val="en-GB"/>
            </w:rPr>
            <w:t xml:space="preserve"> stable, i.e. at the end of the period they remain in the same rating class assigned at the beginning of the period. Moreover, it is worth mentioning that most of the transitions (</w:t>
          </w:r>
          <w:r w:rsidR="00ED5B94">
            <w:rPr>
              <w:rFonts w:cs="Segoe UI"/>
              <w:lang w:val="en-GB"/>
            </w:rPr>
            <w:t>almost</w:t>
          </w:r>
          <w:r>
            <w:rPr>
              <w:rFonts w:cs="Segoe UI"/>
              <w:lang w:val="en-GB"/>
            </w:rPr>
            <w:t xml:space="preserve"> 98%</w:t>
          </w:r>
          <w:r w:rsidRPr="0032337D">
            <w:rPr>
              <w:rFonts w:cs="Segoe UI"/>
              <w:lang w:val="en-GB"/>
            </w:rPr>
            <w:t xml:space="preserve">) occurred in </w:t>
          </w:r>
          <w:r w:rsidR="00203856">
            <w:rPr>
              <w:rFonts w:cs="Segoe UI"/>
              <w:lang w:val="en-GB"/>
            </w:rPr>
            <w:t>a</w:t>
          </w:r>
          <w:r w:rsidRPr="0032337D">
            <w:rPr>
              <w:rFonts w:cs="Segoe UI"/>
              <w:lang w:val="en-GB"/>
            </w:rPr>
            <w:t xml:space="preserve"> +1/-1 </w:t>
          </w:r>
          <w:r w:rsidR="00203856">
            <w:rPr>
              <w:rFonts w:cs="Segoe UI"/>
              <w:lang w:val="en-GB"/>
            </w:rPr>
            <w:t xml:space="preserve">range of </w:t>
          </w:r>
          <w:r w:rsidRPr="0032337D">
            <w:rPr>
              <w:rFonts w:cs="Segoe UI"/>
              <w:lang w:val="en-GB"/>
            </w:rPr>
            <w:t xml:space="preserve">rating class, thus proving dynamic characteristics of the rating model, typical for </w:t>
          </w:r>
          <w:r w:rsidRPr="0032337D">
            <w:rPr>
              <w:rFonts w:cs="Segoe UI"/>
              <w:i/>
              <w:lang w:val="en-GB"/>
            </w:rPr>
            <w:t>point-in-time</w:t>
          </w:r>
          <w:r w:rsidRPr="0032337D">
            <w:rPr>
              <w:rFonts w:cs="Segoe UI"/>
              <w:lang w:val="en-GB"/>
            </w:rPr>
            <w:t xml:space="preserve"> (PIT) methodological approach.</w:t>
          </w:r>
        </w:p>
        <w:p w14:paraId="1AD09A43" w14:textId="77777777" w:rsidR="004101BF" w:rsidRPr="0032337D" w:rsidRDefault="004101BF" w:rsidP="004101BF">
          <w:pPr>
            <w:rPr>
              <w:rFonts w:cs="Segoe UI"/>
              <w:lang w:val="en-GB"/>
            </w:rPr>
          </w:pPr>
          <w:r w:rsidRPr="0032337D">
            <w:rPr>
              <w:rFonts w:cs="Segoe UI"/>
              <w:lang w:val="en-GB"/>
            </w:rPr>
            <w:t>The transition matrix normally reflects the changes in economic and financial position of rated entities but may also be affected by changes in rating.</w:t>
          </w:r>
        </w:p>
        <w:p w14:paraId="4FBAB788" w14:textId="3776029C" w:rsidR="004101BF" w:rsidRPr="0032337D" w:rsidRDefault="004101BF" w:rsidP="004101BF">
          <w:pPr>
            <w:pStyle w:val="Didascalia"/>
            <w:rPr>
              <w:rFonts w:ascii="Segoe UI" w:hAnsi="Segoe UI" w:cs="Segoe UI"/>
              <w:i/>
              <w:sz w:val="14"/>
              <w:lang w:val="en-GB"/>
            </w:rPr>
          </w:pPr>
          <w:bookmarkStart w:id="222" w:name="_Toc130806363"/>
          <w:bookmarkStart w:id="223" w:name="_Toc166675704"/>
          <w:bookmarkStart w:id="224" w:name="_Toc167131831"/>
          <w:r w:rsidRPr="0032337D">
            <w:rPr>
              <w:rFonts w:ascii="Segoe UI" w:hAnsi="Segoe UI" w:cs="Segoe UI"/>
              <w:i/>
              <w:sz w:val="14"/>
              <w:lang w:val="en-GB"/>
            </w:rPr>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63</w:t>
          </w:r>
          <w:r>
            <w:rPr>
              <w:rFonts w:ascii="Segoe UI" w:hAnsi="Segoe UI" w:cs="Segoe UI"/>
              <w:i/>
              <w:sz w:val="14"/>
              <w:lang w:val="en-GB"/>
            </w:rPr>
            <w:fldChar w:fldCharType="end"/>
          </w:r>
          <w:r w:rsidRPr="0032337D">
            <w:rPr>
              <w:rFonts w:ascii="Segoe UI" w:hAnsi="Segoe UI" w:cs="Segoe UI"/>
              <w:i/>
              <w:sz w:val="14"/>
              <w:lang w:val="en-GB"/>
            </w:rPr>
            <w:t>: 1-Y transition matrix</w:t>
          </w:r>
          <w:bookmarkEnd w:id="222"/>
          <w:bookmarkEnd w:id="223"/>
          <w:bookmarkEnd w:id="224"/>
        </w:p>
        <w:tbl>
          <w:tblPr>
            <w:tblW w:w="5000" w:type="pct"/>
            <w:tblBorders>
              <w:top w:val="single" w:sz="4" w:space="0" w:color="AFAFB4" w:themeColor="accent4"/>
              <w:bottom w:val="single" w:sz="4" w:space="0" w:color="AFAFB4" w:themeColor="accent4"/>
              <w:insideH w:val="single" w:sz="4" w:space="0" w:color="AFAFB4" w:themeColor="accent4"/>
            </w:tblBorders>
            <w:tblCellMar>
              <w:left w:w="0" w:type="dxa"/>
              <w:right w:w="0" w:type="dxa"/>
            </w:tblCellMar>
            <w:tblLook w:val="0620" w:firstRow="1" w:lastRow="0" w:firstColumn="0" w:lastColumn="0" w:noHBand="1" w:noVBand="1"/>
            <w:tblDescription w:val="{&quot;Ott&quot;:{&quot;FirstRow&quot;:{&quot;BackgroundColor&quot;:{&quot;Key&quot;:&quot;Light2&quot;},&quot;Font&quot;:{&quot;Name&quot;:&quot;Source Sans Pro&quot;,&quot;Size&quot;:14.0,&quot;Bold&quot;:false,&quot;Italic&quot;:false,&quot;Color&quot;:{&quot;Key&quot;:&quot;Dark2&quot;}},&quot;ExcelCellFormatting&quot;:&quot;General&quot;,&quot;Alignment&quot;:{&quot;Horizontal&quot;:&quot;Left&quot;,&quot;Vertical&quot;:&quot;Bottom&quot;},&quot;Borders&quot;:{&quot;Vertical&quot;:{&quot;Visible&quot;:false},&quot;Left&quot;:{&quot;Visible&quot;:false},&quot;Top&quot;:{&quot;Visible&quot;:false},&quot;Right&quot;:{&quot;Visible&quot;:false},&quot;Bottom&quot;:{&quot;Color&quot;:{&quot;Key&quot;:&quot;Accent4&quot;},&quot;BorderWeight&quot;:&quot;Pt1_5&quot;,&quot;Type&quot;:&quot;Solid&quot;,&quot;Visible&quot;:true}}},&quot;FitRowHeightPp&quot;:true,&quot;ZeroMarginsWord&quot;:true,&quot;BackgroundColor&quot;:{&quot;Key&quot;:&quot;Light2&quot;},&quot;Font&quot;:{&quot;Name&quot;:&quot;Source Sans Pro&quot;,&quot;Size&quot;:11.0,&quot;Bold&quot;:false,&quot;Italic&quot;:false,&quot;Color&quot;:{&quot;Key&quot;:&quot;Dark2&quot;}},&quot;LineSpacing&quot;:{&quot;Rule&quot;:&quot;Single&quot;},&quot;Alignment&quot;:{&quot;Horizontal&quot;:&quot;Left&quot;,&quot;Vertical&quot;:&quot;Top&quot;},&quot;Margin&quot;:{&quot;Left&quot;:5.7,&quot;Top&quot;:3.0,&quot;Right&quot;:5.7,&quot;Bottom&quot;:3.0},&quot;Borders&quot;:{&quot;Vertical&quot;:{&quot;Visible&quot;:false},&quot;Horizontal&quot;:{&quot;Color&quot;:{&quot;Key&quot;:&quot;Accent4&quot;},&quot;BorderWeight&quot;:&quot;Pt0_5&quot;,&quot;Type&quot;:&quot;Solid&quot;,&quot;Visible&quot;:true}},&quot;ParagraphSpacing&quot;:{&quot;SpaceBefore&quot;:2.0,&quot;SpaceAfter&quot;:2.0},&quot;ExcelWrapText&quot;:true},&quot;Ccs&quot;:{&quot;DarkBlue&quot;:&quot;0, 20, 55&quot;,&quot;Turquoise&quot;:&quot;0, 164, 230&quot;,&quot;Red&quot;:&quot;214, 70, 65&quot;,&quot;LightGrey&quot;:&quot;174, 174, 180&quot;,&quot;BlueGrey&quot;:&quot;77, 91, 115&quot;,&quot;IceBlue&quot;:&quot;178, 184, 195&quot;,&quot;Grey&quot;:&quot;145, 147, 153&quot;,&quot;Background&quot;:&quot;0, 0, 0, 0&quot;,&quot;White&quot;:&quot;White&quot;,&quot;Accent1&quot;:&quot;1, 1, 1, 1&quot;,&quot;Accent2&quot;:&quot;1, 1, 1, 2&quot;,&quot;Accent3&quot;:&quot;1, 1, 1, 3&quot;,&quot;Accent4&quot;:&quot;1, 1, 1, 4&quot;,&quot;Accent5&quot;:&quot;1, 1, 1, 5&quot;,&quot;Accent6&quot;:&quot;1, 1, 1, 6&quot;,&quot;Dark1&quot;:&quot;1, 1, 1, 7&quot;,&quot;Dark2&quot;:&quot;1, 1, 1, 9&quot;,&quot;Light1&quot;:&quot;1, 1, 1, 8&quot;,&quot;Light2&quot;:&quot;1, 1, 1, 10&quot;},&quot;Cop&quot;:{&quot;FirstRow&quot;:true,&quot;LastRow&quot;:false,&quot;FirstColumn&quot;:false,&quot;LastColumn&quot;:false,&quot;BandedRows&quot;:false,&quot;BandedColumns&quot;:false},&quot;Aaf&quot;:false}"/>
          </w:tblPr>
          <w:tblGrid>
            <w:gridCol w:w="740"/>
            <w:gridCol w:w="740"/>
            <w:gridCol w:w="739"/>
            <w:gridCol w:w="739"/>
            <w:gridCol w:w="739"/>
            <w:gridCol w:w="739"/>
            <w:gridCol w:w="739"/>
            <w:gridCol w:w="739"/>
            <w:gridCol w:w="739"/>
            <w:gridCol w:w="739"/>
            <w:gridCol w:w="739"/>
            <w:gridCol w:w="739"/>
            <w:gridCol w:w="739"/>
            <w:gridCol w:w="739"/>
          </w:tblGrid>
          <w:tr w:rsidR="008A3EC9" w:rsidRPr="00ED33EF" w14:paraId="56C73B1D" w14:textId="05E1E90B" w:rsidTr="00892C44">
            <w:trPr>
              <w:trHeight w:val="283"/>
            </w:trPr>
            <w:tc>
              <w:tcPr>
                <w:tcW w:w="357" w:type="pct"/>
                <w:tcBorders>
                  <w:top w:val="single" w:sz="12" w:space="0" w:color="AFAFB4" w:themeColor="accent4"/>
                  <w:tl2br w:val="single" w:sz="4" w:space="0" w:color="AFAFB4" w:themeColor="accent4"/>
                </w:tcBorders>
                <w:shd w:val="clear" w:color="auto" w:fill="auto"/>
                <w:vAlign w:val="center"/>
              </w:tcPr>
              <w:p w14:paraId="1731C400" w14:textId="7ABB869F" w:rsidR="00D21A18" w:rsidRPr="00DE3AB1" w:rsidRDefault="006301B1" w:rsidP="006301B1">
                <w:pPr>
                  <w:spacing w:before="0" w:line="240" w:lineRule="auto"/>
                  <w:jc w:val="center"/>
                  <w:rPr>
                    <w:b/>
                    <w:color w:val="auto"/>
                    <w:sz w:val="14"/>
                    <w:szCs w:val="14"/>
                  </w:rPr>
                </w:pPr>
                <w:proofErr w:type="spellStart"/>
                <w:r w:rsidRPr="00DE3AB1">
                  <w:rPr>
                    <w:b/>
                    <w:color w:val="auto"/>
                    <w:sz w:val="14"/>
                    <w:szCs w:val="14"/>
                  </w:rPr>
                  <w:t>BoP</w:t>
                </w:r>
                <w:proofErr w:type="spellEnd"/>
                <w:r w:rsidRPr="00DE3AB1">
                  <w:rPr>
                    <w:b/>
                    <w:color w:val="auto"/>
                    <w:sz w:val="14"/>
                    <w:szCs w:val="14"/>
                  </w:rPr>
                  <w:t xml:space="preserve">  </w:t>
                </w:r>
                <w:r>
                  <w:rPr>
                    <w:b/>
                    <w:color w:val="auto"/>
                    <w:sz w:val="14"/>
                    <w:szCs w:val="14"/>
                  </w:rPr>
                  <w:t xml:space="preserve">    </w:t>
                </w:r>
                <w:proofErr w:type="spellStart"/>
                <w:r w:rsidRPr="00DE3AB1">
                  <w:rPr>
                    <w:b/>
                    <w:color w:val="auto"/>
                    <w:sz w:val="14"/>
                    <w:szCs w:val="14"/>
                  </w:rPr>
                  <w:t>EoP</w:t>
                </w:r>
                <w:proofErr w:type="spellEnd"/>
              </w:p>
            </w:tc>
            <w:tc>
              <w:tcPr>
                <w:tcW w:w="357" w:type="pct"/>
                <w:tcBorders>
                  <w:top w:val="single" w:sz="12" w:space="0" w:color="AFAFB4" w:themeColor="accent4"/>
                </w:tcBorders>
                <w:shd w:val="clear" w:color="auto" w:fill="auto"/>
                <w:tcMar>
                  <w:top w:w="60" w:type="dxa"/>
                  <w:left w:w="114" w:type="dxa"/>
                  <w:bottom w:w="60" w:type="dxa"/>
                  <w:right w:w="114" w:type="dxa"/>
                </w:tcMar>
                <w:vAlign w:val="center"/>
              </w:tcPr>
              <w:p w14:paraId="1A4F60F4" w14:textId="71A36B8E" w:rsidR="00D21A18" w:rsidRPr="00ED33EF" w:rsidRDefault="00D21A18" w:rsidP="008028F9">
                <w:pPr>
                  <w:spacing w:before="0" w:line="240" w:lineRule="auto"/>
                  <w:jc w:val="center"/>
                  <w:rPr>
                    <w:b/>
                    <w:color w:val="33A1AB" w:themeColor="accent2"/>
                    <w:sz w:val="14"/>
                    <w:szCs w:val="14"/>
                  </w:rPr>
                </w:pPr>
                <w:r>
                  <w:rPr>
                    <w:b/>
                    <w:color w:val="33A1AB" w:themeColor="accent2"/>
                    <w:sz w:val="14"/>
                    <w:szCs w:val="14"/>
                  </w:rPr>
                  <w:t>A1.1</w:t>
                </w:r>
              </w:p>
            </w:tc>
            <w:tc>
              <w:tcPr>
                <w:tcW w:w="357" w:type="pct"/>
                <w:tcBorders>
                  <w:top w:val="single" w:sz="12" w:space="0" w:color="AFAFB4" w:themeColor="accent4"/>
                </w:tcBorders>
                <w:shd w:val="clear" w:color="auto" w:fill="auto"/>
                <w:tcMar>
                  <w:top w:w="60" w:type="dxa"/>
                  <w:left w:w="114" w:type="dxa"/>
                  <w:bottom w:w="60" w:type="dxa"/>
                  <w:right w:w="114" w:type="dxa"/>
                </w:tcMar>
                <w:vAlign w:val="center"/>
              </w:tcPr>
              <w:p w14:paraId="72472862" w14:textId="041E2725" w:rsidR="00D21A18" w:rsidRPr="00ED33EF" w:rsidRDefault="00D21A18" w:rsidP="008028F9">
                <w:pPr>
                  <w:spacing w:before="0" w:line="240" w:lineRule="auto"/>
                  <w:jc w:val="center"/>
                  <w:rPr>
                    <w:b/>
                    <w:color w:val="33A1AB" w:themeColor="accent2"/>
                    <w:sz w:val="14"/>
                    <w:szCs w:val="14"/>
                  </w:rPr>
                </w:pPr>
                <w:r>
                  <w:rPr>
                    <w:b/>
                    <w:color w:val="33A1AB" w:themeColor="accent2"/>
                    <w:sz w:val="14"/>
                    <w:szCs w:val="14"/>
                  </w:rPr>
                  <w:t>A1.2</w:t>
                </w:r>
              </w:p>
            </w:tc>
            <w:tc>
              <w:tcPr>
                <w:tcW w:w="357" w:type="pct"/>
                <w:tcBorders>
                  <w:top w:val="single" w:sz="12" w:space="0" w:color="AFAFB4" w:themeColor="accent4"/>
                </w:tcBorders>
                <w:shd w:val="clear" w:color="auto" w:fill="auto"/>
                <w:tcMar>
                  <w:top w:w="60" w:type="dxa"/>
                  <w:left w:w="114" w:type="dxa"/>
                  <w:bottom w:w="60" w:type="dxa"/>
                  <w:right w:w="114" w:type="dxa"/>
                </w:tcMar>
                <w:vAlign w:val="center"/>
              </w:tcPr>
              <w:p w14:paraId="2EE53D33" w14:textId="561744C9" w:rsidR="00D21A18" w:rsidRPr="00ED33EF" w:rsidRDefault="00D21A18" w:rsidP="008028F9">
                <w:pPr>
                  <w:spacing w:before="0" w:line="240" w:lineRule="auto"/>
                  <w:jc w:val="center"/>
                  <w:rPr>
                    <w:b/>
                    <w:color w:val="33A1AB" w:themeColor="accent2"/>
                    <w:sz w:val="14"/>
                    <w:szCs w:val="14"/>
                  </w:rPr>
                </w:pPr>
                <w:r>
                  <w:rPr>
                    <w:b/>
                    <w:color w:val="33A1AB" w:themeColor="accent2"/>
                    <w:sz w:val="14"/>
                    <w:szCs w:val="14"/>
                  </w:rPr>
                  <w:t>A1.3</w:t>
                </w:r>
              </w:p>
            </w:tc>
            <w:tc>
              <w:tcPr>
                <w:tcW w:w="357" w:type="pct"/>
                <w:tcBorders>
                  <w:top w:val="single" w:sz="12" w:space="0" w:color="AFAFB4" w:themeColor="accent4"/>
                </w:tcBorders>
                <w:shd w:val="clear" w:color="auto" w:fill="auto"/>
                <w:vAlign w:val="center"/>
              </w:tcPr>
              <w:p w14:paraId="2B69A246" w14:textId="4D1908D6" w:rsidR="00D21A18" w:rsidRPr="00ED33EF" w:rsidRDefault="00D21A18" w:rsidP="008028F9">
                <w:pPr>
                  <w:spacing w:before="0" w:line="240" w:lineRule="auto"/>
                  <w:jc w:val="center"/>
                  <w:rPr>
                    <w:b/>
                    <w:color w:val="33A1AB" w:themeColor="accent2"/>
                    <w:sz w:val="14"/>
                    <w:szCs w:val="14"/>
                  </w:rPr>
                </w:pPr>
                <w:r>
                  <w:rPr>
                    <w:b/>
                    <w:color w:val="33A1AB" w:themeColor="accent2"/>
                    <w:sz w:val="14"/>
                    <w:szCs w:val="14"/>
                  </w:rPr>
                  <w:t>A2.1</w:t>
                </w:r>
              </w:p>
            </w:tc>
            <w:tc>
              <w:tcPr>
                <w:tcW w:w="357" w:type="pct"/>
                <w:tcBorders>
                  <w:top w:val="single" w:sz="12" w:space="0" w:color="AFAFB4" w:themeColor="accent4"/>
                </w:tcBorders>
                <w:shd w:val="clear" w:color="auto" w:fill="auto"/>
                <w:vAlign w:val="center"/>
              </w:tcPr>
              <w:p w14:paraId="0E831B9E" w14:textId="5B82C0AE" w:rsidR="00D21A18" w:rsidRPr="00ED33EF" w:rsidRDefault="00D21A18" w:rsidP="008028F9">
                <w:pPr>
                  <w:spacing w:before="0" w:line="240" w:lineRule="auto"/>
                  <w:jc w:val="center"/>
                  <w:rPr>
                    <w:b/>
                    <w:color w:val="33A1AB" w:themeColor="accent2"/>
                    <w:sz w:val="14"/>
                    <w:szCs w:val="14"/>
                  </w:rPr>
                </w:pPr>
                <w:r>
                  <w:rPr>
                    <w:b/>
                    <w:color w:val="33A1AB" w:themeColor="accent2"/>
                    <w:sz w:val="14"/>
                    <w:szCs w:val="14"/>
                  </w:rPr>
                  <w:t>A2.2</w:t>
                </w:r>
              </w:p>
            </w:tc>
            <w:tc>
              <w:tcPr>
                <w:tcW w:w="357" w:type="pct"/>
                <w:tcBorders>
                  <w:top w:val="single" w:sz="12" w:space="0" w:color="AFAFB4" w:themeColor="accent4"/>
                </w:tcBorders>
                <w:shd w:val="clear" w:color="auto" w:fill="auto"/>
                <w:vAlign w:val="center"/>
              </w:tcPr>
              <w:p w14:paraId="0B64BE00" w14:textId="46850753" w:rsidR="00D21A18" w:rsidRPr="00ED33EF" w:rsidRDefault="00D21A18" w:rsidP="008028F9">
                <w:pPr>
                  <w:spacing w:before="0" w:line="240" w:lineRule="auto"/>
                  <w:jc w:val="center"/>
                  <w:rPr>
                    <w:b/>
                    <w:color w:val="33A1AB" w:themeColor="accent2"/>
                    <w:sz w:val="14"/>
                    <w:szCs w:val="14"/>
                  </w:rPr>
                </w:pPr>
                <w:r>
                  <w:rPr>
                    <w:b/>
                    <w:color w:val="33A1AB" w:themeColor="accent2"/>
                    <w:sz w:val="14"/>
                    <w:szCs w:val="14"/>
                  </w:rPr>
                  <w:t>A3.1</w:t>
                </w:r>
              </w:p>
            </w:tc>
            <w:tc>
              <w:tcPr>
                <w:tcW w:w="357" w:type="pct"/>
                <w:tcBorders>
                  <w:top w:val="single" w:sz="12" w:space="0" w:color="AFAFB4" w:themeColor="accent4"/>
                </w:tcBorders>
                <w:shd w:val="clear" w:color="auto" w:fill="auto"/>
                <w:vAlign w:val="center"/>
              </w:tcPr>
              <w:p w14:paraId="395153C5" w14:textId="7ADCF35B" w:rsidR="00D21A18" w:rsidRPr="00ED33EF" w:rsidRDefault="00D21A18" w:rsidP="008028F9">
                <w:pPr>
                  <w:spacing w:before="0" w:line="240" w:lineRule="auto"/>
                  <w:jc w:val="center"/>
                  <w:rPr>
                    <w:b/>
                    <w:color w:val="33A1AB" w:themeColor="accent2"/>
                    <w:sz w:val="14"/>
                    <w:szCs w:val="14"/>
                  </w:rPr>
                </w:pPr>
                <w:r>
                  <w:rPr>
                    <w:b/>
                    <w:color w:val="33A1AB" w:themeColor="accent2"/>
                    <w:sz w:val="14"/>
                    <w:szCs w:val="14"/>
                  </w:rPr>
                  <w:t>B1.1</w:t>
                </w:r>
              </w:p>
            </w:tc>
            <w:tc>
              <w:tcPr>
                <w:tcW w:w="357" w:type="pct"/>
                <w:tcBorders>
                  <w:top w:val="single" w:sz="12" w:space="0" w:color="AFAFB4" w:themeColor="accent4"/>
                </w:tcBorders>
                <w:shd w:val="clear" w:color="auto" w:fill="auto"/>
                <w:vAlign w:val="center"/>
              </w:tcPr>
              <w:p w14:paraId="3B9CFD1B" w14:textId="1A163C87" w:rsidR="00D21A18" w:rsidRPr="00ED33EF" w:rsidRDefault="00D21A18" w:rsidP="008028F9">
                <w:pPr>
                  <w:spacing w:before="0" w:line="240" w:lineRule="auto"/>
                  <w:jc w:val="center"/>
                  <w:rPr>
                    <w:b/>
                    <w:color w:val="33A1AB" w:themeColor="accent2"/>
                    <w:sz w:val="14"/>
                    <w:szCs w:val="14"/>
                  </w:rPr>
                </w:pPr>
                <w:r>
                  <w:rPr>
                    <w:b/>
                    <w:color w:val="33A1AB" w:themeColor="accent2"/>
                    <w:sz w:val="14"/>
                    <w:szCs w:val="14"/>
                  </w:rPr>
                  <w:t>B1.2</w:t>
                </w:r>
              </w:p>
            </w:tc>
            <w:tc>
              <w:tcPr>
                <w:tcW w:w="357" w:type="pct"/>
                <w:tcBorders>
                  <w:top w:val="single" w:sz="12" w:space="0" w:color="AFAFB4" w:themeColor="accent4"/>
                </w:tcBorders>
                <w:shd w:val="clear" w:color="auto" w:fill="auto"/>
                <w:vAlign w:val="center"/>
              </w:tcPr>
              <w:p w14:paraId="6388F36B" w14:textId="07958554" w:rsidR="00D21A18" w:rsidRPr="00ED33EF" w:rsidRDefault="00D21A18" w:rsidP="008028F9">
                <w:pPr>
                  <w:spacing w:before="0" w:line="240" w:lineRule="auto"/>
                  <w:jc w:val="center"/>
                  <w:rPr>
                    <w:b/>
                    <w:color w:val="33A1AB" w:themeColor="accent2"/>
                    <w:sz w:val="14"/>
                    <w:szCs w:val="14"/>
                  </w:rPr>
                </w:pPr>
                <w:r>
                  <w:rPr>
                    <w:b/>
                    <w:color w:val="33A1AB" w:themeColor="accent2"/>
                    <w:sz w:val="14"/>
                    <w:szCs w:val="14"/>
                  </w:rPr>
                  <w:t>B2.1</w:t>
                </w:r>
              </w:p>
            </w:tc>
            <w:tc>
              <w:tcPr>
                <w:tcW w:w="357" w:type="pct"/>
                <w:tcBorders>
                  <w:top w:val="single" w:sz="12" w:space="0" w:color="AFAFB4" w:themeColor="accent4"/>
                </w:tcBorders>
                <w:shd w:val="clear" w:color="auto" w:fill="auto"/>
                <w:vAlign w:val="center"/>
              </w:tcPr>
              <w:p w14:paraId="34E9DA8B" w14:textId="7D68B28F" w:rsidR="00D21A18" w:rsidRPr="00ED33EF" w:rsidRDefault="00D21A18" w:rsidP="008028F9">
                <w:pPr>
                  <w:spacing w:before="0" w:line="240" w:lineRule="auto"/>
                  <w:jc w:val="center"/>
                  <w:rPr>
                    <w:b/>
                    <w:color w:val="33A1AB" w:themeColor="accent2"/>
                    <w:sz w:val="14"/>
                    <w:szCs w:val="14"/>
                  </w:rPr>
                </w:pPr>
                <w:r>
                  <w:rPr>
                    <w:b/>
                    <w:color w:val="33A1AB" w:themeColor="accent2"/>
                    <w:sz w:val="14"/>
                    <w:szCs w:val="14"/>
                  </w:rPr>
                  <w:t>B2.2</w:t>
                </w:r>
              </w:p>
            </w:tc>
            <w:tc>
              <w:tcPr>
                <w:tcW w:w="357" w:type="pct"/>
                <w:tcBorders>
                  <w:top w:val="single" w:sz="12" w:space="0" w:color="AFAFB4" w:themeColor="accent4"/>
                </w:tcBorders>
                <w:shd w:val="clear" w:color="auto" w:fill="auto"/>
                <w:vAlign w:val="center"/>
              </w:tcPr>
              <w:p w14:paraId="0BFEA9FA" w14:textId="265FB022" w:rsidR="00D21A18" w:rsidRPr="00ED33EF" w:rsidRDefault="00D21A18" w:rsidP="008028F9">
                <w:pPr>
                  <w:spacing w:before="0" w:line="240" w:lineRule="auto"/>
                  <w:jc w:val="center"/>
                  <w:rPr>
                    <w:b/>
                    <w:color w:val="33A1AB" w:themeColor="accent2"/>
                    <w:sz w:val="14"/>
                    <w:szCs w:val="14"/>
                  </w:rPr>
                </w:pPr>
                <w:r>
                  <w:rPr>
                    <w:b/>
                    <w:color w:val="33A1AB" w:themeColor="accent2"/>
                    <w:sz w:val="14"/>
                    <w:szCs w:val="14"/>
                  </w:rPr>
                  <w:t>C1.1</w:t>
                </w:r>
              </w:p>
            </w:tc>
            <w:tc>
              <w:tcPr>
                <w:tcW w:w="357" w:type="pct"/>
                <w:tcBorders>
                  <w:top w:val="single" w:sz="12" w:space="0" w:color="AFAFB4" w:themeColor="accent4"/>
                </w:tcBorders>
                <w:shd w:val="clear" w:color="auto" w:fill="auto"/>
                <w:vAlign w:val="center"/>
              </w:tcPr>
              <w:p w14:paraId="4AE8E128" w14:textId="1A8BC634" w:rsidR="00D21A18" w:rsidRPr="00ED33EF" w:rsidRDefault="00D21A18" w:rsidP="008028F9">
                <w:pPr>
                  <w:spacing w:before="0" w:line="240" w:lineRule="auto"/>
                  <w:jc w:val="center"/>
                  <w:rPr>
                    <w:b/>
                    <w:color w:val="33A1AB" w:themeColor="accent2"/>
                    <w:sz w:val="14"/>
                    <w:szCs w:val="14"/>
                  </w:rPr>
                </w:pPr>
                <w:r>
                  <w:rPr>
                    <w:b/>
                    <w:color w:val="33A1AB" w:themeColor="accent2"/>
                    <w:sz w:val="14"/>
                    <w:szCs w:val="14"/>
                  </w:rPr>
                  <w:t>C1.2</w:t>
                </w:r>
              </w:p>
            </w:tc>
            <w:tc>
              <w:tcPr>
                <w:tcW w:w="357" w:type="pct"/>
                <w:tcBorders>
                  <w:top w:val="single" w:sz="12" w:space="0" w:color="AFAFB4" w:themeColor="accent4"/>
                </w:tcBorders>
                <w:shd w:val="clear" w:color="auto" w:fill="auto"/>
                <w:vAlign w:val="center"/>
              </w:tcPr>
              <w:p w14:paraId="46B6007F" w14:textId="000ECF6A" w:rsidR="00D21A18" w:rsidRPr="00ED33EF" w:rsidRDefault="00D21A18" w:rsidP="008028F9">
                <w:pPr>
                  <w:spacing w:before="0" w:line="240" w:lineRule="auto"/>
                  <w:jc w:val="center"/>
                  <w:rPr>
                    <w:b/>
                    <w:color w:val="33A1AB" w:themeColor="accent2"/>
                    <w:sz w:val="14"/>
                    <w:szCs w:val="14"/>
                  </w:rPr>
                </w:pPr>
                <w:r>
                  <w:rPr>
                    <w:b/>
                    <w:color w:val="33A1AB" w:themeColor="accent2"/>
                    <w:sz w:val="14"/>
                    <w:szCs w:val="14"/>
                  </w:rPr>
                  <w:t>C2.1</w:t>
                </w:r>
              </w:p>
            </w:tc>
          </w:tr>
          <w:tr w:rsidR="008A3EC9" w:rsidRPr="00131242" w14:paraId="4498C0F5" w14:textId="77777777" w:rsidTr="00892C44">
            <w:trPr>
              <w:trHeight w:val="283"/>
            </w:trPr>
            <w:tc>
              <w:tcPr>
                <w:tcW w:w="357" w:type="pct"/>
                <w:tcBorders>
                  <w:top w:val="single" w:sz="4" w:space="0" w:color="AFAFB4" w:themeColor="accent4"/>
                  <w:bottom w:val="single" w:sz="4" w:space="0" w:color="AFAFB4" w:themeColor="accent4"/>
                  <w:right w:val="nil"/>
                </w:tcBorders>
                <w:shd w:val="clear" w:color="auto" w:fill="auto"/>
                <w:vAlign w:val="center"/>
              </w:tcPr>
              <w:p w14:paraId="02358A05" w14:textId="56A220EE" w:rsidR="00D21A18" w:rsidRPr="000B5299" w:rsidRDefault="008A3EC9" w:rsidP="008028F9">
                <w:pPr>
                  <w:pStyle w:val="TableIndent3"/>
                  <w:ind w:left="0"/>
                  <w:rPr>
                    <w:rFonts w:eastAsiaTheme="minorEastAsia" w:cstheme="minorBidi"/>
                    <w:b/>
                    <w:color w:val="33A1AB" w:themeColor="accent2"/>
                    <w:sz w:val="14"/>
                    <w:szCs w:val="14"/>
                    <w:lang w:val="en-US" w:eastAsia="en-US"/>
                  </w:rPr>
                </w:pPr>
                <w:r w:rsidRPr="000B5299">
                  <w:rPr>
                    <w:rFonts w:eastAsiaTheme="minorEastAsia" w:cstheme="minorBidi"/>
                    <w:b/>
                    <w:color w:val="33A1AB" w:themeColor="accent2"/>
                    <w:sz w:val="14"/>
                    <w:szCs w:val="14"/>
                    <w:lang w:val="en-US" w:eastAsia="en-US"/>
                  </w:rPr>
                  <w:t>A1.1</w:t>
                </w:r>
              </w:p>
            </w:tc>
            <w:tc>
              <w:tcPr>
                <w:tcW w:w="357" w:type="pct"/>
                <w:tcBorders>
                  <w:top w:val="single" w:sz="4" w:space="0" w:color="AFAFB4" w:themeColor="accent4"/>
                  <w:bottom w:val="single" w:sz="4" w:space="0" w:color="AFAFB4" w:themeColor="accent4"/>
                  <w:right w:val="nil"/>
                </w:tcBorders>
                <w:shd w:val="clear" w:color="auto" w:fill="auto"/>
                <w:tcMar>
                  <w:top w:w="60" w:type="dxa"/>
                  <w:left w:w="114" w:type="dxa"/>
                  <w:bottom w:w="60" w:type="dxa"/>
                  <w:right w:w="114" w:type="dxa"/>
                </w:tcMar>
                <w:vAlign w:val="center"/>
              </w:tcPr>
              <w:p w14:paraId="4E388AA0" w14:textId="1043558C" w:rsidR="00D21A18" w:rsidRPr="00131242" w:rsidRDefault="00D21A18" w:rsidP="008028F9">
                <w:pPr>
                  <w:pStyle w:val="TableIndent3"/>
                  <w:ind w:left="0"/>
                  <w:jc w:val="center"/>
                  <w:rPr>
                    <w:rFonts w:cs="Segoe UI"/>
                    <w:b/>
                    <w:sz w:val="14"/>
                    <w:szCs w:val="14"/>
                    <w:lang w:val="en-GB" w:eastAsia="it-IT"/>
                  </w:rPr>
                </w:pPr>
                <w:r w:rsidRPr="00131242">
                  <w:rPr>
                    <w:rFonts w:cs="Segoe UI"/>
                    <w:b/>
                    <w:sz w:val="14"/>
                    <w:szCs w:val="14"/>
                    <w:lang w:val="en-GB" w:eastAsia="it-IT"/>
                  </w:rPr>
                  <w:t>66.67%</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6A2AEADF"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33.33%</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0B81698C"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7EBACEFC"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5FA3A36A"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23C0FBBE"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3D866085"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6731A681"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76CD9B0C"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48C202AF"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55EDDFFF"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21B70D1C"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tcBorders>
                <w:shd w:val="clear" w:color="auto" w:fill="auto"/>
                <w:vAlign w:val="center"/>
              </w:tcPr>
              <w:p w14:paraId="067EABFD"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r>
          <w:tr w:rsidR="008A3EC9" w:rsidRPr="00131242" w14:paraId="6241AD3F" w14:textId="77777777" w:rsidTr="00892C44">
            <w:trPr>
              <w:trHeight w:val="283"/>
            </w:trPr>
            <w:tc>
              <w:tcPr>
                <w:tcW w:w="357" w:type="pct"/>
                <w:tcBorders>
                  <w:top w:val="single" w:sz="4" w:space="0" w:color="AFAFB4" w:themeColor="accent4"/>
                  <w:bottom w:val="single" w:sz="4" w:space="0" w:color="AFAFB4" w:themeColor="accent4"/>
                  <w:right w:val="nil"/>
                </w:tcBorders>
                <w:shd w:val="clear" w:color="auto" w:fill="auto"/>
                <w:vAlign w:val="center"/>
              </w:tcPr>
              <w:p w14:paraId="4D50AB02" w14:textId="7A73B7CB" w:rsidR="00D21A18" w:rsidRPr="000B5299" w:rsidRDefault="008A3EC9" w:rsidP="008028F9">
                <w:pPr>
                  <w:pStyle w:val="TableIndent3"/>
                  <w:ind w:left="0"/>
                  <w:rPr>
                    <w:rFonts w:eastAsiaTheme="minorEastAsia" w:cstheme="minorBidi"/>
                    <w:b/>
                    <w:color w:val="33A1AB" w:themeColor="accent2"/>
                    <w:sz w:val="14"/>
                    <w:szCs w:val="14"/>
                    <w:lang w:val="en-US" w:eastAsia="en-US"/>
                  </w:rPr>
                </w:pPr>
                <w:r w:rsidRPr="000B5299">
                  <w:rPr>
                    <w:rFonts w:eastAsiaTheme="minorEastAsia" w:cstheme="minorBidi"/>
                    <w:b/>
                    <w:color w:val="33A1AB" w:themeColor="accent2"/>
                    <w:sz w:val="14"/>
                    <w:szCs w:val="14"/>
                    <w:lang w:val="en-US" w:eastAsia="en-US"/>
                  </w:rPr>
                  <w:t>A1.2</w:t>
                </w:r>
              </w:p>
            </w:tc>
            <w:tc>
              <w:tcPr>
                <w:tcW w:w="357" w:type="pct"/>
                <w:tcBorders>
                  <w:top w:val="single" w:sz="4" w:space="0" w:color="AFAFB4" w:themeColor="accent4"/>
                  <w:bottom w:val="single" w:sz="4" w:space="0" w:color="AFAFB4" w:themeColor="accent4"/>
                  <w:right w:val="nil"/>
                </w:tcBorders>
                <w:shd w:val="clear" w:color="auto" w:fill="auto"/>
                <w:tcMar>
                  <w:top w:w="60" w:type="dxa"/>
                  <w:left w:w="114" w:type="dxa"/>
                  <w:bottom w:w="60" w:type="dxa"/>
                  <w:right w:w="114" w:type="dxa"/>
                </w:tcMar>
                <w:vAlign w:val="center"/>
              </w:tcPr>
              <w:p w14:paraId="332F4BC0" w14:textId="7AEC10E2" w:rsidR="00D21A18" w:rsidRPr="00131242" w:rsidRDefault="00D21A18" w:rsidP="008028F9">
                <w:pPr>
                  <w:pStyle w:val="TableIndent3"/>
                  <w:ind w:left="0"/>
                  <w:jc w:val="center"/>
                  <w:rPr>
                    <w:rFonts w:cs="Segoe UI"/>
                    <w:bCs/>
                    <w:sz w:val="14"/>
                    <w:szCs w:val="14"/>
                    <w:lang w:val="en-GB" w:eastAsia="it-IT"/>
                  </w:rPr>
                </w:pPr>
                <w:r w:rsidRPr="00131242">
                  <w:rPr>
                    <w:rFonts w:cs="Segoe UI"/>
                    <w:bCs/>
                    <w:sz w:val="14"/>
                    <w:szCs w:val="14"/>
                    <w:lang w:val="en-GB"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3879C8EF" w14:textId="77777777" w:rsidR="00D21A18" w:rsidRPr="00131242" w:rsidRDefault="00D21A18" w:rsidP="008028F9">
                <w:pPr>
                  <w:pStyle w:val="TableTextLeft"/>
                  <w:jc w:val="center"/>
                  <w:rPr>
                    <w:rFonts w:cs="Segoe UI"/>
                    <w:b/>
                    <w:sz w:val="14"/>
                    <w:szCs w:val="14"/>
                    <w:lang w:eastAsia="it-IT"/>
                  </w:rPr>
                </w:pPr>
                <w:r w:rsidRPr="00131242">
                  <w:rPr>
                    <w:rFonts w:cs="Segoe UI"/>
                    <w:b/>
                    <w:sz w:val="14"/>
                    <w:szCs w:val="14"/>
                    <w:lang w:eastAsia="it-IT"/>
                  </w:rPr>
                  <w:t>28.57%</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331E5DE7"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57.14%</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2F054208"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14.29%</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77C301F2"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0F2EA757"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0BD662FD"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3AA04818"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31FAA5CC"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77B75E38"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50A685C0"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1F65F6E3"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tcBorders>
                <w:shd w:val="clear" w:color="auto" w:fill="auto"/>
                <w:vAlign w:val="center"/>
              </w:tcPr>
              <w:p w14:paraId="25BD17AA"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r>
          <w:tr w:rsidR="008A3EC9" w:rsidRPr="00131242" w14:paraId="2EFF1591" w14:textId="77777777" w:rsidTr="00892C44">
            <w:trPr>
              <w:trHeight w:val="283"/>
            </w:trPr>
            <w:tc>
              <w:tcPr>
                <w:tcW w:w="357" w:type="pct"/>
                <w:tcBorders>
                  <w:top w:val="single" w:sz="4" w:space="0" w:color="AFAFB4" w:themeColor="accent4"/>
                  <w:bottom w:val="single" w:sz="4" w:space="0" w:color="AFAFB4" w:themeColor="accent4"/>
                  <w:right w:val="nil"/>
                </w:tcBorders>
                <w:shd w:val="clear" w:color="auto" w:fill="auto"/>
                <w:vAlign w:val="center"/>
              </w:tcPr>
              <w:p w14:paraId="55BB4A58" w14:textId="3DA29B15" w:rsidR="00D21A18" w:rsidRPr="000B5299" w:rsidRDefault="008A3EC9" w:rsidP="008028F9">
                <w:pPr>
                  <w:pStyle w:val="TableIndent3"/>
                  <w:ind w:left="0"/>
                  <w:rPr>
                    <w:rFonts w:eastAsiaTheme="minorEastAsia" w:cstheme="minorBidi"/>
                    <w:b/>
                    <w:color w:val="33A1AB" w:themeColor="accent2"/>
                    <w:sz w:val="14"/>
                    <w:szCs w:val="14"/>
                    <w:lang w:val="en-US" w:eastAsia="en-US"/>
                  </w:rPr>
                </w:pPr>
                <w:r w:rsidRPr="000B5299">
                  <w:rPr>
                    <w:rFonts w:eastAsiaTheme="minorEastAsia" w:cstheme="minorBidi"/>
                    <w:b/>
                    <w:color w:val="33A1AB" w:themeColor="accent2"/>
                    <w:sz w:val="14"/>
                    <w:szCs w:val="14"/>
                    <w:lang w:val="en-US" w:eastAsia="en-US"/>
                  </w:rPr>
                  <w:t>A1.3</w:t>
                </w:r>
              </w:p>
            </w:tc>
            <w:tc>
              <w:tcPr>
                <w:tcW w:w="357" w:type="pct"/>
                <w:tcBorders>
                  <w:top w:val="single" w:sz="4" w:space="0" w:color="AFAFB4" w:themeColor="accent4"/>
                  <w:bottom w:val="single" w:sz="4" w:space="0" w:color="AFAFB4" w:themeColor="accent4"/>
                  <w:right w:val="nil"/>
                </w:tcBorders>
                <w:shd w:val="clear" w:color="auto" w:fill="auto"/>
                <w:tcMar>
                  <w:top w:w="60" w:type="dxa"/>
                  <w:left w:w="114" w:type="dxa"/>
                  <w:bottom w:w="60" w:type="dxa"/>
                  <w:right w:w="114" w:type="dxa"/>
                </w:tcMar>
                <w:vAlign w:val="center"/>
              </w:tcPr>
              <w:p w14:paraId="0CA03796" w14:textId="10603419" w:rsidR="00D21A18" w:rsidRPr="00131242" w:rsidRDefault="00D21A18" w:rsidP="008028F9">
                <w:pPr>
                  <w:pStyle w:val="TableIndent3"/>
                  <w:ind w:left="0"/>
                  <w:jc w:val="center"/>
                  <w:rPr>
                    <w:rFonts w:cs="Segoe UI"/>
                    <w:bCs/>
                    <w:sz w:val="14"/>
                    <w:szCs w:val="14"/>
                    <w:lang w:val="en-GB" w:eastAsia="it-IT"/>
                  </w:rPr>
                </w:pPr>
                <w:r w:rsidRPr="00131242">
                  <w:rPr>
                    <w:rFonts w:cs="Segoe UI"/>
                    <w:bCs/>
                    <w:sz w:val="14"/>
                    <w:szCs w:val="14"/>
                    <w:lang w:val="en-GB"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798125F8"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6A9A88F0" w14:textId="77777777" w:rsidR="00D21A18" w:rsidRPr="00131242" w:rsidRDefault="00D21A18" w:rsidP="008028F9">
                <w:pPr>
                  <w:pStyle w:val="TableTextLeft"/>
                  <w:jc w:val="center"/>
                  <w:rPr>
                    <w:rFonts w:cs="Segoe UI"/>
                    <w:b/>
                    <w:sz w:val="14"/>
                    <w:szCs w:val="14"/>
                    <w:lang w:eastAsia="it-IT"/>
                  </w:rPr>
                </w:pPr>
                <w:r w:rsidRPr="00131242">
                  <w:rPr>
                    <w:rFonts w:cs="Segoe UI"/>
                    <w:b/>
                    <w:sz w:val="14"/>
                    <w:szCs w:val="14"/>
                    <w:lang w:eastAsia="it-IT"/>
                  </w:rPr>
                  <w:t>76.27%</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4584441E"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16.95%</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7E360012"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3.39%</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78ADB62F"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3.39%</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3B332ED2"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359810F8"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25CFDC67"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32471AE2"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6CDF242B"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477B7E2E"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tcBorders>
                <w:shd w:val="clear" w:color="auto" w:fill="auto"/>
                <w:vAlign w:val="center"/>
              </w:tcPr>
              <w:p w14:paraId="67A48E97"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r>
          <w:tr w:rsidR="008A3EC9" w:rsidRPr="00131242" w14:paraId="32046BA9" w14:textId="77777777" w:rsidTr="00892C44">
            <w:trPr>
              <w:trHeight w:val="283"/>
            </w:trPr>
            <w:tc>
              <w:tcPr>
                <w:tcW w:w="357" w:type="pct"/>
                <w:tcBorders>
                  <w:top w:val="single" w:sz="4" w:space="0" w:color="AFAFB4" w:themeColor="accent4"/>
                  <w:bottom w:val="single" w:sz="4" w:space="0" w:color="AFAFB4" w:themeColor="accent4"/>
                  <w:right w:val="nil"/>
                </w:tcBorders>
                <w:shd w:val="clear" w:color="auto" w:fill="auto"/>
                <w:vAlign w:val="center"/>
              </w:tcPr>
              <w:p w14:paraId="4710614C" w14:textId="254B541D" w:rsidR="00D21A18" w:rsidRPr="000B5299" w:rsidRDefault="008A3EC9" w:rsidP="008028F9">
                <w:pPr>
                  <w:pStyle w:val="TableIndent3"/>
                  <w:ind w:left="0"/>
                  <w:rPr>
                    <w:rFonts w:eastAsiaTheme="minorEastAsia" w:cstheme="minorBidi"/>
                    <w:b/>
                    <w:color w:val="33A1AB" w:themeColor="accent2"/>
                    <w:sz w:val="14"/>
                    <w:szCs w:val="14"/>
                    <w:lang w:val="en-US" w:eastAsia="en-US"/>
                  </w:rPr>
                </w:pPr>
                <w:r w:rsidRPr="000B5299">
                  <w:rPr>
                    <w:rFonts w:eastAsiaTheme="minorEastAsia" w:cstheme="minorBidi"/>
                    <w:b/>
                    <w:color w:val="33A1AB" w:themeColor="accent2"/>
                    <w:sz w:val="14"/>
                    <w:szCs w:val="14"/>
                    <w:lang w:val="en-US" w:eastAsia="en-US"/>
                  </w:rPr>
                  <w:t>A2.1</w:t>
                </w:r>
              </w:p>
            </w:tc>
            <w:tc>
              <w:tcPr>
                <w:tcW w:w="357" w:type="pct"/>
                <w:tcBorders>
                  <w:top w:val="single" w:sz="4" w:space="0" w:color="AFAFB4" w:themeColor="accent4"/>
                  <w:bottom w:val="single" w:sz="4" w:space="0" w:color="AFAFB4" w:themeColor="accent4"/>
                  <w:right w:val="nil"/>
                </w:tcBorders>
                <w:shd w:val="clear" w:color="auto" w:fill="auto"/>
                <w:tcMar>
                  <w:top w:w="60" w:type="dxa"/>
                  <w:left w:w="114" w:type="dxa"/>
                  <w:bottom w:w="60" w:type="dxa"/>
                  <w:right w:w="114" w:type="dxa"/>
                </w:tcMar>
                <w:vAlign w:val="center"/>
              </w:tcPr>
              <w:p w14:paraId="0AEB25EF" w14:textId="50BB9357" w:rsidR="00D21A18" w:rsidRPr="00131242" w:rsidRDefault="00D21A18" w:rsidP="008028F9">
                <w:pPr>
                  <w:pStyle w:val="TableIndent3"/>
                  <w:ind w:left="0"/>
                  <w:jc w:val="center"/>
                  <w:rPr>
                    <w:rFonts w:cs="Segoe UI"/>
                    <w:bCs/>
                    <w:sz w:val="14"/>
                    <w:szCs w:val="14"/>
                    <w:lang w:val="en-GB" w:eastAsia="it-IT"/>
                  </w:rPr>
                </w:pPr>
                <w:r w:rsidRPr="00131242">
                  <w:rPr>
                    <w:rFonts w:cs="Segoe UI"/>
                    <w:bCs/>
                    <w:sz w:val="14"/>
                    <w:szCs w:val="14"/>
                    <w:lang w:val="en-GB"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7A1AF586"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7749FC41"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1.77%</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6C5F3D13" w14:textId="77777777" w:rsidR="00D21A18" w:rsidRPr="00131242" w:rsidRDefault="00D21A18" w:rsidP="006418B6">
                <w:pPr>
                  <w:pStyle w:val="TableTextLeft"/>
                  <w:jc w:val="center"/>
                  <w:rPr>
                    <w:rFonts w:cs="Segoe UI"/>
                    <w:b/>
                    <w:sz w:val="14"/>
                    <w:szCs w:val="14"/>
                    <w:lang w:eastAsia="it-IT"/>
                  </w:rPr>
                </w:pPr>
                <w:r w:rsidRPr="00131242">
                  <w:rPr>
                    <w:rFonts w:cs="Segoe UI"/>
                    <w:b/>
                    <w:sz w:val="14"/>
                    <w:szCs w:val="14"/>
                    <w:lang w:eastAsia="it-IT"/>
                  </w:rPr>
                  <w:t>69.03%</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1CB6FEA9"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22.12%</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33545D81"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7.08%</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4693FBF9"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36365EB1"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5EDB80F8"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25EF8DAD"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721AE8AE"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0D5D5C51"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tcBorders>
                <w:shd w:val="clear" w:color="auto" w:fill="auto"/>
                <w:vAlign w:val="center"/>
              </w:tcPr>
              <w:p w14:paraId="51AB41B4"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r>
          <w:tr w:rsidR="008A3EC9" w:rsidRPr="00131242" w14:paraId="63345AD8" w14:textId="77777777" w:rsidTr="00892C44">
            <w:trPr>
              <w:trHeight w:val="283"/>
            </w:trPr>
            <w:tc>
              <w:tcPr>
                <w:tcW w:w="357" w:type="pct"/>
                <w:tcBorders>
                  <w:top w:val="single" w:sz="4" w:space="0" w:color="AFAFB4" w:themeColor="accent4"/>
                  <w:bottom w:val="single" w:sz="4" w:space="0" w:color="AFAFB4" w:themeColor="accent4"/>
                  <w:right w:val="nil"/>
                </w:tcBorders>
                <w:shd w:val="clear" w:color="auto" w:fill="auto"/>
                <w:vAlign w:val="center"/>
              </w:tcPr>
              <w:p w14:paraId="4F758B50" w14:textId="46849853" w:rsidR="00D21A18" w:rsidRPr="000B5299" w:rsidRDefault="008A3EC9" w:rsidP="008028F9">
                <w:pPr>
                  <w:pStyle w:val="TableIndent3"/>
                  <w:ind w:left="0"/>
                  <w:rPr>
                    <w:rFonts w:eastAsiaTheme="minorEastAsia" w:cstheme="minorBidi"/>
                    <w:b/>
                    <w:color w:val="33A1AB" w:themeColor="accent2"/>
                    <w:sz w:val="14"/>
                    <w:szCs w:val="14"/>
                    <w:lang w:val="en-US" w:eastAsia="en-US"/>
                  </w:rPr>
                </w:pPr>
                <w:r w:rsidRPr="000B5299">
                  <w:rPr>
                    <w:rFonts w:eastAsiaTheme="minorEastAsia" w:cstheme="minorBidi"/>
                    <w:b/>
                    <w:color w:val="33A1AB" w:themeColor="accent2"/>
                    <w:sz w:val="14"/>
                    <w:szCs w:val="14"/>
                    <w:lang w:val="en-US" w:eastAsia="en-US"/>
                  </w:rPr>
                  <w:t>A2.2</w:t>
                </w:r>
              </w:p>
            </w:tc>
            <w:tc>
              <w:tcPr>
                <w:tcW w:w="357" w:type="pct"/>
                <w:tcBorders>
                  <w:top w:val="single" w:sz="4" w:space="0" w:color="AFAFB4" w:themeColor="accent4"/>
                  <w:bottom w:val="single" w:sz="4" w:space="0" w:color="AFAFB4" w:themeColor="accent4"/>
                  <w:right w:val="nil"/>
                </w:tcBorders>
                <w:shd w:val="clear" w:color="auto" w:fill="auto"/>
                <w:tcMar>
                  <w:top w:w="60" w:type="dxa"/>
                  <w:left w:w="114" w:type="dxa"/>
                  <w:bottom w:w="60" w:type="dxa"/>
                  <w:right w:w="114" w:type="dxa"/>
                </w:tcMar>
                <w:vAlign w:val="center"/>
              </w:tcPr>
              <w:p w14:paraId="6EA300FE" w14:textId="15894DAC" w:rsidR="00D21A18" w:rsidRPr="00131242" w:rsidRDefault="00D21A18" w:rsidP="008028F9">
                <w:pPr>
                  <w:pStyle w:val="TableIndent3"/>
                  <w:ind w:left="0"/>
                  <w:jc w:val="center"/>
                  <w:rPr>
                    <w:rFonts w:cs="Segoe UI"/>
                    <w:bCs/>
                    <w:sz w:val="14"/>
                    <w:szCs w:val="14"/>
                    <w:lang w:val="en-GB" w:eastAsia="it-IT"/>
                  </w:rPr>
                </w:pPr>
                <w:r w:rsidRPr="00131242">
                  <w:rPr>
                    <w:rFonts w:cs="Segoe UI"/>
                    <w:bCs/>
                    <w:sz w:val="14"/>
                    <w:szCs w:val="14"/>
                    <w:lang w:val="en-GB"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7E69FEDD"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43636862"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57A85A6E"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1.72%</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70A21E33" w14:textId="77777777" w:rsidR="00D21A18" w:rsidRPr="00131242" w:rsidRDefault="00D21A18" w:rsidP="008028F9">
                <w:pPr>
                  <w:pStyle w:val="TableTextLeft"/>
                  <w:jc w:val="center"/>
                  <w:rPr>
                    <w:rFonts w:cs="Segoe UI"/>
                    <w:b/>
                    <w:sz w:val="14"/>
                    <w:szCs w:val="14"/>
                    <w:lang w:eastAsia="it-IT"/>
                  </w:rPr>
                </w:pPr>
                <w:r w:rsidRPr="00131242">
                  <w:rPr>
                    <w:rFonts w:cs="Segoe UI"/>
                    <w:b/>
                    <w:sz w:val="14"/>
                    <w:szCs w:val="14"/>
                    <w:lang w:eastAsia="it-IT"/>
                  </w:rPr>
                  <w:t>64.81%</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166D8E7B"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30.47%</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03FFB338"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2.58%</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038B171B"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0.43%</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0A021D49"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0E2A2F06"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035AA0D2"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46D84F23"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tcBorders>
                <w:shd w:val="clear" w:color="auto" w:fill="auto"/>
                <w:vAlign w:val="center"/>
              </w:tcPr>
              <w:p w14:paraId="7360CA0D"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r>
          <w:tr w:rsidR="008A3EC9" w:rsidRPr="00131242" w14:paraId="761FD8E5" w14:textId="77777777" w:rsidTr="00892C44">
            <w:trPr>
              <w:trHeight w:val="283"/>
            </w:trPr>
            <w:tc>
              <w:tcPr>
                <w:tcW w:w="357" w:type="pct"/>
                <w:tcBorders>
                  <w:top w:val="single" w:sz="4" w:space="0" w:color="AFAFB4" w:themeColor="accent4"/>
                  <w:bottom w:val="single" w:sz="4" w:space="0" w:color="AFAFB4" w:themeColor="accent4"/>
                  <w:right w:val="nil"/>
                </w:tcBorders>
                <w:shd w:val="clear" w:color="auto" w:fill="auto"/>
                <w:vAlign w:val="center"/>
              </w:tcPr>
              <w:p w14:paraId="146F4E34" w14:textId="473373E2" w:rsidR="00D21A18" w:rsidRPr="000B5299" w:rsidRDefault="008A3EC9" w:rsidP="008028F9">
                <w:pPr>
                  <w:pStyle w:val="TableIndent3"/>
                  <w:ind w:left="0"/>
                  <w:rPr>
                    <w:rFonts w:eastAsiaTheme="minorEastAsia" w:cstheme="minorBidi"/>
                    <w:b/>
                    <w:color w:val="33A1AB" w:themeColor="accent2"/>
                    <w:sz w:val="14"/>
                    <w:szCs w:val="14"/>
                    <w:lang w:val="en-US" w:eastAsia="en-US"/>
                  </w:rPr>
                </w:pPr>
                <w:r w:rsidRPr="000B5299">
                  <w:rPr>
                    <w:rFonts w:eastAsiaTheme="minorEastAsia" w:cstheme="minorBidi"/>
                    <w:b/>
                    <w:color w:val="33A1AB" w:themeColor="accent2"/>
                    <w:sz w:val="14"/>
                    <w:szCs w:val="14"/>
                    <w:lang w:val="en-US" w:eastAsia="en-US"/>
                  </w:rPr>
                  <w:t>A3.1</w:t>
                </w:r>
              </w:p>
            </w:tc>
            <w:tc>
              <w:tcPr>
                <w:tcW w:w="357" w:type="pct"/>
                <w:tcBorders>
                  <w:top w:val="single" w:sz="4" w:space="0" w:color="AFAFB4" w:themeColor="accent4"/>
                  <w:bottom w:val="single" w:sz="4" w:space="0" w:color="AFAFB4" w:themeColor="accent4"/>
                  <w:right w:val="nil"/>
                </w:tcBorders>
                <w:shd w:val="clear" w:color="auto" w:fill="auto"/>
                <w:tcMar>
                  <w:top w:w="60" w:type="dxa"/>
                  <w:left w:w="114" w:type="dxa"/>
                  <w:bottom w:w="60" w:type="dxa"/>
                  <w:right w:w="114" w:type="dxa"/>
                </w:tcMar>
                <w:vAlign w:val="center"/>
              </w:tcPr>
              <w:p w14:paraId="6A8DEFB3" w14:textId="1DEC7C75" w:rsidR="00D21A18" w:rsidRPr="00131242" w:rsidRDefault="00D21A18" w:rsidP="008028F9">
                <w:pPr>
                  <w:pStyle w:val="TableIndent3"/>
                  <w:ind w:left="0"/>
                  <w:jc w:val="center"/>
                  <w:rPr>
                    <w:rFonts w:cs="Segoe UI"/>
                    <w:bCs/>
                    <w:sz w:val="14"/>
                    <w:szCs w:val="14"/>
                    <w:lang w:val="en-GB" w:eastAsia="it-IT"/>
                  </w:rPr>
                </w:pPr>
                <w:r w:rsidRPr="00131242">
                  <w:rPr>
                    <w:rFonts w:cs="Segoe UI"/>
                    <w:bCs/>
                    <w:sz w:val="14"/>
                    <w:szCs w:val="14"/>
                    <w:lang w:val="en-GB"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6231A10F"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24FCA008"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0A9415BF"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0.35%</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6E12F4C2"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0.69%</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6844B567" w14:textId="77777777" w:rsidR="00D21A18" w:rsidRPr="00131242" w:rsidRDefault="00D21A18" w:rsidP="008028F9">
                <w:pPr>
                  <w:pStyle w:val="TableTextLeft"/>
                  <w:jc w:val="center"/>
                  <w:rPr>
                    <w:rFonts w:cs="Segoe UI"/>
                    <w:b/>
                    <w:sz w:val="14"/>
                    <w:szCs w:val="14"/>
                    <w:lang w:eastAsia="it-IT"/>
                  </w:rPr>
                </w:pPr>
                <w:r w:rsidRPr="00131242">
                  <w:rPr>
                    <w:rFonts w:cs="Segoe UI"/>
                    <w:b/>
                    <w:sz w:val="14"/>
                    <w:szCs w:val="14"/>
                    <w:lang w:eastAsia="it-IT"/>
                  </w:rPr>
                  <w:t>75.06%</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2EF0253C"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19.67%</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4DD12917"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2.85%</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6C223D55"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1.29%</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7897C7E2"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0.09%</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71DC196B"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23C80280"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tcBorders>
                <w:shd w:val="clear" w:color="auto" w:fill="auto"/>
                <w:vAlign w:val="center"/>
              </w:tcPr>
              <w:p w14:paraId="4B14C03E"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r>
          <w:tr w:rsidR="008A3EC9" w:rsidRPr="00131242" w14:paraId="496413B3" w14:textId="77777777" w:rsidTr="00892C44">
            <w:trPr>
              <w:trHeight w:val="283"/>
            </w:trPr>
            <w:tc>
              <w:tcPr>
                <w:tcW w:w="357" w:type="pct"/>
                <w:tcBorders>
                  <w:top w:val="single" w:sz="4" w:space="0" w:color="AFAFB4" w:themeColor="accent4"/>
                  <w:bottom w:val="single" w:sz="4" w:space="0" w:color="AFAFB4" w:themeColor="accent4"/>
                  <w:right w:val="nil"/>
                </w:tcBorders>
                <w:shd w:val="clear" w:color="auto" w:fill="auto"/>
                <w:vAlign w:val="center"/>
              </w:tcPr>
              <w:p w14:paraId="34AE117E" w14:textId="497BBB15" w:rsidR="00D21A18" w:rsidRPr="000B5299" w:rsidRDefault="008A3EC9" w:rsidP="008028F9">
                <w:pPr>
                  <w:pStyle w:val="TableIndent3"/>
                  <w:ind w:left="0"/>
                  <w:rPr>
                    <w:rFonts w:eastAsiaTheme="minorEastAsia" w:cstheme="minorBidi"/>
                    <w:b/>
                    <w:color w:val="33A1AB" w:themeColor="accent2"/>
                    <w:sz w:val="14"/>
                    <w:szCs w:val="14"/>
                    <w:lang w:val="en-US" w:eastAsia="en-US"/>
                  </w:rPr>
                </w:pPr>
                <w:r w:rsidRPr="000B5299">
                  <w:rPr>
                    <w:rFonts w:eastAsiaTheme="minorEastAsia" w:cstheme="minorBidi"/>
                    <w:b/>
                    <w:color w:val="33A1AB" w:themeColor="accent2"/>
                    <w:sz w:val="14"/>
                    <w:szCs w:val="14"/>
                    <w:lang w:val="en-US" w:eastAsia="en-US"/>
                  </w:rPr>
                  <w:t>B1.1</w:t>
                </w:r>
              </w:p>
            </w:tc>
            <w:tc>
              <w:tcPr>
                <w:tcW w:w="357" w:type="pct"/>
                <w:tcBorders>
                  <w:top w:val="single" w:sz="4" w:space="0" w:color="AFAFB4" w:themeColor="accent4"/>
                  <w:bottom w:val="single" w:sz="4" w:space="0" w:color="AFAFB4" w:themeColor="accent4"/>
                  <w:right w:val="nil"/>
                </w:tcBorders>
                <w:shd w:val="clear" w:color="auto" w:fill="auto"/>
                <w:tcMar>
                  <w:top w:w="60" w:type="dxa"/>
                  <w:left w:w="114" w:type="dxa"/>
                  <w:bottom w:w="60" w:type="dxa"/>
                  <w:right w:w="114" w:type="dxa"/>
                </w:tcMar>
                <w:vAlign w:val="center"/>
              </w:tcPr>
              <w:p w14:paraId="3ED0C93F" w14:textId="14A5B8C5" w:rsidR="00D21A18" w:rsidRPr="00131242" w:rsidRDefault="00D21A18" w:rsidP="008028F9">
                <w:pPr>
                  <w:pStyle w:val="TableIndent3"/>
                  <w:ind w:left="0"/>
                  <w:jc w:val="center"/>
                  <w:rPr>
                    <w:rFonts w:cs="Segoe UI"/>
                    <w:bCs/>
                    <w:sz w:val="14"/>
                    <w:szCs w:val="14"/>
                    <w:lang w:val="en-GB" w:eastAsia="it-IT"/>
                  </w:rPr>
                </w:pPr>
                <w:r w:rsidRPr="00131242">
                  <w:rPr>
                    <w:rFonts w:cs="Segoe UI"/>
                    <w:bCs/>
                    <w:sz w:val="14"/>
                    <w:szCs w:val="14"/>
                    <w:lang w:val="en-GB"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6AC539B2"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2B434A44"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4F84DC0F"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36FAFE9F"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0.08%</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5606E510"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3.96%</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618E85B4" w14:textId="77777777" w:rsidR="00D21A18" w:rsidRPr="00131242" w:rsidRDefault="00D21A18" w:rsidP="008028F9">
                <w:pPr>
                  <w:pStyle w:val="TableTextLeft"/>
                  <w:jc w:val="center"/>
                  <w:rPr>
                    <w:rFonts w:cs="Segoe UI"/>
                    <w:b/>
                    <w:sz w:val="14"/>
                    <w:szCs w:val="14"/>
                    <w:lang w:eastAsia="it-IT"/>
                  </w:rPr>
                </w:pPr>
                <w:r w:rsidRPr="00131242">
                  <w:rPr>
                    <w:rFonts w:cs="Segoe UI"/>
                    <w:b/>
                    <w:sz w:val="14"/>
                    <w:szCs w:val="14"/>
                    <w:lang w:eastAsia="it-IT"/>
                  </w:rPr>
                  <w:t>61.85%</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33AC4400"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29.98%</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72B98645"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3.72%</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5260EFD7"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0.33%</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6BDDDECC"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0.08%</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39B93431"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tcBorders>
                <w:shd w:val="clear" w:color="auto" w:fill="auto"/>
                <w:vAlign w:val="center"/>
              </w:tcPr>
              <w:p w14:paraId="11140DDA"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r>
          <w:tr w:rsidR="008A3EC9" w:rsidRPr="00131242" w14:paraId="27533E65" w14:textId="77777777" w:rsidTr="00892C44">
            <w:trPr>
              <w:trHeight w:val="283"/>
            </w:trPr>
            <w:tc>
              <w:tcPr>
                <w:tcW w:w="357" w:type="pct"/>
                <w:tcBorders>
                  <w:top w:val="single" w:sz="4" w:space="0" w:color="AFAFB4" w:themeColor="accent4"/>
                  <w:bottom w:val="single" w:sz="4" w:space="0" w:color="AFAFB4" w:themeColor="accent4"/>
                  <w:right w:val="nil"/>
                </w:tcBorders>
                <w:shd w:val="clear" w:color="auto" w:fill="auto"/>
                <w:vAlign w:val="center"/>
              </w:tcPr>
              <w:p w14:paraId="01F0B1E5" w14:textId="35478455" w:rsidR="00D21A18" w:rsidRPr="000B5299" w:rsidRDefault="008A3EC9" w:rsidP="008028F9">
                <w:pPr>
                  <w:pStyle w:val="TableIndent3"/>
                  <w:ind w:left="0"/>
                  <w:rPr>
                    <w:rFonts w:eastAsiaTheme="minorEastAsia" w:cstheme="minorBidi"/>
                    <w:b/>
                    <w:color w:val="33A1AB" w:themeColor="accent2"/>
                    <w:sz w:val="14"/>
                    <w:szCs w:val="14"/>
                    <w:lang w:val="en-US" w:eastAsia="en-US"/>
                  </w:rPr>
                </w:pPr>
                <w:r w:rsidRPr="000B5299">
                  <w:rPr>
                    <w:rFonts w:eastAsiaTheme="minorEastAsia" w:cstheme="minorBidi"/>
                    <w:b/>
                    <w:color w:val="33A1AB" w:themeColor="accent2"/>
                    <w:sz w:val="14"/>
                    <w:szCs w:val="14"/>
                    <w:lang w:val="en-US" w:eastAsia="en-US"/>
                  </w:rPr>
                  <w:t>B1.2</w:t>
                </w:r>
              </w:p>
            </w:tc>
            <w:tc>
              <w:tcPr>
                <w:tcW w:w="357" w:type="pct"/>
                <w:tcBorders>
                  <w:top w:val="single" w:sz="4" w:space="0" w:color="AFAFB4" w:themeColor="accent4"/>
                  <w:bottom w:val="single" w:sz="4" w:space="0" w:color="AFAFB4" w:themeColor="accent4"/>
                  <w:right w:val="nil"/>
                </w:tcBorders>
                <w:shd w:val="clear" w:color="auto" w:fill="auto"/>
                <w:tcMar>
                  <w:top w:w="60" w:type="dxa"/>
                  <w:left w:w="114" w:type="dxa"/>
                  <w:bottom w:w="60" w:type="dxa"/>
                  <w:right w:w="114" w:type="dxa"/>
                </w:tcMar>
                <w:vAlign w:val="center"/>
              </w:tcPr>
              <w:p w14:paraId="1F549A03" w14:textId="7EBF0A07" w:rsidR="00D21A18" w:rsidRPr="00131242" w:rsidRDefault="00D21A18" w:rsidP="008028F9">
                <w:pPr>
                  <w:pStyle w:val="TableIndent3"/>
                  <w:ind w:left="0"/>
                  <w:jc w:val="center"/>
                  <w:rPr>
                    <w:rFonts w:cs="Segoe UI"/>
                    <w:bCs/>
                    <w:sz w:val="14"/>
                    <w:szCs w:val="14"/>
                    <w:lang w:val="en-GB" w:eastAsia="it-IT"/>
                  </w:rPr>
                </w:pPr>
                <w:r w:rsidRPr="00131242">
                  <w:rPr>
                    <w:rFonts w:cs="Segoe UI"/>
                    <w:bCs/>
                    <w:sz w:val="14"/>
                    <w:szCs w:val="14"/>
                    <w:lang w:val="en-GB"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0BA532B8"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5B977736"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5CC53F90"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16245533"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0.05%</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0AE54FDC"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0.21%</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1A356598"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6.04%</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0D873451" w14:textId="77777777" w:rsidR="00D21A18" w:rsidRPr="00131242" w:rsidRDefault="00D21A18" w:rsidP="008028F9">
                <w:pPr>
                  <w:pStyle w:val="TableTextLeft"/>
                  <w:jc w:val="center"/>
                  <w:rPr>
                    <w:rFonts w:cs="Segoe UI"/>
                    <w:b/>
                    <w:sz w:val="14"/>
                    <w:szCs w:val="14"/>
                    <w:lang w:eastAsia="it-IT"/>
                  </w:rPr>
                </w:pPr>
                <w:r w:rsidRPr="00131242">
                  <w:rPr>
                    <w:rFonts w:cs="Segoe UI"/>
                    <w:b/>
                    <w:sz w:val="14"/>
                    <w:szCs w:val="14"/>
                    <w:lang w:eastAsia="it-IT"/>
                  </w:rPr>
                  <w:t>65.66%</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16EEAE77"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26.76%</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5DA7D70E"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1.11%</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0AF22D66"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0.16%</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07C45875"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tcBorders>
                <w:shd w:val="clear" w:color="auto" w:fill="auto"/>
                <w:vAlign w:val="center"/>
              </w:tcPr>
              <w:p w14:paraId="12822F0A"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r>
          <w:tr w:rsidR="008A3EC9" w:rsidRPr="00131242" w14:paraId="38D38994" w14:textId="77777777" w:rsidTr="00892C44">
            <w:trPr>
              <w:trHeight w:val="283"/>
            </w:trPr>
            <w:tc>
              <w:tcPr>
                <w:tcW w:w="357" w:type="pct"/>
                <w:tcBorders>
                  <w:top w:val="single" w:sz="4" w:space="0" w:color="AFAFB4" w:themeColor="accent4"/>
                  <w:bottom w:val="single" w:sz="4" w:space="0" w:color="AFAFB4" w:themeColor="accent4"/>
                  <w:right w:val="nil"/>
                </w:tcBorders>
                <w:shd w:val="clear" w:color="auto" w:fill="auto"/>
                <w:vAlign w:val="center"/>
              </w:tcPr>
              <w:p w14:paraId="48A3939E" w14:textId="01F7C22D" w:rsidR="00D21A18" w:rsidRPr="000B5299" w:rsidRDefault="008A3EC9" w:rsidP="008028F9">
                <w:pPr>
                  <w:pStyle w:val="TableIndent3"/>
                  <w:ind w:left="0"/>
                  <w:rPr>
                    <w:rFonts w:eastAsiaTheme="minorEastAsia" w:cstheme="minorBidi"/>
                    <w:b/>
                    <w:color w:val="33A1AB" w:themeColor="accent2"/>
                    <w:sz w:val="14"/>
                    <w:szCs w:val="14"/>
                    <w:lang w:val="en-US" w:eastAsia="en-US"/>
                  </w:rPr>
                </w:pPr>
                <w:r w:rsidRPr="000B5299">
                  <w:rPr>
                    <w:rFonts w:eastAsiaTheme="minorEastAsia" w:cstheme="minorBidi"/>
                    <w:b/>
                    <w:color w:val="33A1AB" w:themeColor="accent2"/>
                    <w:sz w:val="14"/>
                    <w:szCs w:val="14"/>
                    <w:lang w:val="en-US" w:eastAsia="en-US"/>
                  </w:rPr>
                  <w:t>B2.1</w:t>
                </w:r>
              </w:p>
            </w:tc>
            <w:tc>
              <w:tcPr>
                <w:tcW w:w="357" w:type="pct"/>
                <w:tcBorders>
                  <w:top w:val="single" w:sz="4" w:space="0" w:color="AFAFB4" w:themeColor="accent4"/>
                  <w:bottom w:val="single" w:sz="4" w:space="0" w:color="AFAFB4" w:themeColor="accent4"/>
                  <w:right w:val="nil"/>
                </w:tcBorders>
                <w:shd w:val="clear" w:color="auto" w:fill="auto"/>
                <w:tcMar>
                  <w:top w:w="60" w:type="dxa"/>
                  <w:left w:w="114" w:type="dxa"/>
                  <w:bottom w:w="60" w:type="dxa"/>
                  <w:right w:w="114" w:type="dxa"/>
                </w:tcMar>
                <w:vAlign w:val="center"/>
              </w:tcPr>
              <w:p w14:paraId="3F8D5F2A" w14:textId="5C9E86BB" w:rsidR="00D21A18" w:rsidRPr="00131242" w:rsidRDefault="00D21A18" w:rsidP="008028F9">
                <w:pPr>
                  <w:pStyle w:val="TableIndent3"/>
                  <w:ind w:left="0"/>
                  <w:jc w:val="center"/>
                  <w:rPr>
                    <w:rFonts w:cs="Segoe UI"/>
                    <w:bCs/>
                    <w:sz w:val="14"/>
                    <w:szCs w:val="14"/>
                    <w:lang w:val="en-GB" w:eastAsia="it-IT"/>
                  </w:rPr>
                </w:pPr>
                <w:r w:rsidRPr="00131242">
                  <w:rPr>
                    <w:rFonts w:cs="Segoe UI"/>
                    <w:bCs/>
                    <w:sz w:val="14"/>
                    <w:szCs w:val="14"/>
                    <w:lang w:val="en-GB"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2D88AA1F"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6EF33542"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034F288E"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0ED38191"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631E5112"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1D1915A1"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0.20%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665F7F27"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7.44%</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789DE7D0" w14:textId="77777777" w:rsidR="00D21A18" w:rsidRPr="00131242" w:rsidRDefault="00D21A18" w:rsidP="008028F9">
                <w:pPr>
                  <w:pStyle w:val="TableTextLeft"/>
                  <w:jc w:val="center"/>
                  <w:rPr>
                    <w:rFonts w:cs="Segoe UI"/>
                    <w:b/>
                    <w:sz w:val="14"/>
                    <w:szCs w:val="14"/>
                    <w:lang w:eastAsia="it-IT"/>
                  </w:rPr>
                </w:pPr>
                <w:r w:rsidRPr="00131242">
                  <w:rPr>
                    <w:rFonts w:cs="Segoe UI"/>
                    <w:b/>
                    <w:sz w:val="14"/>
                    <w:szCs w:val="14"/>
                    <w:lang w:eastAsia="it-IT"/>
                  </w:rPr>
                  <w:t>71.97%</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5CD2FEF0"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18.91%</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258B1814"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1.21%</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64277767"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0.27%</w:t>
                </w:r>
              </w:p>
            </w:tc>
            <w:tc>
              <w:tcPr>
                <w:tcW w:w="357" w:type="pct"/>
                <w:tcBorders>
                  <w:top w:val="single" w:sz="4" w:space="0" w:color="AFAFB4" w:themeColor="accent4"/>
                  <w:left w:val="nil"/>
                  <w:bottom w:val="single" w:sz="4" w:space="0" w:color="AFAFB4" w:themeColor="accent4"/>
                </w:tcBorders>
                <w:shd w:val="clear" w:color="auto" w:fill="auto"/>
                <w:vAlign w:val="center"/>
              </w:tcPr>
              <w:p w14:paraId="591C96D7"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r>
          <w:tr w:rsidR="008A3EC9" w:rsidRPr="00131242" w14:paraId="0C000316" w14:textId="77777777" w:rsidTr="00892C44">
            <w:trPr>
              <w:trHeight w:val="283"/>
            </w:trPr>
            <w:tc>
              <w:tcPr>
                <w:tcW w:w="357" w:type="pct"/>
                <w:tcBorders>
                  <w:top w:val="single" w:sz="4" w:space="0" w:color="AFAFB4" w:themeColor="accent4"/>
                  <w:bottom w:val="single" w:sz="4" w:space="0" w:color="AFAFB4" w:themeColor="accent4"/>
                  <w:right w:val="nil"/>
                </w:tcBorders>
                <w:shd w:val="clear" w:color="auto" w:fill="auto"/>
                <w:vAlign w:val="center"/>
              </w:tcPr>
              <w:p w14:paraId="6CA75620" w14:textId="30FA7590" w:rsidR="00D21A18" w:rsidRPr="000B5299" w:rsidRDefault="008A3EC9" w:rsidP="008028F9">
                <w:pPr>
                  <w:pStyle w:val="TableIndent3"/>
                  <w:ind w:left="0"/>
                  <w:rPr>
                    <w:rFonts w:eastAsiaTheme="minorEastAsia" w:cstheme="minorBidi"/>
                    <w:b/>
                    <w:color w:val="33A1AB" w:themeColor="accent2"/>
                    <w:sz w:val="14"/>
                    <w:szCs w:val="14"/>
                    <w:lang w:val="en-US" w:eastAsia="en-US"/>
                  </w:rPr>
                </w:pPr>
                <w:r w:rsidRPr="000B5299">
                  <w:rPr>
                    <w:rFonts w:eastAsiaTheme="minorEastAsia" w:cstheme="minorBidi"/>
                    <w:b/>
                    <w:color w:val="33A1AB" w:themeColor="accent2"/>
                    <w:sz w:val="14"/>
                    <w:szCs w:val="14"/>
                    <w:lang w:val="en-US" w:eastAsia="en-US"/>
                  </w:rPr>
                  <w:t>B2.2</w:t>
                </w:r>
              </w:p>
            </w:tc>
            <w:tc>
              <w:tcPr>
                <w:tcW w:w="357" w:type="pct"/>
                <w:tcBorders>
                  <w:top w:val="single" w:sz="4" w:space="0" w:color="AFAFB4" w:themeColor="accent4"/>
                  <w:bottom w:val="single" w:sz="4" w:space="0" w:color="AFAFB4" w:themeColor="accent4"/>
                  <w:right w:val="nil"/>
                </w:tcBorders>
                <w:shd w:val="clear" w:color="auto" w:fill="auto"/>
                <w:tcMar>
                  <w:top w:w="60" w:type="dxa"/>
                  <w:left w:w="114" w:type="dxa"/>
                  <w:bottom w:w="60" w:type="dxa"/>
                  <w:right w:w="114" w:type="dxa"/>
                </w:tcMar>
                <w:vAlign w:val="center"/>
              </w:tcPr>
              <w:p w14:paraId="2651B395" w14:textId="2B942049" w:rsidR="00D21A18" w:rsidRPr="00131242" w:rsidRDefault="00D21A18" w:rsidP="008028F9">
                <w:pPr>
                  <w:pStyle w:val="TableIndent3"/>
                  <w:ind w:left="0"/>
                  <w:jc w:val="center"/>
                  <w:rPr>
                    <w:rFonts w:cs="Segoe UI"/>
                    <w:bCs/>
                    <w:sz w:val="14"/>
                    <w:szCs w:val="14"/>
                    <w:lang w:val="en-GB" w:eastAsia="it-IT"/>
                  </w:rPr>
                </w:pPr>
                <w:r w:rsidRPr="00131242">
                  <w:rPr>
                    <w:rFonts w:cs="Segoe UI"/>
                    <w:bCs/>
                    <w:sz w:val="14"/>
                    <w:szCs w:val="14"/>
                    <w:lang w:val="en-GB"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2763132D"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1EE37A18"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17CFAEE8"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1575B900"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6046E9BF"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1B823FCC"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6ED62ECD"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0.31%</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29CE696F"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14.84%</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6EAF7DA5" w14:textId="77777777" w:rsidR="00D21A18" w:rsidRPr="00131242" w:rsidRDefault="00D21A18" w:rsidP="008028F9">
                <w:pPr>
                  <w:pStyle w:val="TableTextLeft"/>
                  <w:jc w:val="center"/>
                  <w:rPr>
                    <w:rFonts w:cs="Segoe UI"/>
                    <w:b/>
                    <w:sz w:val="14"/>
                    <w:szCs w:val="14"/>
                    <w:lang w:eastAsia="it-IT"/>
                  </w:rPr>
                </w:pPr>
                <w:r w:rsidRPr="00131242">
                  <w:rPr>
                    <w:rFonts w:cs="Segoe UI"/>
                    <w:b/>
                    <w:sz w:val="14"/>
                    <w:szCs w:val="14"/>
                    <w:lang w:eastAsia="it-IT"/>
                  </w:rPr>
                  <w:t>72.83%</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5D74173B"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11.51%</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49AC08AD"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0.38%</w:t>
                </w:r>
              </w:p>
            </w:tc>
            <w:tc>
              <w:tcPr>
                <w:tcW w:w="357" w:type="pct"/>
                <w:tcBorders>
                  <w:top w:val="single" w:sz="4" w:space="0" w:color="AFAFB4" w:themeColor="accent4"/>
                  <w:left w:val="nil"/>
                  <w:bottom w:val="single" w:sz="4" w:space="0" w:color="AFAFB4" w:themeColor="accent4"/>
                </w:tcBorders>
                <w:shd w:val="clear" w:color="auto" w:fill="auto"/>
                <w:vAlign w:val="center"/>
              </w:tcPr>
              <w:p w14:paraId="67D5B14F"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0.13%</w:t>
                </w:r>
              </w:p>
            </w:tc>
          </w:tr>
          <w:tr w:rsidR="008A3EC9" w:rsidRPr="00131242" w14:paraId="458C25DA" w14:textId="77777777" w:rsidTr="00892C44">
            <w:trPr>
              <w:trHeight w:val="283"/>
            </w:trPr>
            <w:tc>
              <w:tcPr>
                <w:tcW w:w="357" w:type="pct"/>
                <w:tcBorders>
                  <w:top w:val="single" w:sz="4" w:space="0" w:color="AFAFB4" w:themeColor="accent4"/>
                  <w:bottom w:val="single" w:sz="4" w:space="0" w:color="AFAFB4" w:themeColor="accent4"/>
                  <w:right w:val="nil"/>
                </w:tcBorders>
                <w:shd w:val="clear" w:color="auto" w:fill="auto"/>
                <w:vAlign w:val="center"/>
              </w:tcPr>
              <w:p w14:paraId="6622D9EC" w14:textId="73316AAD" w:rsidR="00D21A18" w:rsidRPr="000B5299" w:rsidRDefault="008A3EC9" w:rsidP="008028F9">
                <w:pPr>
                  <w:pStyle w:val="TableIndent3"/>
                  <w:ind w:left="0"/>
                  <w:rPr>
                    <w:rFonts w:eastAsiaTheme="minorEastAsia" w:cstheme="minorBidi"/>
                    <w:b/>
                    <w:color w:val="33A1AB" w:themeColor="accent2"/>
                    <w:sz w:val="14"/>
                    <w:szCs w:val="14"/>
                    <w:lang w:val="en-US" w:eastAsia="en-US"/>
                  </w:rPr>
                </w:pPr>
                <w:r w:rsidRPr="000B5299">
                  <w:rPr>
                    <w:rFonts w:eastAsiaTheme="minorEastAsia" w:cstheme="minorBidi"/>
                    <w:b/>
                    <w:color w:val="33A1AB" w:themeColor="accent2"/>
                    <w:sz w:val="14"/>
                    <w:szCs w:val="14"/>
                    <w:lang w:val="en-US" w:eastAsia="en-US"/>
                  </w:rPr>
                  <w:t>C1.1</w:t>
                </w:r>
              </w:p>
            </w:tc>
            <w:tc>
              <w:tcPr>
                <w:tcW w:w="357" w:type="pct"/>
                <w:tcBorders>
                  <w:top w:val="single" w:sz="4" w:space="0" w:color="AFAFB4" w:themeColor="accent4"/>
                  <w:bottom w:val="single" w:sz="4" w:space="0" w:color="AFAFB4" w:themeColor="accent4"/>
                  <w:right w:val="nil"/>
                </w:tcBorders>
                <w:shd w:val="clear" w:color="auto" w:fill="auto"/>
                <w:tcMar>
                  <w:top w:w="60" w:type="dxa"/>
                  <w:left w:w="114" w:type="dxa"/>
                  <w:bottom w:w="60" w:type="dxa"/>
                  <w:right w:w="114" w:type="dxa"/>
                </w:tcMar>
                <w:vAlign w:val="center"/>
              </w:tcPr>
              <w:p w14:paraId="77831F3B" w14:textId="74CC8BFA" w:rsidR="00D21A18" w:rsidRPr="00131242" w:rsidRDefault="00D21A18" w:rsidP="008028F9">
                <w:pPr>
                  <w:pStyle w:val="TableIndent3"/>
                  <w:ind w:left="0"/>
                  <w:jc w:val="center"/>
                  <w:rPr>
                    <w:rFonts w:cs="Segoe UI"/>
                    <w:bCs/>
                    <w:sz w:val="14"/>
                    <w:szCs w:val="14"/>
                    <w:lang w:val="en-GB" w:eastAsia="it-IT"/>
                  </w:rPr>
                </w:pPr>
                <w:r w:rsidRPr="00131242">
                  <w:rPr>
                    <w:rFonts w:cs="Segoe UI"/>
                    <w:bCs/>
                    <w:sz w:val="14"/>
                    <w:szCs w:val="14"/>
                    <w:lang w:val="en-GB"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7C521C22"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750E2E5F"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3C15F39D"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312FA6AD"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0C1A101F"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5EE91D7F"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301D7FBB"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0.14%</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76BA06AA"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0.43%</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599EB0E0"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17.99%</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37F46ACD" w14:textId="77777777" w:rsidR="00D21A18" w:rsidRPr="00131242" w:rsidRDefault="00D21A18" w:rsidP="008028F9">
                <w:pPr>
                  <w:pStyle w:val="TableTextLeft"/>
                  <w:jc w:val="center"/>
                  <w:rPr>
                    <w:rFonts w:cs="Segoe UI"/>
                    <w:b/>
                    <w:sz w:val="14"/>
                    <w:szCs w:val="14"/>
                    <w:lang w:eastAsia="it-IT"/>
                  </w:rPr>
                </w:pPr>
                <w:r w:rsidRPr="00131242">
                  <w:rPr>
                    <w:rFonts w:cs="Segoe UI"/>
                    <w:b/>
                    <w:sz w:val="14"/>
                    <w:szCs w:val="14"/>
                    <w:lang w:eastAsia="it-IT"/>
                  </w:rPr>
                  <w:t>70.22%</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36B203C1"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10.94%</w:t>
                </w:r>
              </w:p>
            </w:tc>
            <w:tc>
              <w:tcPr>
                <w:tcW w:w="357" w:type="pct"/>
                <w:tcBorders>
                  <w:top w:val="single" w:sz="4" w:space="0" w:color="AFAFB4" w:themeColor="accent4"/>
                  <w:left w:val="nil"/>
                  <w:bottom w:val="single" w:sz="4" w:space="0" w:color="AFAFB4" w:themeColor="accent4"/>
                </w:tcBorders>
                <w:shd w:val="clear" w:color="auto" w:fill="auto"/>
                <w:vAlign w:val="center"/>
              </w:tcPr>
              <w:p w14:paraId="6646CF50"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0.29%</w:t>
                </w:r>
              </w:p>
            </w:tc>
          </w:tr>
          <w:tr w:rsidR="008A3EC9" w:rsidRPr="00131242" w14:paraId="09125454" w14:textId="77777777" w:rsidTr="00892C44">
            <w:trPr>
              <w:trHeight w:val="283"/>
            </w:trPr>
            <w:tc>
              <w:tcPr>
                <w:tcW w:w="357" w:type="pct"/>
                <w:tcBorders>
                  <w:top w:val="single" w:sz="4" w:space="0" w:color="AFAFB4" w:themeColor="accent4"/>
                  <w:bottom w:val="single" w:sz="4" w:space="0" w:color="AFAFB4" w:themeColor="accent4"/>
                  <w:right w:val="nil"/>
                </w:tcBorders>
                <w:shd w:val="clear" w:color="auto" w:fill="auto"/>
                <w:vAlign w:val="center"/>
              </w:tcPr>
              <w:p w14:paraId="3200184D" w14:textId="59845857" w:rsidR="00D21A18" w:rsidRPr="000B5299" w:rsidRDefault="008A3EC9" w:rsidP="008028F9">
                <w:pPr>
                  <w:pStyle w:val="TableIndent3"/>
                  <w:ind w:left="0"/>
                  <w:rPr>
                    <w:rFonts w:eastAsiaTheme="minorEastAsia" w:cstheme="minorBidi"/>
                    <w:b/>
                    <w:color w:val="33A1AB" w:themeColor="accent2"/>
                    <w:sz w:val="14"/>
                    <w:szCs w:val="14"/>
                    <w:lang w:val="en-US" w:eastAsia="en-US"/>
                  </w:rPr>
                </w:pPr>
                <w:r w:rsidRPr="000B5299">
                  <w:rPr>
                    <w:rFonts w:eastAsiaTheme="minorEastAsia" w:cstheme="minorBidi"/>
                    <w:b/>
                    <w:color w:val="33A1AB" w:themeColor="accent2"/>
                    <w:sz w:val="14"/>
                    <w:szCs w:val="14"/>
                    <w:lang w:val="en-US" w:eastAsia="en-US"/>
                  </w:rPr>
                  <w:t>C1.2</w:t>
                </w:r>
              </w:p>
            </w:tc>
            <w:tc>
              <w:tcPr>
                <w:tcW w:w="357" w:type="pct"/>
                <w:tcBorders>
                  <w:top w:val="single" w:sz="4" w:space="0" w:color="AFAFB4" w:themeColor="accent4"/>
                  <w:bottom w:val="single" w:sz="4" w:space="0" w:color="AFAFB4" w:themeColor="accent4"/>
                  <w:right w:val="nil"/>
                </w:tcBorders>
                <w:shd w:val="clear" w:color="auto" w:fill="auto"/>
                <w:tcMar>
                  <w:top w:w="60" w:type="dxa"/>
                  <w:left w:w="114" w:type="dxa"/>
                  <w:bottom w:w="60" w:type="dxa"/>
                  <w:right w:w="114" w:type="dxa"/>
                </w:tcMar>
                <w:vAlign w:val="center"/>
              </w:tcPr>
              <w:p w14:paraId="2C94E45A" w14:textId="5F393DAE" w:rsidR="00D21A18" w:rsidRPr="00131242" w:rsidRDefault="00D21A18" w:rsidP="008028F9">
                <w:pPr>
                  <w:pStyle w:val="TableIndent3"/>
                  <w:ind w:left="0"/>
                  <w:jc w:val="center"/>
                  <w:rPr>
                    <w:rFonts w:cs="Segoe UI"/>
                    <w:bCs/>
                    <w:sz w:val="14"/>
                    <w:szCs w:val="14"/>
                    <w:lang w:val="en-GB" w:eastAsia="it-IT"/>
                  </w:rPr>
                </w:pPr>
                <w:r w:rsidRPr="00131242">
                  <w:rPr>
                    <w:rFonts w:cs="Segoe UI"/>
                    <w:bCs/>
                    <w:sz w:val="14"/>
                    <w:szCs w:val="14"/>
                    <w:lang w:val="en-GB"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67092776"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653BC0BE"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405E21EC"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76483FF6"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4CCAA96B"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15D23AD3"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3D277909"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2E5B1394"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770AEF47"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798A60D0"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19.28%</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4CB10CAA" w14:textId="77777777" w:rsidR="00D21A18" w:rsidRPr="00131242" w:rsidRDefault="00D21A18" w:rsidP="008028F9">
                <w:pPr>
                  <w:pStyle w:val="TableTextLeft"/>
                  <w:jc w:val="center"/>
                  <w:rPr>
                    <w:rFonts w:cs="Segoe UI"/>
                    <w:b/>
                    <w:sz w:val="14"/>
                    <w:szCs w:val="14"/>
                    <w:lang w:eastAsia="it-IT"/>
                  </w:rPr>
                </w:pPr>
                <w:r w:rsidRPr="00131242">
                  <w:rPr>
                    <w:rFonts w:cs="Segoe UI"/>
                    <w:b/>
                    <w:sz w:val="14"/>
                    <w:szCs w:val="14"/>
                    <w:lang w:eastAsia="it-IT"/>
                  </w:rPr>
                  <w:t>76.51%</w:t>
                </w:r>
              </w:p>
            </w:tc>
            <w:tc>
              <w:tcPr>
                <w:tcW w:w="357" w:type="pct"/>
                <w:tcBorders>
                  <w:top w:val="single" w:sz="4" w:space="0" w:color="AFAFB4" w:themeColor="accent4"/>
                  <w:left w:val="nil"/>
                  <w:bottom w:val="single" w:sz="4" w:space="0" w:color="AFAFB4" w:themeColor="accent4"/>
                </w:tcBorders>
                <w:shd w:val="clear" w:color="auto" w:fill="auto"/>
                <w:vAlign w:val="center"/>
              </w:tcPr>
              <w:p w14:paraId="3F3FAE66"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4.22%</w:t>
                </w:r>
              </w:p>
            </w:tc>
          </w:tr>
          <w:tr w:rsidR="008A3EC9" w:rsidRPr="00131242" w14:paraId="56962B26" w14:textId="77777777" w:rsidTr="00892C44">
            <w:trPr>
              <w:trHeight w:val="283"/>
            </w:trPr>
            <w:tc>
              <w:tcPr>
                <w:tcW w:w="357" w:type="pct"/>
                <w:tcBorders>
                  <w:top w:val="single" w:sz="4" w:space="0" w:color="AFAFB4" w:themeColor="accent4"/>
                  <w:bottom w:val="single" w:sz="4" w:space="0" w:color="AFAFB4" w:themeColor="accent4"/>
                  <w:right w:val="nil"/>
                </w:tcBorders>
                <w:shd w:val="clear" w:color="auto" w:fill="auto"/>
                <w:vAlign w:val="center"/>
              </w:tcPr>
              <w:p w14:paraId="423EC762" w14:textId="1541B2C9" w:rsidR="00D21A18" w:rsidRPr="000B5299" w:rsidRDefault="008A3EC9" w:rsidP="008028F9">
                <w:pPr>
                  <w:pStyle w:val="TableIndent3"/>
                  <w:ind w:left="0"/>
                  <w:rPr>
                    <w:rFonts w:eastAsiaTheme="minorEastAsia" w:cstheme="minorBidi"/>
                    <w:b/>
                    <w:color w:val="33A1AB" w:themeColor="accent2"/>
                    <w:sz w:val="14"/>
                    <w:szCs w:val="14"/>
                    <w:lang w:val="en-US" w:eastAsia="en-US"/>
                  </w:rPr>
                </w:pPr>
                <w:r w:rsidRPr="000B5299">
                  <w:rPr>
                    <w:rFonts w:eastAsiaTheme="minorEastAsia" w:cstheme="minorBidi"/>
                    <w:b/>
                    <w:color w:val="33A1AB" w:themeColor="accent2"/>
                    <w:sz w:val="14"/>
                    <w:szCs w:val="14"/>
                    <w:lang w:val="en-US" w:eastAsia="en-US"/>
                  </w:rPr>
                  <w:t>C2.1</w:t>
                </w:r>
              </w:p>
            </w:tc>
            <w:tc>
              <w:tcPr>
                <w:tcW w:w="357" w:type="pct"/>
                <w:tcBorders>
                  <w:top w:val="single" w:sz="4" w:space="0" w:color="AFAFB4" w:themeColor="accent4"/>
                  <w:bottom w:val="single" w:sz="4" w:space="0" w:color="AFAFB4" w:themeColor="accent4"/>
                  <w:right w:val="nil"/>
                </w:tcBorders>
                <w:shd w:val="clear" w:color="auto" w:fill="auto"/>
                <w:tcMar>
                  <w:top w:w="60" w:type="dxa"/>
                  <w:left w:w="114" w:type="dxa"/>
                  <w:bottom w:w="60" w:type="dxa"/>
                  <w:right w:w="114" w:type="dxa"/>
                </w:tcMar>
                <w:vAlign w:val="center"/>
              </w:tcPr>
              <w:p w14:paraId="1F39C2C1" w14:textId="0D1037F1" w:rsidR="00D21A18" w:rsidRPr="00131242" w:rsidRDefault="00D21A18" w:rsidP="008028F9">
                <w:pPr>
                  <w:pStyle w:val="TableIndent3"/>
                  <w:ind w:left="0"/>
                  <w:jc w:val="center"/>
                  <w:rPr>
                    <w:rFonts w:cs="Segoe UI"/>
                    <w:bCs/>
                    <w:sz w:val="14"/>
                    <w:szCs w:val="14"/>
                    <w:lang w:val="en-GB" w:eastAsia="it-IT"/>
                  </w:rPr>
                </w:pPr>
                <w:r w:rsidRPr="00131242">
                  <w:rPr>
                    <w:rFonts w:cs="Segoe UI"/>
                    <w:bCs/>
                    <w:sz w:val="14"/>
                    <w:szCs w:val="14"/>
                    <w:lang w:val="en-GB"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05F12E59"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108BC3B5"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5CDFB325"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0CE87BB8"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4DDEFD30"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7EA3EEE1"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721022C6"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7012FBA4"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234CAA35"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4F2A6ED2"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29EA57A4" w14:textId="77777777" w:rsidR="00D21A18" w:rsidRPr="00131242" w:rsidRDefault="00D21A18" w:rsidP="008028F9">
                <w:pPr>
                  <w:pStyle w:val="TableTextLeft"/>
                  <w:jc w:val="center"/>
                  <w:rPr>
                    <w:rFonts w:cs="Segoe UI"/>
                    <w:bCs/>
                    <w:sz w:val="14"/>
                    <w:szCs w:val="14"/>
                    <w:lang w:eastAsia="it-IT"/>
                  </w:rPr>
                </w:pPr>
                <w:r w:rsidRPr="00131242">
                  <w:rPr>
                    <w:rFonts w:cs="Segoe UI"/>
                    <w:bCs/>
                    <w:sz w:val="14"/>
                    <w:szCs w:val="14"/>
                    <w:lang w:eastAsia="it-IT"/>
                  </w:rPr>
                  <w:t>33.33%</w:t>
                </w:r>
              </w:p>
            </w:tc>
            <w:tc>
              <w:tcPr>
                <w:tcW w:w="357" w:type="pct"/>
                <w:tcBorders>
                  <w:top w:val="single" w:sz="4" w:space="0" w:color="AFAFB4" w:themeColor="accent4"/>
                  <w:left w:val="nil"/>
                  <w:bottom w:val="single" w:sz="4" w:space="0" w:color="AFAFB4" w:themeColor="accent4"/>
                </w:tcBorders>
                <w:shd w:val="clear" w:color="auto" w:fill="auto"/>
                <w:vAlign w:val="center"/>
              </w:tcPr>
              <w:p w14:paraId="1E30F0E4" w14:textId="77777777" w:rsidR="00D21A18" w:rsidRPr="00131242" w:rsidRDefault="00D21A18" w:rsidP="008028F9">
                <w:pPr>
                  <w:pStyle w:val="TableTextLeft"/>
                  <w:jc w:val="center"/>
                  <w:rPr>
                    <w:rFonts w:cs="Segoe UI"/>
                    <w:b/>
                    <w:sz w:val="14"/>
                    <w:szCs w:val="14"/>
                    <w:lang w:eastAsia="it-IT"/>
                  </w:rPr>
                </w:pPr>
                <w:r w:rsidRPr="00131242">
                  <w:rPr>
                    <w:rFonts w:cs="Segoe UI"/>
                    <w:b/>
                    <w:sz w:val="14"/>
                    <w:szCs w:val="14"/>
                    <w:lang w:eastAsia="it-IT"/>
                  </w:rPr>
                  <w:t>66.67%</w:t>
                </w:r>
              </w:p>
            </w:tc>
          </w:tr>
        </w:tbl>
        <w:p w14:paraId="522856D6" w14:textId="77777777" w:rsidR="004101BF" w:rsidRPr="0032337D" w:rsidRDefault="004101BF" w:rsidP="004101BF">
          <w:pPr>
            <w:rPr>
              <w:rFonts w:cs="Segoe UI"/>
              <w:lang w:val="en-GB"/>
            </w:rPr>
          </w:pPr>
        </w:p>
        <w:p w14:paraId="749CBF95" w14:textId="77777777" w:rsidR="007661DA" w:rsidRDefault="007661DA">
          <w:pPr>
            <w:spacing w:before="0" w:after="200" w:line="276" w:lineRule="auto"/>
            <w:jc w:val="left"/>
            <w:rPr>
              <w:rFonts w:cs="Segoe UI"/>
              <w:lang w:val="en-GB"/>
            </w:rPr>
          </w:pPr>
          <w:r>
            <w:rPr>
              <w:rFonts w:cs="Segoe UI"/>
              <w:lang w:val="en-GB"/>
            </w:rPr>
            <w:br w:type="page"/>
          </w:r>
        </w:p>
        <w:p w14:paraId="70983E42" w14:textId="31DFDFE2" w:rsidR="004101BF" w:rsidRPr="0032337D" w:rsidRDefault="004101BF" w:rsidP="004101BF">
          <w:pPr>
            <w:rPr>
              <w:rFonts w:cs="Segoe UI"/>
              <w:lang w:val="en-GB"/>
            </w:rPr>
          </w:pPr>
          <w:r w:rsidRPr="0032337D">
            <w:rPr>
              <w:rFonts w:cs="Segoe UI"/>
              <w:lang w:val="en-GB"/>
            </w:rPr>
            <w:lastRenderedPageBreak/>
            <w:t>The table below depicts the details of such changes:</w:t>
          </w:r>
        </w:p>
        <w:p w14:paraId="1B99671C" w14:textId="6D68506D" w:rsidR="004101BF" w:rsidRPr="0032337D" w:rsidRDefault="004101BF" w:rsidP="004101BF">
          <w:pPr>
            <w:pStyle w:val="Didascalia"/>
            <w:rPr>
              <w:rFonts w:ascii="Segoe UI" w:hAnsi="Segoe UI" w:cs="Segoe UI"/>
              <w:i/>
              <w:sz w:val="14"/>
              <w:lang w:val="en-GB"/>
            </w:rPr>
          </w:pPr>
          <w:bookmarkStart w:id="225" w:name="_Toc130806364"/>
          <w:bookmarkStart w:id="226" w:name="_Toc166675705"/>
          <w:bookmarkStart w:id="227" w:name="_Toc167131832"/>
          <w:r w:rsidRPr="0032337D">
            <w:rPr>
              <w:rFonts w:ascii="Segoe UI" w:hAnsi="Segoe UI" w:cs="Segoe UI"/>
              <w:i/>
              <w:sz w:val="14"/>
              <w:lang w:val="en-GB"/>
            </w:rPr>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64</w:t>
          </w:r>
          <w:r>
            <w:rPr>
              <w:rFonts w:ascii="Segoe UI" w:hAnsi="Segoe UI" w:cs="Segoe UI"/>
              <w:i/>
              <w:sz w:val="14"/>
              <w:lang w:val="en-GB"/>
            </w:rPr>
            <w:fldChar w:fldCharType="end"/>
          </w:r>
          <w:r w:rsidRPr="0032337D">
            <w:rPr>
              <w:rFonts w:ascii="Segoe UI" w:hAnsi="Segoe UI" w:cs="Segoe UI"/>
              <w:i/>
              <w:sz w:val="14"/>
              <w:lang w:val="en-GB"/>
            </w:rPr>
            <w:t>: Breakdown of occurred migrations</w:t>
          </w:r>
          <w:bookmarkEnd w:id="225"/>
          <w:bookmarkEnd w:id="226"/>
          <w:bookmarkEnd w:id="227"/>
        </w:p>
        <w:tbl>
          <w:tblPr>
            <w:tblW w:w="5000" w:type="pct"/>
            <w:tblBorders>
              <w:top w:val="single" w:sz="4" w:space="0" w:color="AFAFB4" w:themeColor="accent4"/>
              <w:bottom w:val="single" w:sz="4" w:space="0" w:color="AFAFB4" w:themeColor="accent4"/>
              <w:insideH w:val="single" w:sz="4" w:space="0" w:color="AFAFB4" w:themeColor="accent4"/>
            </w:tblBorders>
            <w:shd w:val="clear" w:color="auto" w:fill="FFFFFF" w:themeFill="background2"/>
            <w:tblCellMar>
              <w:left w:w="0" w:type="dxa"/>
              <w:right w:w="0" w:type="dxa"/>
            </w:tblCellMar>
            <w:tblLook w:val="0620" w:firstRow="1" w:lastRow="0" w:firstColumn="0" w:lastColumn="0" w:noHBand="1" w:noVBand="1"/>
            <w:tblDescription w:val="{&quot;Ott&quot;:{&quot;FirstRow&quot;:{&quot;BackgroundColor&quot;:{&quot;Key&quot;:&quot;Light2&quot;},&quot;Font&quot;:{&quot;Name&quot;:&quot;Source Sans Pro&quot;,&quot;Size&quot;:14.0,&quot;Bold&quot;:false,&quot;Italic&quot;:false,&quot;Color&quot;:{&quot;Key&quot;:&quot;Dark2&quot;}},&quot;ExcelCellFormatting&quot;:&quot;General&quot;,&quot;Alignment&quot;:{&quot;Horizontal&quot;:&quot;Left&quot;,&quot;Vertical&quot;:&quot;Bottom&quot;},&quot;Borders&quot;:{&quot;Vertical&quot;:{&quot;Visible&quot;:false},&quot;Left&quot;:{&quot;Visible&quot;:false},&quot;Top&quot;:{&quot;Visible&quot;:false},&quot;Right&quot;:{&quot;Visible&quot;:false},&quot;Bottom&quot;:{&quot;Color&quot;:{&quot;Key&quot;:&quot;Accent4&quot;},&quot;BorderWeight&quot;:&quot;Pt1_5&quot;,&quot;Type&quot;:&quot;Solid&quot;,&quot;Visible&quot;:true}}},&quot;FitRowHeightPp&quot;:true,&quot;ZeroMarginsWord&quot;:true,&quot;BackgroundColor&quot;:{&quot;Key&quot;:&quot;Light2&quot;},&quot;Font&quot;:{&quot;Name&quot;:&quot;Source Sans Pro&quot;,&quot;Size&quot;:11.0,&quot;Bold&quot;:false,&quot;Italic&quot;:false,&quot;Color&quot;:{&quot;Key&quot;:&quot;Dark2&quot;}},&quot;LineSpacing&quot;:{&quot;Rule&quot;:&quot;Single&quot;},&quot;Alignment&quot;:{&quot;Horizontal&quot;:&quot;Left&quot;,&quot;Vertical&quot;:&quot;Top&quot;},&quot;Margin&quot;:{&quot;Left&quot;:5.7,&quot;Top&quot;:3.0,&quot;Right&quot;:5.7,&quot;Bottom&quot;:3.0},&quot;Borders&quot;:{&quot;Vertical&quot;:{&quot;Visible&quot;:false},&quot;Horizontal&quot;:{&quot;Color&quot;:{&quot;Key&quot;:&quot;Accent4&quot;},&quot;BorderWeight&quot;:&quot;Pt0_5&quot;,&quot;Type&quot;:&quot;Solid&quot;,&quot;Visible&quot;:true}},&quot;ParagraphSpacing&quot;:{&quot;SpaceBefore&quot;:2.0,&quot;SpaceAfter&quot;:2.0},&quot;ExcelWrapText&quot;:true},&quot;Ccs&quot;:{&quot;DarkBlue&quot;:&quot;0, 20, 55&quot;,&quot;Turquoise&quot;:&quot;0, 164, 230&quot;,&quot;Red&quot;:&quot;214, 70, 65&quot;,&quot;LightGrey&quot;:&quot;174, 174, 180&quot;,&quot;BlueGrey&quot;:&quot;77, 91, 115&quot;,&quot;IceBlue&quot;:&quot;178, 184, 195&quot;,&quot;Grey&quot;:&quot;145, 147, 153&quot;,&quot;Background&quot;:&quot;0, 0, 0, 0&quot;,&quot;White&quot;:&quot;White&quot;,&quot;Accent1&quot;:&quot;1, 1, 1, 1&quot;,&quot;Accent2&quot;:&quot;1, 1, 1, 2&quot;,&quot;Accent3&quot;:&quot;1, 1, 1, 3&quot;,&quot;Accent4&quot;:&quot;1, 1, 1, 4&quot;,&quot;Accent5&quot;:&quot;1, 1, 1, 5&quot;,&quot;Accent6&quot;:&quot;1, 1, 1, 6&quot;,&quot;Dark1&quot;:&quot;1, 1, 1, 7&quot;,&quot;Dark2&quot;:&quot;1, 1, 1, 9&quot;,&quot;Light1&quot;:&quot;1, 1, 1, 8&quot;,&quot;Light2&quot;:&quot;1, 1, 1, 10&quot;},&quot;Cop&quot;:{&quot;FirstRow&quot;:true,&quot;LastRow&quot;:false,&quot;FirstColumn&quot;:false,&quot;LastColumn&quot;:false,&quot;BandedRows&quot;:false,&quot;BandedColumns&quot;:false},&quot;Aaf&quot;:false}"/>
          </w:tblPr>
          <w:tblGrid>
            <w:gridCol w:w="2069"/>
            <w:gridCol w:w="2069"/>
            <w:gridCol w:w="2070"/>
            <w:gridCol w:w="2070"/>
            <w:gridCol w:w="2070"/>
          </w:tblGrid>
          <w:tr w:rsidR="00CE771F" w:rsidRPr="00ED33EF" w14:paraId="4AA6A140" w14:textId="77777777" w:rsidTr="00892C44">
            <w:trPr>
              <w:trHeight w:val="283"/>
            </w:trPr>
            <w:tc>
              <w:tcPr>
                <w:tcW w:w="1000"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0693C336" w14:textId="029063CC" w:rsidR="00CE771F" w:rsidRPr="00ED33EF" w:rsidRDefault="00E443EC" w:rsidP="00ED5B94">
                <w:pPr>
                  <w:spacing w:before="0" w:line="240" w:lineRule="auto"/>
                  <w:jc w:val="center"/>
                  <w:rPr>
                    <w:b/>
                    <w:color w:val="33A1AB" w:themeColor="accent2"/>
                    <w:sz w:val="14"/>
                    <w:szCs w:val="14"/>
                  </w:rPr>
                </w:pPr>
                <w:r>
                  <w:rPr>
                    <w:b/>
                    <w:color w:val="33A1AB" w:themeColor="accent2"/>
                    <w:sz w:val="14"/>
                    <w:szCs w:val="14"/>
                  </w:rPr>
                  <w:t>Occurred change</w:t>
                </w:r>
              </w:p>
            </w:tc>
            <w:tc>
              <w:tcPr>
                <w:tcW w:w="1000"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6DB49654" w14:textId="5ACAE91C" w:rsidR="00CE771F" w:rsidRPr="00ED33EF" w:rsidRDefault="00E443EC" w:rsidP="00ED5B94">
                <w:pPr>
                  <w:spacing w:before="0" w:line="240" w:lineRule="auto"/>
                  <w:jc w:val="center"/>
                  <w:rPr>
                    <w:b/>
                    <w:color w:val="33A1AB" w:themeColor="accent2"/>
                    <w:sz w:val="14"/>
                    <w:szCs w:val="14"/>
                  </w:rPr>
                </w:pPr>
                <w:r>
                  <w:rPr>
                    <w:b/>
                    <w:color w:val="33A1AB" w:themeColor="accent2"/>
                    <w:sz w:val="14"/>
                    <w:szCs w:val="14"/>
                  </w:rPr>
                  <w:t>Upgrade</w:t>
                </w:r>
              </w:p>
            </w:tc>
            <w:tc>
              <w:tcPr>
                <w:tcW w:w="1000" w:type="pct"/>
                <w:tcBorders>
                  <w:top w:val="single" w:sz="12" w:space="0" w:color="AFAFB4" w:themeColor="accent4"/>
                </w:tcBorders>
                <w:shd w:val="clear" w:color="auto" w:fill="FFFFFF" w:themeFill="background2"/>
                <w:tcMar>
                  <w:top w:w="60" w:type="dxa"/>
                  <w:left w:w="114" w:type="dxa"/>
                  <w:bottom w:w="60" w:type="dxa"/>
                  <w:right w:w="114" w:type="dxa"/>
                </w:tcMar>
                <w:vAlign w:val="center"/>
              </w:tcPr>
              <w:p w14:paraId="43F7F8B2" w14:textId="1CAFB067" w:rsidR="00CE771F" w:rsidRPr="00ED33EF" w:rsidRDefault="00E443EC" w:rsidP="00ED5B94">
                <w:pPr>
                  <w:spacing w:before="0" w:line="240" w:lineRule="auto"/>
                  <w:jc w:val="center"/>
                  <w:rPr>
                    <w:b/>
                    <w:color w:val="33A1AB" w:themeColor="accent2"/>
                    <w:sz w:val="14"/>
                    <w:szCs w:val="14"/>
                  </w:rPr>
                </w:pPr>
                <w:r>
                  <w:rPr>
                    <w:b/>
                    <w:color w:val="33A1AB" w:themeColor="accent2"/>
                    <w:sz w:val="14"/>
                    <w:szCs w:val="14"/>
                  </w:rPr>
                  <w:t>Stable</w:t>
                </w:r>
              </w:p>
            </w:tc>
            <w:tc>
              <w:tcPr>
                <w:tcW w:w="1000" w:type="pct"/>
                <w:tcBorders>
                  <w:top w:val="single" w:sz="12" w:space="0" w:color="AFAFB4" w:themeColor="accent4"/>
                </w:tcBorders>
                <w:shd w:val="clear" w:color="auto" w:fill="FFFFFF" w:themeFill="background2"/>
                <w:vAlign w:val="center"/>
              </w:tcPr>
              <w:p w14:paraId="1B0C98F6" w14:textId="4CA14EA4" w:rsidR="00CE771F" w:rsidRPr="00ED33EF" w:rsidRDefault="00E443EC" w:rsidP="00ED5B94">
                <w:pPr>
                  <w:spacing w:before="0" w:line="240" w:lineRule="auto"/>
                  <w:jc w:val="center"/>
                  <w:rPr>
                    <w:b/>
                    <w:color w:val="33A1AB" w:themeColor="accent2"/>
                    <w:sz w:val="14"/>
                    <w:szCs w:val="14"/>
                  </w:rPr>
                </w:pPr>
                <w:r>
                  <w:rPr>
                    <w:b/>
                    <w:color w:val="33A1AB" w:themeColor="accent2"/>
                    <w:sz w:val="14"/>
                    <w:szCs w:val="14"/>
                  </w:rPr>
                  <w:t>Downgrade</w:t>
                </w:r>
              </w:p>
            </w:tc>
            <w:tc>
              <w:tcPr>
                <w:tcW w:w="1000" w:type="pct"/>
                <w:tcBorders>
                  <w:top w:val="single" w:sz="12" w:space="0" w:color="AFAFB4" w:themeColor="accent4"/>
                </w:tcBorders>
                <w:shd w:val="clear" w:color="auto" w:fill="FFFFFF" w:themeFill="background2"/>
                <w:vAlign w:val="center"/>
              </w:tcPr>
              <w:p w14:paraId="4D54D61B" w14:textId="0FF3AFCC" w:rsidR="00CE771F" w:rsidRPr="00ED33EF" w:rsidRDefault="00E443EC" w:rsidP="00ED5B94">
                <w:pPr>
                  <w:spacing w:before="0" w:line="240" w:lineRule="auto"/>
                  <w:jc w:val="center"/>
                  <w:rPr>
                    <w:b/>
                    <w:color w:val="33A1AB" w:themeColor="accent2"/>
                    <w:sz w:val="14"/>
                    <w:szCs w:val="14"/>
                  </w:rPr>
                </w:pPr>
                <w:r>
                  <w:rPr>
                    <w:b/>
                    <w:color w:val="33A1AB" w:themeColor="accent2"/>
                    <w:sz w:val="14"/>
                    <w:szCs w:val="14"/>
                  </w:rPr>
                  <w:t>Cumulative changes</w:t>
                </w:r>
              </w:p>
            </w:tc>
          </w:tr>
          <w:tr w:rsidR="00ED5B94" w:rsidRPr="00ED33EF" w14:paraId="49022EB7" w14:textId="77777777" w:rsidTr="00892C44">
            <w:trPr>
              <w:trHeight w:val="283"/>
            </w:trPr>
            <w:tc>
              <w:tcPr>
                <w:tcW w:w="1000" w:type="pct"/>
                <w:shd w:val="clear" w:color="auto" w:fill="FFFFFF" w:themeFill="background2"/>
                <w:tcMar>
                  <w:top w:w="60" w:type="dxa"/>
                  <w:left w:w="114" w:type="dxa"/>
                  <w:bottom w:w="60" w:type="dxa"/>
                  <w:right w:w="114" w:type="dxa"/>
                </w:tcMar>
                <w:vAlign w:val="center"/>
              </w:tcPr>
              <w:p w14:paraId="7584ED1D" w14:textId="5EEA9E0E" w:rsidR="00ED5B94" w:rsidRPr="00CE771F" w:rsidRDefault="00ED5B94" w:rsidP="00ED5B94">
                <w:pPr>
                  <w:pStyle w:val="TableIndent3"/>
                  <w:spacing w:before="0" w:after="0"/>
                  <w:ind w:left="0"/>
                  <w:rPr>
                    <w:bCs/>
                    <w:sz w:val="14"/>
                    <w:szCs w:val="14"/>
                  </w:rPr>
                </w:pPr>
                <w:r>
                  <w:rPr>
                    <w:bCs/>
                    <w:sz w:val="14"/>
                    <w:szCs w:val="14"/>
                  </w:rPr>
                  <w:t>No change</w:t>
                </w:r>
              </w:p>
            </w:tc>
            <w:tc>
              <w:tcPr>
                <w:tcW w:w="1000" w:type="pct"/>
                <w:shd w:val="clear" w:color="auto" w:fill="FFFFFF" w:themeFill="background2"/>
                <w:tcMar>
                  <w:top w:w="60" w:type="dxa"/>
                  <w:left w:w="114" w:type="dxa"/>
                  <w:bottom w:w="60" w:type="dxa"/>
                  <w:right w:w="114" w:type="dxa"/>
                </w:tcMar>
                <w:vAlign w:val="center"/>
              </w:tcPr>
              <w:p w14:paraId="07895BB6" w14:textId="2A73718B" w:rsidR="00ED5B94" w:rsidRPr="008D5D4E" w:rsidRDefault="00ED5B94" w:rsidP="00ED5B94">
                <w:pPr>
                  <w:pStyle w:val="TableTextLeft"/>
                  <w:spacing w:before="0" w:after="0"/>
                  <w:jc w:val="center"/>
                  <w:rPr>
                    <w:bCs/>
                    <w:sz w:val="14"/>
                    <w:szCs w:val="14"/>
                    <w:lang w:val="fr-FR"/>
                  </w:rPr>
                </w:pPr>
              </w:p>
            </w:tc>
            <w:tc>
              <w:tcPr>
                <w:tcW w:w="1000" w:type="pct"/>
                <w:shd w:val="clear" w:color="auto" w:fill="FFFFFF" w:themeFill="background2"/>
                <w:tcMar>
                  <w:top w:w="60" w:type="dxa"/>
                  <w:left w:w="114" w:type="dxa"/>
                  <w:bottom w:w="60" w:type="dxa"/>
                  <w:right w:w="114" w:type="dxa"/>
                </w:tcMar>
                <w:vAlign w:val="center"/>
              </w:tcPr>
              <w:p w14:paraId="3B90176E" w14:textId="23F6AEBD" w:rsidR="00ED5B94" w:rsidRPr="008D5D4E" w:rsidRDefault="00ED5B94" w:rsidP="00ED5B94">
                <w:pPr>
                  <w:pStyle w:val="TableTextLeft"/>
                  <w:spacing w:before="0" w:after="0"/>
                  <w:jc w:val="center"/>
                  <w:rPr>
                    <w:bCs/>
                    <w:sz w:val="14"/>
                    <w:szCs w:val="14"/>
                    <w:lang w:val="fr-FR"/>
                  </w:rPr>
                </w:pPr>
                <w:r w:rsidRPr="00ED5B94">
                  <w:rPr>
                    <w:bCs/>
                    <w:sz w:val="14"/>
                    <w:szCs w:val="14"/>
                    <w:lang w:val="fr-FR"/>
                  </w:rPr>
                  <w:t>69.72%</w:t>
                </w:r>
              </w:p>
            </w:tc>
            <w:tc>
              <w:tcPr>
                <w:tcW w:w="1000" w:type="pct"/>
                <w:shd w:val="clear" w:color="auto" w:fill="FFFFFF" w:themeFill="background2"/>
                <w:vAlign w:val="center"/>
              </w:tcPr>
              <w:p w14:paraId="21DFA749" w14:textId="29D7B1BF" w:rsidR="00ED5B94" w:rsidRPr="008D5D4E" w:rsidRDefault="00ED5B94" w:rsidP="00ED5B94">
                <w:pPr>
                  <w:pStyle w:val="TableTextLeft"/>
                  <w:spacing w:before="0" w:after="0"/>
                  <w:jc w:val="center"/>
                  <w:rPr>
                    <w:bCs/>
                    <w:sz w:val="14"/>
                    <w:szCs w:val="14"/>
                    <w:lang w:val="fr-FR"/>
                  </w:rPr>
                </w:pPr>
              </w:p>
            </w:tc>
            <w:tc>
              <w:tcPr>
                <w:tcW w:w="1000" w:type="pct"/>
                <w:shd w:val="clear" w:color="auto" w:fill="FFFFFF" w:themeFill="background2"/>
                <w:vAlign w:val="center"/>
              </w:tcPr>
              <w:p w14:paraId="1C216A92" w14:textId="125B6186" w:rsidR="00ED5B94" w:rsidRPr="008D5D4E" w:rsidRDefault="00ED5B94" w:rsidP="00ED5B94">
                <w:pPr>
                  <w:pStyle w:val="TableTextLeft"/>
                  <w:spacing w:before="0" w:after="0"/>
                  <w:jc w:val="center"/>
                  <w:rPr>
                    <w:bCs/>
                    <w:sz w:val="14"/>
                    <w:szCs w:val="14"/>
                    <w:lang w:val="fr-FR"/>
                  </w:rPr>
                </w:pPr>
                <w:r w:rsidRPr="00ED5B94">
                  <w:rPr>
                    <w:bCs/>
                    <w:sz w:val="14"/>
                    <w:szCs w:val="14"/>
                    <w:lang w:val="fr-FR"/>
                  </w:rPr>
                  <w:t>69.72%</w:t>
                </w:r>
              </w:p>
            </w:tc>
          </w:tr>
          <w:tr w:rsidR="00ED5B94" w:rsidRPr="00ED33EF" w14:paraId="2D14ED07" w14:textId="77777777" w:rsidTr="00892C44">
            <w:trPr>
              <w:trHeight w:val="283"/>
            </w:trPr>
            <w:tc>
              <w:tcPr>
                <w:tcW w:w="1000" w:type="pct"/>
                <w:shd w:val="clear" w:color="auto" w:fill="FFFFFF" w:themeFill="background2"/>
                <w:tcMar>
                  <w:top w:w="60" w:type="dxa"/>
                  <w:left w:w="114" w:type="dxa"/>
                  <w:bottom w:w="60" w:type="dxa"/>
                  <w:right w:w="114" w:type="dxa"/>
                </w:tcMar>
                <w:vAlign w:val="center"/>
              </w:tcPr>
              <w:p w14:paraId="73C70DDA" w14:textId="2006CC6F" w:rsidR="00ED5B94" w:rsidRPr="00CE771F" w:rsidRDefault="00ED5B94" w:rsidP="00ED5B94">
                <w:pPr>
                  <w:pStyle w:val="TableIndent3"/>
                  <w:spacing w:before="0" w:after="0"/>
                  <w:ind w:left="0"/>
                  <w:rPr>
                    <w:rFonts w:cs="Segoe UI"/>
                    <w:bCs/>
                    <w:sz w:val="14"/>
                    <w:szCs w:val="14"/>
                    <w:lang w:val="en-GB" w:eastAsia="it-IT"/>
                  </w:rPr>
                </w:pPr>
                <w:r>
                  <w:rPr>
                    <w:rFonts w:cs="Segoe UI"/>
                    <w:bCs/>
                    <w:sz w:val="14"/>
                    <w:szCs w:val="14"/>
                    <w:lang w:val="en-GB" w:eastAsia="it-IT"/>
                  </w:rPr>
                  <w:t>1 class</w:t>
                </w:r>
              </w:p>
            </w:tc>
            <w:tc>
              <w:tcPr>
                <w:tcW w:w="1000" w:type="pct"/>
                <w:shd w:val="clear" w:color="auto" w:fill="FFFFFF" w:themeFill="background2"/>
                <w:tcMar>
                  <w:top w:w="60" w:type="dxa"/>
                  <w:left w:w="114" w:type="dxa"/>
                  <w:bottom w:w="60" w:type="dxa"/>
                  <w:right w:w="114" w:type="dxa"/>
                </w:tcMar>
                <w:vAlign w:val="center"/>
              </w:tcPr>
              <w:p w14:paraId="366B4933" w14:textId="120D8C75" w:rsidR="00ED5B94" w:rsidRPr="008D5D4E" w:rsidRDefault="00ED5B94" w:rsidP="00ED5B94">
                <w:pPr>
                  <w:pStyle w:val="TableTextLeft"/>
                  <w:spacing w:before="0" w:after="0"/>
                  <w:jc w:val="center"/>
                  <w:rPr>
                    <w:bCs/>
                    <w:sz w:val="14"/>
                    <w:szCs w:val="14"/>
                    <w:lang w:val="fr-FR"/>
                  </w:rPr>
                </w:pPr>
                <w:r w:rsidRPr="00ED5B94">
                  <w:rPr>
                    <w:bCs/>
                    <w:sz w:val="14"/>
                    <w:szCs w:val="14"/>
                    <w:lang w:val="fr-FR"/>
                  </w:rPr>
                  <w:t>7.87%</w:t>
                </w:r>
              </w:p>
            </w:tc>
            <w:tc>
              <w:tcPr>
                <w:tcW w:w="1000" w:type="pct"/>
                <w:shd w:val="clear" w:color="auto" w:fill="FFFFFF" w:themeFill="background2"/>
                <w:tcMar>
                  <w:top w:w="60" w:type="dxa"/>
                  <w:left w:w="114" w:type="dxa"/>
                  <w:bottom w:w="60" w:type="dxa"/>
                  <w:right w:w="114" w:type="dxa"/>
                </w:tcMar>
                <w:vAlign w:val="center"/>
              </w:tcPr>
              <w:p w14:paraId="4CE3FDAC" w14:textId="52CAB478" w:rsidR="00ED5B94" w:rsidRPr="008D5D4E" w:rsidRDefault="00ED5B94" w:rsidP="00ED5B94">
                <w:pPr>
                  <w:pStyle w:val="TableTextLeft"/>
                  <w:spacing w:before="0" w:after="0"/>
                  <w:jc w:val="center"/>
                  <w:rPr>
                    <w:bCs/>
                    <w:sz w:val="14"/>
                    <w:szCs w:val="14"/>
                    <w:lang w:val="fr-FR"/>
                  </w:rPr>
                </w:pPr>
              </w:p>
            </w:tc>
            <w:tc>
              <w:tcPr>
                <w:tcW w:w="1000" w:type="pct"/>
                <w:shd w:val="clear" w:color="auto" w:fill="FFFFFF" w:themeFill="background2"/>
                <w:vAlign w:val="center"/>
              </w:tcPr>
              <w:p w14:paraId="618788A6" w14:textId="14DE5E2E" w:rsidR="00ED5B94" w:rsidRPr="008D5D4E" w:rsidRDefault="00ED5B94" w:rsidP="00ED5B94">
                <w:pPr>
                  <w:pStyle w:val="TableTextLeft"/>
                  <w:spacing w:before="0" w:after="0"/>
                  <w:jc w:val="center"/>
                  <w:rPr>
                    <w:bCs/>
                    <w:sz w:val="14"/>
                    <w:szCs w:val="14"/>
                    <w:lang w:val="fr-FR"/>
                  </w:rPr>
                </w:pPr>
                <w:r w:rsidRPr="00ED5B94">
                  <w:rPr>
                    <w:bCs/>
                    <w:sz w:val="14"/>
                    <w:szCs w:val="14"/>
                    <w:lang w:val="fr-FR"/>
                  </w:rPr>
                  <w:t>20.19%</w:t>
                </w:r>
              </w:p>
            </w:tc>
            <w:tc>
              <w:tcPr>
                <w:tcW w:w="1000" w:type="pct"/>
                <w:shd w:val="clear" w:color="auto" w:fill="FFFFFF" w:themeFill="background2"/>
                <w:vAlign w:val="center"/>
              </w:tcPr>
              <w:p w14:paraId="279227FD" w14:textId="09612D61" w:rsidR="00ED5B94" w:rsidRPr="008D5D4E" w:rsidRDefault="00ED5B94" w:rsidP="00ED5B94">
                <w:pPr>
                  <w:pStyle w:val="TableTextLeft"/>
                  <w:spacing w:before="0" w:after="0"/>
                  <w:jc w:val="center"/>
                  <w:rPr>
                    <w:bCs/>
                    <w:sz w:val="14"/>
                    <w:szCs w:val="14"/>
                    <w:lang w:val="fr-FR"/>
                  </w:rPr>
                </w:pPr>
                <w:r w:rsidRPr="00ED5B94">
                  <w:rPr>
                    <w:bCs/>
                    <w:sz w:val="14"/>
                    <w:szCs w:val="14"/>
                    <w:lang w:val="fr-FR"/>
                  </w:rPr>
                  <w:t>97.78%</w:t>
                </w:r>
              </w:p>
            </w:tc>
          </w:tr>
          <w:tr w:rsidR="00ED5B94" w:rsidRPr="00ED33EF" w14:paraId="0FBD1585" w14:textId="77777777" w:rsidTr="00892C44">
            <w:trPr>
              <w:trHeight w:val="283"/>
            </w:trPr>
            <w:tc>
              <w:tcPr>
                <w:tcW w:w="1000" w:type="pct"/>
                <w:shd w:val="clear" w:color="auto" w:fill="FFFFFF" w:themeFill="background2"/>
                <w:tcMar>
                  <w:top w:w="60" w:type="dxa"/>
                  <w:left w:w="114" w:type="dxa"/>
                  <w:bottom w:w="60" w:type="dxa"/>
                  <w:right w:w="114" w:type="dxa"/>
                </w:tcMar>
                <w:vAlign w:val="center"/>
              </w:tcPr>
              <w:p w14:paraId="16D5F066" w14:textId="1155B250" w:rsidR="00ED5B94" w:rsidRPr="00CE771F" w:rsidRDefault="00ED5B94" w:rsidP="00ED5B94">
                <w:pPr>
                  <w:pStyle w:val="TableIndent3"/>
                  <w:spacing w:before="0" w:after="0"/>
                  <w:ind w:left="0"/>
                  <w:rPr>
                    <w:rFonts w:cs="Segoe UI"/>
                    <w:bCs/>
                    <w:sz w:val="14"/>
                    <w:szCs w:val="14"/>
                    <w:lang w:val="en-GB" w:eastAsia="it-IT"/>
                  </w:rPr>
                </w:pPr>
                <w:r>
                  <w:rPr>
                    <w:rFonts w:cs="Segoe UI"/>
                    <w:bCs/>
                    <w:sz w:val="14"/>
                    <w:szCs w:val="14"/>
                    <w:lang w:val="en-GB" w:eastAsia="it-IT"/>
                  </w:rPr>
                  <w:t>2 classes</w:t>
                </w:r>
              </w:p>
            </w:tc>
            <w:tc>
              <w:tcPr>
                <w:tcW w:w="1000" w:type="pct"/>
                <w:shd w:val="clear" w:color="auto" w:fill="FFFFFF" w:themeFill="background2"/>
                <w:tcMar>
                  <w:top w:w="60" w:type="dxa"/>
                  <w:left w:w="114" w:type="dxa"/>
                  <w:bottom w:w="60" w:type="dxa"/>
                  <w:right w:w="114" w:type="dxa"/>
                </w:tcMar>
                <w:vAlign w:val="center"/>
              </w:tcPr>
              <w:p w14:paraId="28743E24" w14:textId="308B1BD9" w:rsidR="00ED5B94" w:rsidRPr="008D5D4E" w:rsidRDefault="00ED5B94" w:rsidP="00ED5B94">
                <w:pPr>
                  <w:pStyle w:val="TableTextLeft"/>
                  <w:spacing w:before="0" w:after="0"/>
                  <w:jc w:val="center"/>
                  <w:rPr>
                    <w:bCs/>
                    <w:sz w:val="14"/>
                    <w:szCs w:val="14"/>
                    <w:lang w:val="fr-FR"/>
                  </w:rPr>
                </w:pPr>
                <w:r w:rsidRPr="00ED5B94">
                  <w:rPr>
                    <w:bCs/>
                    <w:sz w:val="14"/>
                    <w:szCs w:val="14"/>
                    <w:lang w:val="fr-FR"/>
                  </w:rPr>
                  <w:t>0.23%</w:t>
                </w:r>
              </w:p>
            </w:tc>
            <w:tc>
              <w:tcPr>
                <w:tcW w:w="1000" w:type="pct"/>
                <w:shd w:val="clear" w:color="auto" w:fill="FFFFFF" w:themeFill="background2"/>
                <w:tcMar>
                  <w:top w:w="60" w:type="dxa"/>
                  <w:left w:w="114" w:type="dxa"/>
                  <w:bottom w:w="60" w:type="dxa"/>
                  <w:right w:w="114" w:type="dxa"/>
                </w:tcMar>
                <w:vAlign w:val="center"/>
              </w:tcPr>
              <w:p w14:paraId="0E80B0B1" w14:textId="457A2F64" w:rsidR="00ED5B94" w:rsidRPr="008D5D4E" w:rsidRDefault="00ED5B94" w:rsidP="00ED5B94">
                <w:pPr>
                  <w:pStyle w:val="TableTextLeft"/>
                  <w:spacing w:before="0" w:after="0"/>
                  <w:jc w:val="center"/>
                  <w:rPr>
                    <w:bCs/>
                    <w:sz w:val="14"/>
                    <w:szCs w:val="14"/>
                    <w:lang w:val="fr-FR"/>
                  </w:rPr>
                </w:pPr>
              </w:p>
            </w:tc>
            <w:tc>
              <w:tcPr>
                <w:tcW w:w="1000" w:type="pct"/>
                <w:shd w:val="clear" w:color="auto" w:fill="FFFFFF" w:themeFill="background2"/>
                <w:vAlign w:val="center"/>
              </w:tcPr>
              <w:p w14:paraId="7A071FF5" w14:textId="29F29D16" w:rsidR="00ED5B94" w:rsidRPr="008D5D4E" w:rsidRDefault="00ED5B94" w:rsidP="00ED5B94">
                <w:pPr>
                  <w:pStyle w:val="TableTextLeft"/>
                  <w:spacing w:before="0" w:after="0"/>
                  <w:jc w:val="center"/>
                  <w:rPr>
                    <w:bCs/>
                    <w:sz w:val="14"/>
                    <w:szCs w:val="14"/>
                    <w:lang w:val="fr-FR"/>
                  </w:rPr>
                </w:pPr>
                <w:r w:rsidRPr="00ED5B94">
                  <w:rPr>
                    <w:bCs/>
                    <w:sz w:val="14"/>
                    <w:szCs w:val="14"/>
                    <w:lang w:val="fr-FR"/>
                  </w:rPr>
                  <w:t>1.60%</w:t>
                </w:r>
              </w:p>
            </w:tc>
            <w:tc>
              <w:tcPr>
                <w:tcW w:w="1000" w:type="pct"/>
                <w:shd w:val="clear" w:color="auto" w:fill="FFFFFF" w:themeFill="background2"/>
                <w:vAlign w:val="center"/>
              </w:tcPr>
              <w:p w14:paraId="7E61F9E7" w14:textId="029B9956" w:rsidR="00ED5B94" w:rsidRPr="008D5D4E" w:rsidRDefault="00ED5B94" w:rsidP="00ED5B94">
                <w:pPr>
                  <w:pStyle w:val="TableTextLeft"/>
                  <w:spacing w:before="0" w:after="0"/>
                  <w:jc w:val="center"/>
                  <w:rPr>
                    <w:bCs/>
                    <w:sz w:val="14"/>
                    <w:szCs w:val="14"/>
                    <w:lang w:val="fr-FR"/>
                  </w:rPr>
                </w:pPr>
                <w:r w:rsidRPr="00ED5B94">
                  <w:rPr>
                    <w:bCs/>
                    <w:sz w:val="14"/>
                    <w:szCs w:val="14"/>
                    <w:lang w:val="fr-FR"/>
                  </w:rPr>
                  <w:t>99.61%</w:t>
                </w:r>
              </w:p>
            </w:tc>
          </w:tr>
          <w:tr w:rsidR="00ED5B94" w:rsidRPr="00ED33EF" w14:paraId="54854BF9" w14:textId="77777777" w:rsidTr="00892C44">
            <w:trPr>
              <w:trHeight w:val="283"/>
            </w:trPr>
            <w:tc>
              <w:tcPr>
                <w:tcW w:w="1000" w:type="pct"/>
                <w:shd w:val="clear" w:color="auto" w:fill="FFFFFF" w:themeFill="background2"/>
                <w:tcMar>
                  <w:top w:w="60" w:type="dxa"/>
                  <w:left w:w="114" w:type="dxa"/>
                  <w:bottom w:w="60" w:type="dxa"/>
                  <w:right w:w="114" w:type="dxa"/>
                </w:tcMar>
                <w:vAlign w:val="center"/>
              </w:tcPr>
              <w:p w14:paraId="2EAD5C20" w14:textId="17DFD92C" w:rsidR="00ED5B94" w:rsidRDefault="00ED5B94" w:rsidP="00ED5B94">
                <w:pPr>
                  <w:pStyle w:val="TableIndent3"/>
                  <w:spacing w:before="0" w:after="0"/>
                  <w:ind w:left="0"/>
                  <w:rPr>
                    <w:rFonts w:cs="Segoe UI"/>
                    <w:bCs/>
                    <w:sz w:val="14"/>
                    <w:szCs w:val="14"/>
                    <w:lang w:val="en-GB" w:eastAsia="it-IT"/>
                  </w:rPr>
                </w:pPr>
                <w:r>
                  <w:rPr>
                    <w:rFonts w:cs="Segoe UI"/>
                    <w:bCs/>
                    <w:sz w:val="14"/>
                    <w:szCs w:val="14"/>
                    <w:lang w:val="en-GB" w:eastAsia="it-IT"/>
                  </w:rPr>
                  <w:t>3</w:t>
                </w:r>
                <w:r w:rsidRPr="004F6B13">
                  <w:rPr>
                    <w:rFonts w:cs="Segoe UI"/>
                    <w:bCs/>
                    <w:sz w:val="14"/>
                    <w:szCs w:val="14"/>
                    <w:lang w:val="en-GB" w:eastAsia="it-IT"/>
                  </w:rPr>
                  <w:t xml:space="preserve"> classes</w:t>
                </w:r>
              </w:p>
            </w:tc>
            <w:tc>
              <w:tcPr>
                <w:tcW w:w="1000" w:type="pct"/>
                <w:shd w:val="clear" w:color="auto" w:fill="FFFFFF" w:themeFill="background2"/>
                <w:tcMar>
                  <w:top w:w="60" w:type="dxa"/>
                  <w:left w:w="114" w:type="dxa"/>
                  <w:bottom w:w="60" w:type="dxa"/>
                  <w:right w:w="114" w:type="dxa"/>
                </w:tcMar>
                <w:vAlign w:val="center"/>
              </w:tcPr>
              <w:p w14:paraId="4BB3F883" w14:textId="519BD1BE" w:rsidR="00ED5B94" w:rsidRPr="008D5D4E" w:rsidRDefault="00ED5B94" w:rsidP="00ED5B94">
                <w:pPr>
                  <w:pStyle w:val="TableTextLeft"/>
                  <w:spacing w:before="0" w:after="0"/>
                  <w:jc w:val="center"/>
                  <w:rPr>
                    <w:bCs/>
                    <w:sz w:val="14"/>
                    <w:szCs w:val="14"/>
                    <w:lang w:val="fr-FR"/>
                  </w:rPr>
                </w:pPr>
                <w:r w:rsidRPr="00ED5B94">
                  <w:rPr>
                    <w:bCs/>
                    <w:sz w:val="14"/>
                    <w:szCs w:val="14"/>
                    <w:lang w:val="fr-FR"/>
                  </w:rPr>
                  <w:t>0.02%</w:t>
                </w:r>
              </w:p>
            </w:tc>
            <w:tc>
              <w:tcPr>
                <w:tcW w:w="1000" w:type="pct"/>
                <w:shd w:val="clear" w:color="auto" w:fill="FFFFFF" w:themeFill="background2"/>
                <w:tcMar>
                  <w:top w:w="60" w:type="dxa"/>
                  <w:left w:w="114" w:type="dxa"/>
                  <w:bottom w:w="60" w:type="dxa"/>
                  <w:right w:w="114" w:type="dxa"/>
                </w:tcMar>
                <w:vAlign w:val="center"/>
              </w:tcPr>
              <w:p w14:paraId="52519EF8" w14:textId="7B78FA53" w:rsidR="00ED5B94" w:rsidRPr="008D5D4E" w:rsidRDefault="00ED5B94" w:rsidP="00ED5B94">
                <w:pPr>
                  <w:pStyle w:val="TableTextLeft"/>
                  <w:spacing w:before="0" w:after="0"/>
                  <w:jc w:val="center"/>
                  <w:rPr>
                    <w:bCs/>
                    <w:sz w:val="14"/>
                    <w:szCs w:val="14"/>
                    <w:lang w:val="fr-FR"/>
                  </w:rPr>
                </w:pPr>
              </w:p>
            </w:tc>
            <w:tc>
              <w:tcPr>
                <w:tcW w:w="1000" w:type="pct"/>
                <w:shd w:val="clear" w:color="auto" w:fill="FFFFFF" w:themeFill="background2"/>
                <w:vAlign w:val="center"/>
              </w:tcPr>
              <w:p w14:paraId="204C60B8" w14:textId="6AE0FCE3" w:rsidR="00ED5B94" w:rsidRPr="008D5D4E" w:rsidRDefault="00ED5B94" w:rsidP="00ED5B94">
                <w:pPr>
                  <w:pStyle w:val="TableTextLeft"/>
                  <w:spacing w:before="0" w:after="0"/>
                  <w:jc w:val="center"/>
                  <w:rPr>
                    <w:bCs/>
                    <w:sz w:val="14"/>
                    <w:szCs w:val="14"/>
                    <w:lang w:val="fr-FR"/>
                  </w:rPr>
                </w:pPr>
                <w:r w:rsidRPr="00ED5B94">
                  <w:rPr>
                    <w:bCs/>
                    <w:sz w:val="14"/>
                    <w:szCs w:val="14"/>
                    <w:lang w:val="fr-FR"/>
                  </w:rPr>
                  <w:t>0.35%</w:t>
                </w:r>
              </w:p>
            </w:tc>
            <w:tc>
              <w:tcPr>
                <w:tcW w:w="1000" w:type="pct"/>
                <w:shd w:val="clear" w:color="auto" w:fill="FFFFFF" w:themeFill="background2"/>
                <w:vAlign w:val="center"/>
              </w:tcPr>
              <w:p w14:paraId="2D273768" w14:textId="7C657A62" w:rsidR="00ED5B94" w:rsidRPr="008D5D4E" w:rsidRDefault="00ED5B94" w:rsidP="00ED5B94">
                <w:pPr>
                  <w:pStyle w:val="TableTextLeft"/>
                  <w:spacing w:before="0" w:after="0"/>
                  <w:jc w:val="center"/>
                  <w:rPr>
                    <w:bCs/>
                    <w:sz w:val="14"/>
                    <w:szCs w:val="14"/>
                    <w:lang w:val="fr-FR"/>
                  </w:rPr>
                </w:pPr>
                <w:r w:rsidRPr="00ED5B94">
                  <w:rPr>
                    <w:bCs/>
                    <w:sz w:val="14"/>
                    <w:szCs w:val="14"/>
                    <w:lang w:val="fr-FR"/>
                  </w:rPr>
                  <w:t>99.98%</w:t>
                </w:r>
              </w:p>
            </w:tc>
          </w:tr>
          <w:tr w:rsidR="00ED5B94" w:rsidRPr="00ED33EF" w14:paraId="6593EE91" w14:textId="77777777" w:rsidTr="00892C44">
            <w:trPr>
              <w:trHeight w:val="283"/>
            </w:trPr>
            <w:tc>
              <w:tcPr>
                <w:tcW w:w="1000" w:type="pct"/>
                <w:shd w:val="clear" w:color="auto" w:fill="FFFFFF" w:themeFill="background2"/>
                <w:tcMar>
                  <w:top w:w="60" w:type="dxa"/>
                  <w:left w:w="114" w:type="dxa"/>
                  <w:bottom w:w="60" w:type="dxa"/>
                  <w:right w:w="114" w:type="dxa"/>
                </w:tcMar>
                <w:vAlign w:val="center"/>
              </w:tcPr>
              <w:p w14:paraId="47EFA29A" w14:textId="3A891A63" w:rsidR="00ED5B94" w:rsidRDefault="00ED5B94" w:rsidP="00ED5B94">
                <w:pPr>
                  <w:pStyle w:val="TableIndent3"/>
                  <w:spacing w:before="0" w:after="0"/>
                  <w:ind w:left="0"/>
                  <w:rPr>
                    <w:rFonts w:cs="Segoe UI"/>
                    <w:bCs/>
                    <w:sz w:val="14"/>
                    <w:szCs w:val="14"/>
                    <w:lang w:val="en-GB" w:eastAsia="it-IT"/>
                  </w:rPr>
                </w:pPr>
                <w:r>
                  <w:rPr>
                    <w:rFonts w:cs="Segoe UI"/>
                    <w:bCs/>
                    <w:sz w:val="14"/>
                    <w:szCs w:val="14"/>
                    <w:lang w:val="en-GB" w:eastAsia="it-IT"/>
                  </w:rPr>
                  <w:t>4</w:t>
                </w:r>
                <w:r w:rsidRPr="004F6B13">
                  <w:rPr>
                    <w:rFonts w:cs="Segoe UI"/>
                    <w:bCs/>
                    <w:sz w:val="14"/>
                    <w:szCs w:val="14"/>
                    <w:lang w:val="en-GB" w:eastAsia="it-IT"/>
                  </w:rPr>
                  <w:t xml:space="preserve"> classes</w:t>
                </w:r>
              </w:p>
            </w:tc>
            <w:tc>
              <w:tcPr>
                <w:tcW w:w="1000" w:type="pct"/>
                <w:shd w:val="clear" w:color="auto" w:fill="FFFFFF" w:themeFill="background2"/>
                <w:tcMar>
                  <w:top w:w="60" w:type="dxa"/>
                  <w:left w:w="114" w:type="dxa"/>
                  <w:bottom w:w="60" w:type="dxa"/>
                  <w:right w:w="114" w:type="dxa"/>
                </w:tcMar>
                <w:vAlign w:val="center"/>
              </w:tcPr>
              <w:p w14:paraId="4F3DB7E6" w14:textId="2AF6448D" w:rsidR="00ED5B94" w:rsidRPr="008D5D4E" w:rsidRDefault="00ED5B94" w:rsidP="00ED5B94">
                <w:pPr>
                  <w:pStyle w:val="TableTextLeft"/>
                  <w:spacing w:before="0" w:after="0"/>
                  <w:jc w:val="center"/>
                  <w:rPr>
                    <w:bCs/>
                    <w:sz w:val="14"/>
                    <w:szCs w:val="14"/>
                    <w:lang w:val="fr-FR"/>
                  </w:rPr>
                </w:pPr>
                <w:r w:rsidRPr="00ED5B94">
                  <w:rPr>
                    <w:bCs/>
                    <w:sz w:val="14"/>
                    <w:szCs w:val="14"/>
                    <w:lang w:val="fr-FR"/>
                  </w:rPr>
                  <w:t>0.00%</w:t>
                </w:r>
              </w:p>
            </w:tc>
            <w:tc>
              <w:tcPr>
                <w:tcW w:w="1000" w:type="pct"/>
                <w:shd w:val="clear" w:color="auto" w:fill="FFFFFF" w:themeFill="background2"/>
                <w:tcMar>
                  <w:top w:w="60" w:type="dxa"/>
                  <w:left w:w="114" w:type="dxa"/>
                  <w:bottom w:w="60" w:type="dxa"/>
                  <w:right w:w="114" w:type="dxa"/>
                </w:tcMar>
                <w:vAlign w:val="center"/>
              </w:tcPr>
              <w:p w14:paraId="0DC4D71D" w14:textId="6B282AAD" w:rsidR="00ED5B94" w:rsidRPr="008D5D4E" w:rsidRDefault="00ED5B94" w:rsidP="00ED5B94">
                <w:pPr>
                  <w:pStyle w:val="TableTextLeft"/>
                  <w:spacing w:before="0" w:after="0"/>
                  <w:jc w:val="center"/>
                  <w:rPr>
                    <w:bCs/>
                    <w:sz w:val="14"/>
                    <w:szCs w:val="14"/>
                    <w:lang w:val="fr-FR"/>
                  </w:rPr>
                </w:pPr>
              </w:p>
            </w:tc>
            <w:tc>
              <w:tcPr>
                <w:tcW w:w="1000" w:type="pct"/>
                <w:shd w:val="clear" w:color="auto" w:fill="FFFFFF" w:themeFill="background2"/>
                <w:vAlign w:val="center"/>
              </w:tcPr>
              <w:p w14:paraId="537D1DDE" w14:textId="10B35504" w:rsidR="00ED5B94" w:rsidRPr="008D5D4E" w:rsidRDefault="00ED5B94" w:rsidP="00ED5B94">
                <w:pPr>
                  <w:pStyle w:val="TableTextLeft"/>
                  <w:spacing w:before="0" w:after="0"/>
                  <w:jc w:val="center"/>
                  <w:rPr>
                    <w:bCs/>
                    <w:sz w:val="14"/>
                    <w:szCs w:val="14"/>
                    <w:lang w:val="fr-FR"/>
                  </w:rPr>
                </w:pPr>
                <w:r w:rsidRPr="00ED5B94">
                  <w:rPr>
                    <w:bCs/>
                    <w:sz w:val="14"/>
                    <w:szCs w:val="14"/>
                    <w:lang w:val="fr-FR"/>
                  </w:rPr>
                  <w:t>0.02%</w:t>
                </w:r>
              </w:p>
            </w:tc>
            <w:tc>
              <w:tcPr>
                <w:tcW w:w="1000" w:type="pct"/>
                <w:shd w:val="clear" w:color="auto" w:fill="FFFFFF" w:themeFill="background2"/>
                <w:vAlign w:val="center"/>
              </w:tcPr>
              <w:p w14:paraId="01EFBF8B" w14:textId="588AD639" w:rsidR="00ED5B94" w:rsidRPr="008D5D4E" w:rsidRDefault="00ED5B94" w:rsidP="00ED5B94">
                <w:pPr>
                  <w:pStyle w:val="TableTextLeft"/>
                  <w:spacing w:before="0" w:after="0"/>
                  <w:jc w:val="center"/>
                  <w:rPr>
                    <w:bCs/>
                    <w:sz w:val="14"/>
                    <w:szCs w:val="14"/>
                    <w:lang w:val="fr-FR"/>
                  </w:rPr>
                </w:pPr>
                <w:r w:rsidRPr="00ED5B94">
                  <w:rPr>
                    <w:bCs/>
                    <w:sz w:val="14"/>
                    <w:szCs w:val="14"/>
                    <w:lang w:val="fr-FR"/>
                  </w:rPr>
                  <w:t>100.00%</w:t>
                </w:r>
              </w:p>
            </w:tc>
          </w:tr>
          <w:tr w:rsidR="00ED5B94" w:rsidRPr="00ED33EF" w14:paraId="6AE02984" w14:textId="77777777" w:rsidTr="00892C44">
            <w:trPr>
              <w:trHeight w:val="283"/>
            </w:trPr>
            <w:tc>
              <w:tcPr>
                <w:tcW w:w="1000" w:type="pct"/>
                <w:shd w:val="clear" w:color="auto" w:fill="FFFFFF" w:themeFill="background2"/>
                <w:tcMar>
                  <w:top w:w="60" w:type="dxa"/>
                  <w:left w:w="114" w:type="dxa"/>
                  <w:bottom w:w="60" w:type="dxa"/>
                  <w:right w:w="114" w:type="dxa"/>
                </w:tcMar>
                <w:vAlign w:val="center"/>
              </w:tcPr>
              <w:p w14:paraId="4C529842" w14:textId="25C38530" w:rsidR="00ED5B94" w:rsidRDefault="00ED5B94" w:rsidP="00ED5B94">
                <w:pPr>
                  <w:pStyle w:val="TableIndent3"/>
                  <w:spacing w:before="0" w:after="0"/>
                  <w:ind w:left="0"/>
                  <w:rPr>
                    <w:rFonts w:cs="Segoe UI"/>
                    <w:bCs/>
                    <w:sz w:val="14"/>
                    <w:szCs w:val="14"/>
                    <w:lang w:val="en-GB" w:eastAsia="it-IT"/>
                  </w:rPr>
                </w:pPr>
                <w:r>
                  <w:rPr>
                    <w:rFonts w:cs="Segoe UI"/>
                    <w:bCs/>
                    <w:sz w:val="14"/>
                    <w:szCs w:val="14"/>
                    <w:lang w:val="en-GB" w:eastAsia="it-IT"/>
                  </w:rPr>
                  <w:t>5</w:t>
                </w:r>
                <w:r w:rsidRPr="004F6B13">
                  <w:rPr>
                    <w:rFonts w:cs="Segoe UI"/>
                    <w:bCs/>
                    <w:sz w:val="14"/>
                    <w:szCs w:val="14"/>
                    <w:lang w:val="en-GB" w:eastAsia="it-IT"/>
                  </w:rPr>
                  <w:t xml:space="preserve"> classes</w:t>
                </w:r>
              </w:p>
            </w:tc>
            <w:tc>
              <w:tcPr>
                <w:tcW w:w="1000" w:type="pct"/>
                <w:shd w:val="clear" w:color="auto" w:fill="FFFFFF" w:themeFill="background2"/>
                <w:tcMar>
                  <w:top w:w="60" w:type="dxa"/>
                  <w:left w:w="114" w:type="dxa"/>
                  <w:bottom w:w="60" w:type="dxa"/>
                  <w:right w:w="114" w:type="dxa"/>
                </w:tcMar>
                <w:vAlign w:val="center"/>
              </w:tcPr>
              <w:p w14:paraId="17A7F36C" w14:textId="4F8DF1B6" w:rsidR="00ED5B94" w:rsidRPr="008D5D4E" w:rsidRDefault="00ED5B94" w:rsidP="00ED5B94">
                <w:pPr>
                  <w:pStyle w:val="TableTextLeft"/>
                  <w:spacing w:before="0" w:after="0"/>
                  <w:jc w:val="center"/>
                  <w:rPr>
                    <w:bCs/>
                    <w:sz w:val="14"/>
                    <w:szCs w:val="14"/>
                    <w:lang w:val="fr-FR"/>
                  </w:rPr>
                </w:pPr>
                <w:r w:rsidRPr="00ED5B94">
                  <w:rPr>
                    <w:bCs/>
                    <w:sz w:val="14"/>
                    <w:szCs w:val="14"/>
                    <w:lang w:val="fr-FR"/>
                  </w:rPr>
                  <w:t>0.00%</w:t>
                </w:r>
              </w:p>
            </w:tc>
            <w:tc>
              <w:tcPr>
                <w:tcW w:w="1000" w:type="pct"/>
                <w:shd w:val="clear" w:color="auto" w:fill="FFFFFF" w:themeFill="background2"/>
                <w:tcMar>
                  <w:top w:w="60" w:type="dxa"/>
                  <w:left w:w="114" w:type="dxa"/>
                  <w:bottom w:w="60" w:type="dxa"/>
                  <w:right w:w="114" w:type="dxa"/>
                </w:tcMar>
                <w:vAlign w:val="center"/>
              </w:tcPr>
              <w:p w14:paraId="213228BD" w14:textId="7EFA17AB" w:rsidR="00ED5B94" w:rsidRPr="008D5D4E" w:rsidRDefault="00ED5B94" w:rsidP="00ED5B94">
                <w:pPr>
                  <w:pStyle w:val="TableTextLeft"/>
                  <w:spacing w:before="0" w:after="0"/>
                  <w:jc w:val="center"/>
                  <w:rPr>
                    <w:bCs/>
                    <w:sz w:val="14"/>
                    <w:szCs w:val="14"/>
                    <w:lang w:val="fr-FR"/>
                  </w:rPr>
                </w:pPr>
              </w:p>
            </w:tc>
            <w:tc>
              <w:tcPr>
                <w:tcW w:w="1000" w:type="pct"/>
                <w:shd w:val="clear" w:color="auto" w:fill="FFFFFF" w:themeFill="background2"/>
                <w:vAlign w:val="center"/>
              </w:tcPr>
              <w:p w14:paraId="1C519E79" w14:textId="32E7D48D" w:rsidR="00ED5B94" w:rsidRPr="008D5D4E" w:rsidRDefault="00ED5B94" w:rsidP="00ED5B94">
                <w:pPr>
                  <w:pStyle w:val="TableTextLeft"/>
                  <w:spacing w:before="0" w:after="0"/>
                  <w:jc w:val="center"/>
                  <w:rPr>
                    <w:bCs/>
                    <w:sz w:val="14"/>
                    <w:szCs w:val="14"/>
                    <w:lang w:val="fr-FR"/>
                  </w:rPr>
                </w:pPr>
                <w:r w:rsidRPr="00ED5B94">
                  <w:rPr>
                    <w:bCs/>
                    <w:sz w:val="14"/>
                    <w:szCs w:val="14"/>
                    <w:lang w:val="fr-FR"/>
                  </w:rPr>
                  <w:t>0.00%</w:t>
                </w:r>
              </w:p>
            </w:tc>
            <w:tc>
              <w:tcPr>
                <w:tcW w:w="1000" w:type="pct"/>
                <w:shd w:val="clear" w:color="auto" w:fill="FFFFFF" w:themeFill="background2"/>
                <w:vAlign w:val="center"/>
              </w:tcPr>
              <w:p w14:paraId="02394A33" w14:textId="4D74F782" w:rsidR="00ED5B94" w:rsidRPr="008D5D4E" w:rsidRDefault="00ED5B94" w:rsidP="00ED5B94">
                <w:pPr>
                  <w:pStyle w:val="TableTextLeft"/>
                  <w:spacing w:before="0" w:after="0"/>
                  <w:jc w:val="center"/>
                  <w:rPr>
                    <w:bCs/>
                    <w:sz w:val="14"/>
                    <w:szCs w:val="14"/>
                    <w:lang w:val="fr-FR"/>
                  </w:rPr>
                </w:pPr>
                <w:r w:rsidRPr="00ED5B94">
                  <w:rPr>
                    <w:bCs/>
                    <w:sz w:val="14"/>
                    <w:szCs w:val="14"/>
                    <w:lang w:val="fr-FR"/>
                  </w:rPr>
                  <w:t>100.00%</w:t>
                </w:r>
              </w:p>
            </w:tc>
          </w:tr>
          <w:tr w:rsidR="00ED5B94" w:rsidRPr="00ED33EF" w14:paraId="3AB17F57" w14:textId="77777777" w:rsidTr="00892C44">
            <w:trPr>
              <w:trHeight w:val="283"/>
            </w:trPr>
            <w:tc>
              <w:tcPr>
                <w:tcW w:w="1000" w:type="pct"/>
                <w:shd w:val="clear" w:color="auto" w:fill="FFFFFF" w:themeFill="background2"/>
                <w:tcMar>
                  <w:top w:w="60" w:type="dxa"/>
                  <w:left w:w="114" w:type="dxa"/>
                  <w:bottom w:w="60" w:type="dxa"/>
                  <w:right w:w="114" w:type="dxa"/>
                </w:tcMar>
                <w:vAlign w:val="center"/>
              </w:tcPr>
              <w:p w14:paraId="6D0C7E29" w14:textId="70DF3CDB" w:rsidR="00ED5B94" w:rsidRDefault="00ED5B94" w:rsidP="00ED5B94">
                <w:pPr>
                  <w:pStyle w:val="TableIndent3"/>
                  <w:spacing w:before="0" w:after="0"/>
                  <w:ind w:left="0"/>
                  <w:rPr>
                    <w:rFonts w:cs="Segoe UI"/>
                    <w:bCs/>
                    <w:sz w:val="14"/>
                    <w:szCs w:val="14"/>
                    <w:lang w:val="en-GB" w:eastAsia="it-IT"/>
                  </w:rPr>
                </w:pPr>
                <w:r>
                  <w:rPr>
                    <w:rFonts w:cs="Segoe UI"/>
                    <w:bCs/>
                    <w:sz w:val="14"/>
                    <w:szCs w:val="14"/>
                    <w:lang w:val="en-GB" w:eastAsia="it-IT"/>
                  </w:rPr>
                  <w:t>6</w:t>
                </w:r>
                <w:r w:rsidRPr="004F6B13">
                  <w:rPr>
                    <w:rFonts w:cs="Segoe UI"/>
                    <w:bCs/>
                    <w:sz w:val="14"/>
                    <w:szCs w:val="14"/>
                    <w:lang w:val="en-GB" w:eastAsia="it-IT"/>
                  </w:rPr>
                  <w:t xml:space="preserve"> classes</w:t>
                </w:r>
              </w:p>
            </w:tc>
            <w:tc>
              <w:tcPr>
                <w:tcW w:w="1000" w:type="pct"/>
                <w:shd w:val="clear" w:color="auto" w:fill="FFFFFF" w:themeFill="background2"/>
                <w:tcMar>
                  <w:top w:w="60" w:type="dxa"/>
                  <w:left w:w="114" w:type="dxa"/>
                  <w:bottom w:w="60" w:type="dxa"/>
                  <w:right w:w="114" w:type="dxa"/>
                </w:tcMar>
                <w:vAlign w:val="center"/>
              </w:tcPr>
              <w:p w14:paraId="1350E255" w14:textId="39970294" w:rsidR="00ED5B94" w:rsidRPr="008D5D4E" w:rsidRDefault="00ED5B94" w:rsidP="00ED5B94">
                <w:pPr>
                  <w:pStyle w:val="TableTextLeft"/>
                  <w:spacing w:before="0" w:after="0"/>
                  <w:jc w:val="center"/>
                  <w:rPr>
                    <w:bCs/>
                    <w:sz w:val="14"/>
                    <w:szCs w:val="14"/>
                    <w:lang w:val="fr-FR"/>
                  </w:rPr>
                </w:pPr>
                <w:r w:rsidRPr="00ED5B94">
                  <w:rPr>
                    <w:bCs/>
                    <w:sz w:val="14"/>
                    <w:szCs w:val="14"/>
                    <w:lang w:val="fr-FR"/>
                  </w:rPr>
                  <w:t>0.00%</w:t>
                </w:r>
              </w:p>
            </w:tc>
            <w:tc>
              <w:tcPr>
                <w:tcW w:w="1000" w:type="pct"/>
                <w:shd w:val="clear" w:color="auto" w:fill="FFFFFF" w:themeFill="background2"/>
                <w:tcMar>
                  <w:top w:w="60" w:type="dxa"/>
                  <w:left w:w="114" w:type="dxa"/>
                  <w:bottom w:w="60" w:type="dxa"/>
                  <w:right w:w="114" w:type="dxa"/>
                </w:tcMar>
                <w:vAlign w:val="center"/>
              </w:tcPr>
              <w:p w14:paraId="21079F09" w14:textId="5B6AFFD1" w:rsidR="00ED5B94" w:rsidRPr="008D5D4E" w:rsidRDefault="00ED5B94" w:rsidP="00ED5B94">
                <w:pPr>
                  <w:pStyle w:val="TableTextLeft"/>
                  <w:spacing w:before="0" w:after="0"/>
                  <w:jc w:val="center"/>
                  <w:rPr>
                    <w:bCs/>
                    <w:sz w:val="14"/>
                    <w:szCs w:val="14"/>
                    <w:lang w:val="fr-FR"/>
                  </w:rPr>
                </w:pPr>
              </w:p>
            </w:tc>
            <w:tc>
              <w:tcPr>
                <w:tcW w:w="1000" w:type="pct"/>
                <w:shd w:val="clear" w:color="auto" w:fill="FFFFFF" w:themeFill="background2"/>
                <w:vAlign w:val="center"/>
              </w:tcPr>
              <w:p w14:paraId="3C6CF309" w14:textId="2C2AD93C" w:rsidR="00ED5B94" w:rsidRPr="008D5D4E" w:rsidRDefault="00ED5B94" w:rsidP="00ED5B94">
                <w:pPr>
                  <w:pStyle w:val="TableTextLeft"/>
                  <w:spacing w:before="0" w:after="0"/>
                  <w:jc w:val="center"/>
                  <w:rPr>
                    <w:bCs/>
                    <w:sz w:val="14"/>
                    <w:szCs w:val="14"/>
                    <w:lang w:val="fr-FR"/>
                  </w:rPr>
                </w:pPr>
                <w:r w:rsidRPr="00ED5B94">
                  <w:rPr>
                    <w:bCs/>
                    <w:sz w:val="14"/>
                    <w:szCs w:val="14"/>
                    <w:lang w:val="fr-FR"/>
                  </w:rPr>
                  <w:t>0.00%</w:t>
                </w:r>
              </w:p>
            </w:tc>
            <w:tc>
              <w:tcPr>
                <w:tcW w:w="1000" w:type="pct"/>
                <w:shd w:val="clear" w:color="auto" w:fill="FFFFFF" w:themeFill="background2"/>
                <w:vAlign w:val="center"/>
              </w:tcPr>
              <w:p w14:paraId="3AB48726" w14:textId="626B2DD7" w:rsidR="00ED5B94" w:rsidRPr="008D5D4E" w:rsidRDefault="00ED5B94" w:rsidP="00ED5B94">
                <w:pPr>
                  <w:pStyle w:val="TableTextLeft"/>
                  <w:spacing w:before="0" w:after="0"/>
                  <w:jc w:val="center"/>
                  <w:rPr>
                    <w:bCs/>
                    <w:sz w:val="14"/>
                    <w:szCs w:val="14"/>
                    <w:lang w:val="fr-FR"/>
                  </w:rPr>
                </w:pPr>
                <w:r w:rsidRPr="00ED5B94">
                  <w:rPr>
                    <w:bCs/>
                    <w:sz w:val="14"/>
                    <w:szCs w:val="14"/>
                    <w:lang w:val="fr-FR"/>
                  </w:rPr>
                  <w:t>100.00%</w:t>
                </w:r>
              </w:p>
            </w:tc>
          </w:tr>
          <w:tr w:rsidR="00ED5B94" w:rsidRPr="00ED33EF" w14:paraId="41701A59" w14:textId="77777777" w:rsidTr="00892C44">
            <w:trPr>
              <w:trHeight w:val="283"/>
            </w:trPr>
            <w:tc>
              <w:tcPr>
                <w:tcW w:w="1000" w:type="pct"/>
                <w:shd w:val="clear" w:color="auto" w:fill="FFFFFF" w:themeFill="background2"/>
                <w:tcMar>
                  <w:top w:w="60" w:type="dxa"/>
                  <w:left w:w="114" w:type="dxa"/>
                  <w:bottom w:w="60" w:type="dxa"/>
                  <w:right w:w="114" w:type="dxa"/>
                </w:tcMar>
                <w:vAlign w:val="center"/>
              </w:tcPr>
              <w:p w14:paraId="6D0BB6A0" w14:textId="46F6949A" w:rsidR="00ED5B94" w:rsidRDefault="00ED5B94" w:rsidP="00ED5B94">
                <w:pPr>
                  <w:pStyle w:val="TableIndent3"/>
                  <w:spacing w:before="0" w:after="0"/>
                  <w:ind w:left="0"/>
                  <w:rPr>
                    <w:rFonts w:cs="Segoe UI"/>
                    <w:bCs/>
                    <w:sz w:val="14"/>
                    <w:szCs w:val="14"/>
                    <w:lang w:val="en-GB" w:eastAsia="it-IT"/>
                  </w:rPr>
                </w:pPr>
                <w:r>
                  <w:rPr>
                    <w:rFonts w:cs="Segoe UI"/>
                    <w:bCs/>
                    <w:sz w:val="14"/>
                    <w:szCs w:val="14"/>
                    <w:lang w:val="en-GB" w:eastAsia="it-IT"/>
                  </w:rPr>
                  <w:t>7 or more classes</w:t>
                </w:r>
              </w:p>
            </w:tc>
            <w:tc>
              <w:tcPr>
                <w:tcW w:w="1000" w:type="pct"/>
                <w:shd w:val="clear" w:color="auto" w:fill="FFFFFF" w:themeFill="background2"/>
                <w:tcMar>
                  <w:top w:w="60" w:type="dxa"/>
                  <w:left w:w="114" w:type="dxa"/>
                  <w:bottom w:w="60" w:type="dxa"/>
                  <w:right w:w="114" w:type="dxa"/>
                </w:tcMar>
                <w:vAlign w:val="center"/>
              </w:tcPr>
              <w:p w14:paraId="756A043E" w14:textId="264199E6" w:rsidR="00ED5B94" w:rsidRPr="008D5D4E" w:rsidRDefault="00ED5B94" w:rsidP="00ED5B94">
                <w:pPr>
                  <w:pStyle w:val="TableTextLeft"/>
                  <w:spacing w:before="0" w:after="0"/>
                  <w:jc w:val="center"/>
                  <w:rPr>
                    <w:bCs/>
                    <w:sz w:val="14"/>
                    <w:szCs w:val="14"/>
                    <w:lang w:val="fr-FR"/>
                  </w:rPr>
                </w:pPr>
                <w:r w:rsidRPr="00ED5B94">
                  <w:rPr>
                    <w:bCs/>
                    <w:sz w:val="14"/>
                    <w:szCs w:val="14"/>
                    <w:lang w:val="fr-FR"/>
                  </w:rPr>
                  <w:t>0.00%</w:t>
                </w:r>
              </w:p>
            </w:tc>
            <w:tc>
              <w:tcPr>
                <w:tcW w:w="1000" w:type="pct"/>
                <w:shd w:val="clear" w:color="auto" w:fill="FFFFFF" w:themeFill="background2"/>
                <w:tcMar>
                  <w:top w:w="60" w:type="dxa"/>
                  <w:left w:w="114" w:type="dxa"/>
                  <w:bottom w:w="60" w:type="dxa"/>
                  <w:right w:w="114" w:type="dxa"/>
                </w:tcMar>
                <w:vAlign w:val="center"/>
              </w:tcPr>
              <w:p w14:paraId="7F31C2EB" w14:textId="32E4E924" w:rsidR="00ED5B94" w:rsidRPr="008D5D4E" w:rsidRDefault="00ED5B94" w:rsidP="00ED5B94">
                <w:pPr>
                  <w:pStyle w:val="TableTextLeft"/>
                  <w:spacing w:before="0" w:after="0"/>
                  <w:jc w:val="center"/>
                  <w:rPr>
                    <w:bCs/>
                    <w:sz w:val="14"/>
                    <w:szCs w:val="14"/>
                    <w:lang w:val="fr-FR"/>
                  </w:rPr>
                </w:pPr>
              </w:p>
            </w:tc>
            <w:tc>
              <w:tcPr>
                <w:tcW w:w="1000" w:type="pct"/>
                <w:shd w:val="clear" w:color="auto" w:fill="FFFFFF" w:themeFill="background2"/>
                <w:vAlign w:val="center"/>
              </w:tcPr>
              <w:p w14:paraId="330FB013" w14:textId="0892C65C" w:rsidR="00ED5B94" w:rsidRPr="008D5D4E" w:rsidRDefault="00ED5B94" w:rsidP="00ED5B94">
                <w:pPr>
                  <w:pStyle w:val="TableTextLeft"/>
                  <w:spacing w:before="0" w:after="0"/>
                  <w:jc w:val="center"/>
                  <w:rPr>
                    <w:bCs/>
                    <w:sz w:val="14"/>
                    <w:szCs w:val="14"/>
                    <w:lang w:val="fr-FR"/>
                  </w:rPr>
                </w:pPr>
                <w:r w:rsidRPr="00ED5B94">
                  <w:rPr>
                    <w:bCs/>
                    <w:sz w:val="14"/>
                    <w:szCs w:val="14"/>
                    <w:lang w:val="fr-FR"/>
                  </w:rPr>
                  <w:t>0.00%</w:t>
                </w:r>
              </w:p>
            </w:tc>
            <w:tc>
              <w:tcPr>
                <w:tcW w:w="1000" w:type="pct"/>
                <w:shd w:val="clear" w:color="auto" w:fill="FFFFFF" w:themeFill="background2"/>
                <w:vAlign w:val="center"/>
              </w:tcPr>
              <w:p w14:paraId="7BE2A8BB" w14:textId="343A2460" w:rsidR="00ED5B94" w:rsidRPr="008D5D4E" w:rsidRDefault="00ED5B94" w:rsidP="00ED5B94">
                <w:pPr>
                  <w:pStyle w:val="TableTextLeft"/>
                  <w:spacing w:before="0" w:after="0"/>
                  <w:jc w:val="center"/>
                  <w:rPr>
                    <w:bCs/>
                    <w:sz w:val="14"/>
                    <w:szCs w:val="14"/>
                    <w:lang w:val="fr-FR"/>
                  </w:rPr>
                </w:pPr>
                <w:r w:rsidRPr="00ED5B94">
                  <w:rPr>
                    <w:bCs/>
                    <w:sz w:val="14"/>
                    <w:szCs w:val="14"/>
                    <w:lang w:val="fr-FR"/>
                  </w:rPr>
                  <w:t>100.00%</w:t>
                </w:r>
              </w:p>
            </w:tc>
          </w:tr>
          <w:tr w:rsidR="00666346" w:rsidRPr="00ED33EF" w14:paraId="05875A72" w14:textId="77777777" w:rsidTr="00666346">
            <w:trPr>
              <w:trHeight w:val="283"/>
            </w:trPr>
            <w:tc>
              <w:tcPr>
                <w:tcW w:w="1000" w:type="pct"/>
                <w:shd w:val="clear" w:color="auto" w:fill="FFFFFF" w:themeFill="background2"/>
                <w:tcMar>
                  <w:top w:w="60" w:type="dxa"/>
                  <w:left w:w="114" w:type="dxa"/>
                  <w:bottom w:w="60" w:type="dxa"/>
                  <w:right w:w="114" w:type="dxa"/>
                </w:tcMar>
                <w:vAlign w:val="center"/>
              </w:tcPr>
              <w:p w14:paraId="2CD483A3" w14:textId="00DBAFE4" w:rsidR="00666346" w:rsidRDefault="00666346" w:rsidP="00666346">
                <w:pPr>
                  <w:pStyle w:val="TableIndent3"/>
                  <w:spacing w:before="0" w:after="0"/>
                  <w:ind w:left="0"/>
                  <w:rPr>
                    <w:rFonts w:cs="Segoe UI"/>
                    <w:bCs/>
                    <w:sz w:val="14"/>
                    <w:szCs w:val="14"/>
                    <w:lang w:val="en-GB" w:eastAsia="it-IT"/>
                  </w:rPr>
                </w:pPr>
                <w:r>
                  <w:rPr>
                    <w:rFonts w:cs="Segoe UI"/>
                    <w:bCs/>
                    <w:sz w:val="14"/>
                    <w:szCs w:val="14"/>
                    <w:lang w:val="en-GB" w:eastAsia="it-IT"/>
                  </w:rPr>
                  <w:t>Total</w:t>
                </w:r>
              </w:p>
            </w:tc>
            <w:tc>
              <w:tcPr>
                <w:tcW w:w="1000" w:type="pct"/>
                <w:shd w:val="clear" w:color="auto" w:fill="FFFFFF" w:themeFill="background2"/>
                <w:tcMar>
                  <w:top w:w="60" w:type="dxa"/>
                  <w:left w:w="114" w:type="dxa"/>
                  <w:bottom w:w="60" w:type="dxa"/>
                  <w:right w:w="114" w:type="dxa"/>
                </w:tcMar>
                <w:vAlign w:val="center"/>
              </w:tcPr>
              <w:p w14:paraId="6FCAD12A" w14:textId="725900BE" w:rsidR="00666346" w:rsidRPr="00666346" w:rsidRDefault="00666346" w:rsidP="00666346">
                <w:pPr>
                  <w:pStyle w:val="TableTextLeft"/>
                  <w:spacing w:before="0" w:after="0"/>
                  <w:jc w:val="center"/>
                  <w:rPr>
                    <w:b/>
                    <w:sz w:val="14"/>
                    <w:szCs w:val="14"/>
                    <w:lang w:val="fr-FR"/>
                  </w:rPr>
                </w:pPr>
                <w:r w:rsidRPr="00666346">
                  <w:rPr>
                    <w:b/>
                    <w:sz w:val="14"/>
                    <w:szCs w:val="14"/>
                    <w:lang w:val="fr-FR"/>
                  </w:rPr>
                  <w:t>8.11%</w:t>
                </w:r>
              </w:p>
            </w:tc>
            <w:tc>
              <w:tcPr>
                <w:tcW w:w="1000" w:type="pct"/>
                <w:shd w:val="clear" w:color="auto" w:fill="FFFFFF" w:themeFill="background2"/>
                <w:tcMar>
                  <w:top w:w="60" w:type="dxa"/>
                  <w:left w:w="114" w:type="dxa"/>
                  <w:bottom w:w="60" w:type="dxa"/>
                  <w:right w:w="114" w:type="dxa"/>
                </w:tcMar>
                <w:vAlign w:val="center"/>
              </w:tcPr>
              <w:p w14:paraId="52C72700" w14:textId="5B7E5DA7" w:rsidR="00666346" w:rsidRPr="00666346" w:rsidRDefault="00666346" w:rsidP="00666346">
                <w:pPr>
                  <w:pStyle w:val="TableTextLeft"/>
                  <w:spacing w:before="0" w:after="0"/>
                  <w:jc w:val="center"/>
                  <w:rPr>
                    <w:b/>
                    <w:sz w:val="14"/>
                    <w:szCs w:val="14"/>
                    <w:lang w:val="fr-FR"/>
                  </w:rPr>
                </w:pPr>
                <w:r w:rsidRPr="00666346">
                  <w:rPr>
                    <w:b/>
                    <w:sz w:val="14"/>
                    <w:szCs w:val="14"/>
                    <w:lang w:val="fr-FR"/>
                  </w:rPr>
                  <w:t>69.72%</w:t>
                </w:r>
              </w:p>
            </w:tc>
            <w:tc>
              <w:tcPr>
                <w:tcW w:w="1000" w:type="pct"/>
                <w:shd w:val="clear" w:color="auto" w:fill="FFFFFF" w:themeFill="background2"/>
                <w:vAlign w:val="center"/>
              </w:tcPr>
              <w:p w14:paraId="3D3016D3" w14:textId="19DBA769" w:rsidR="00666346" w:rsidRPr="00666346" w:rsidRDefault="00666346" w:rsidP="00666346">
                <w:pPr>
                  <w:pStyle w:val="TableTextLeft"/>
                  <w:spacing w:before="0" w:after="0"/>
                  <w:jc w:val="center"/>
                  <w:rPr>
                    <w:b/>
                    <w:sz w:val="14"/>
                    <w:szCs w:val="14"/>
                    <w:lang w:val="fr-FR"/>
                  </w:rPr>
                </w:pPr>
                <w:r w:rsidRPr="00666346">
                  <w:rPr>
                    <w:b/>
                    <w:sz w:val="14"/>
                    <w:szCs w:val="14"/>
                    <w:lang w:val="fr-FR"/>
                  </w:rPr>
                  <w:t>22.17%</w:t>
                </w:r>
              </w:p>
            </w:tc>
            <w:tc>
              <w:tcPr>
                <w:tcW w:w="1000" w:type="pct"/>
                <w:shd w:val="clear" w:color="auto" w:fill="FFFFFF" w:themeFill="background2"/>
                <w:vAlign w:val="center"/>
              </w:tcPr>
              <w:p w14:paraId="78E85EBC" w14:textId="1AB23586" w:rsidR="00666346" w:rsidRPr="00666346" w:rsidRDefault="00666346" w:rsidP="00666346">
                <w:pPr>
                  <w:pStyle w:val="TableTextLeft"/>
                  <w:spacing w:before="0" w:after="0"/>
                  <w:jc w:val="center"/>
                  <w:rPr>
                    <w:b/>
                    <w:sz w:val="14"/>
                    <w:szCs w:val="14"/>
                    <w:lang w:val="fr-FR"/>
                  </w:rPr>
                </w:pPr>
                <w:r w:rsidRPr="00666346">
                  <w:rPr>
                    <w:b/>
                    <w:sz w:val="14"/>
                    <w:szCs w:val="14"/>
                    <w:lang w:val="fr-FR"/>
                  </w:rPr>
                  <w:t>100.00%</w:t>
                </w:r>
              </w:p>
            </w:tc>
          </w:tr>
        </w:tbl>
        <w:p w14:paraId="27EED2A7" w14:textId="77777777" w:rsidR="00CE771F" w:rsidRDefault="00CE771F" w:rsidP="004101BF">
          <w:pPr>
            <w:rPr>
              <w:rFonts w:cs="Segoe UI"/>
              <w:lang w:val="en-GB"/>
            </w:rPr>
          </w:pPr>
        </w:p>
        <w:p w14:paraId="11E9239D" w14:textId="3995190D" w:rsidR="004101BF" w:rsidRPr="0032337D" w:rsidRDefault="004101BF" w:rsidP="004101BF">
          <w:pPr>
            <w:rPr>
              <w:rFonts w:cs="Segoe UI"/>
              <w:lang w:val="en-GB"/>
            </w:rPr>
          </w:pPr>
          <w:r w:rsidRPr="0032337D">
            <w:rPr>
              <w:rFonts w:cs="Segoe UI"/>
              <w:lang w:val="en-GB"/>
            </w:rPr>
            <w:t>Below, the transition matrix is shown with the tridiagonal aggregated.</w:t>
          </w:r>
        </w:p>
        <w:p w14:paraId="3808000C" w14:textId="090A2BDF" w:rsidR="004101BF" w:rsidRPr="0032337D" w:rsidRDefault="004101BF" w:rsidP="004101BF">
          <w:pPr>
            <w:pStyle w:val="Didascalia"/>
            <w:rPr>
              <w:rFonts w:ascii="Segoe UI" w:hAnsi="Segoe UI" w:cs="Segoe UI"/>
              <w:i/>
              <w:sz w:val="14"/>
              <w:lang w:val="en-GB"/>
            </w:rPr>
          </w:pPr>
          <w:bookmarkStart w:id="228" w:name="_Toc130806365"/>
          <w:bookmarkStart w:id="229" w:name="_Toc166675706"/>
          <w:bookmarkStart w:id="230" w:name="_Toc167131833"/>
          <w:r w:rsidRPr="0032337D">
            <w:rPr>
              <w:rFonts w:ascii="Segoe UI" w:hAnsi="Segoe UI" w:cs="Segoe UI"/>
              <w:i/>
              <w:sz w:val="14"/>
              <w:lang w:val="en-GB"/>
            </w:rPr>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65</w:t>
          </w:r>
          <w:r>
            <w:rPr>
              <w:rFonts w:ascii="Segoe UI" w:hAnsi="Segoe UI" w:cs="Segoe UI"/>
              <w:i/>
              <w:sz w:val="14"/>
              <w:lang w:val="en-GB"/>
            </w:rPr>
            <w:fldChar w:fldCharType="end"/>
          </w:r>
          <w:r w:rsidRPr="0032337D">
            <w:rPr>
              <w:rFonts w:ascii="Segoe UI" w:hAnsi="Segoe UI" w:cs="Segoe UI"/>
              <w:i/>
              <w:sz w:val="14"/>
              <w:lang w:val="en-GB"/>
            </w:rPr>
            <w:t>: 1-Y transition matrix on the tridiagonal</w:t>
          </w:r>
          <w:bookmarkEnd w:id="228"/>
          <w:bookmarkEnd w:id="229"/>
          <w:bookmarkEnd w:id="230"/>
        </w:p>
        <w:tbl>
          <w:tblPr>
            <w:tblW w:w="5000" w:type="pct"/>
            <w:tblBorders>
              <w:top w:val="single" w:sz="4" w:space="0" w:color="AFAFB4" w:themeColor="accent4"/>
              <w:bottom w:val="single" w:sz="4" w:space="0" w:color="AFAFB4" w:themeColor="accent4"/>
              <w:insideH w:val="single" w:sz="4" w:space="0" w:color="AFAFB4" w:themeColor="accent4"/>
            </w:tblBorders>
            <w:tblCellMar>
              <w:left w:w="0" w:type="dxa"/>
              <w:right w:w="0" w:type="dxa"/>
            </w:tblCellMar>
            <w:tblLook w:val="0620" w:firstRow="1" w:lastRow="0" w:firstColumn="0" w:lastColumn="0" w:noHBand="1" w:noVBand="1"/>
            <w:tblDescription w:val="{&quot;Ott&quot;:{&quot;FirstRow&quot;:{&quot;BackgroundColor&quot;:{&quot;Key&quot;:&quot;Light2&quot;},&quot;Font&quot;:{&quot;Name&quot;:&quot;Source Sans Pro&quot;,&quot;Size&quot;:14.0,&quot;Bold&quot;:false,&quot;Italic&quot;:false,&quot;Color&quot;:{&quot;Key&quot;:&quot;Dark2&quot;}},&quot;ExcelCellFormatting&quot;:&quot;General&quot;,&quot;Alignment&quot;:{&quot;Horizontal&quot;:&quot;Left&quot;,&quot;Vertical&quot;:&quot;Bottom&quot;},&quot;Borders&quot;:{&quot;Vertical&quot;:{&quot;Visible&quot;:false},&quot;Left&quot;:{&quot;Visible&quot;:false},&quot;Top&quot;:{&quot;Visible&quot;:false},&quot;Right&quot;:{&quot;Visible&quot;:false},&quot;Bottom&quot;:{&quot;Color&quot;:{&quot;Key&quot;:&quot;Accent4&quot;},&quot;BorderWeight&quot;:&quot;Pt1_5&quot;,&quot;Type&quot;:&quot;Solid&quot;,&quot;Visible&quot;:true}}},&quot;FitRowHeightPp&quot;:true,&quot;ZeroMarginsWord&quot;:true,&quot;BackgroundColor&quot;:{&quot;Key&quot;:&quot;Light2&quot;},&quot;Font&quot;:{&quot;Name&quot;:&quot;Source Sans Pro&quot;,&quot;Size&quot;:11.0,&quot;Bold&quot;:false,&quot;Italic&quot;:false,&quot;Color&quot;:{&quot;Key&quot;:&quot;Dark2&quot;}},&quot;LineSpacing&quot;:{&quot;Rule&quot;:&quot;Single&quot;},&quot;Alignment&quot;:{&quot;Horizontal&quot;:&quot;Left&quot;,&quot;Vertical&quot;:&quot;Top&quot;},&quot;Margin&quot;:{&quot;Left&quot;:5.7,&quot;Top&quot;:3.0,&quot;Right&quot;:5.7,&quot;Bottom&quot;:3.0},&quot;Borders&quot;:{&quot;Vertical&quot;:{&quot;Visible&quot;:false},&quot;Horizontal&quot;:{&quot;Color&quot;:{&quot;Key&quot;:&quot;Accent4&quot;},&quot;BorderWeight&quot;:&quot;Pt0_5&quot;,&quot;Type&quot;:&quot;Solid&quot;,&quot;Visible&quot;:true}},&quot;ParagraphSpacing&quot;:{&quot;SpaceBefore&quot;:2.0,&quot;SpaceAfter&quot;:2.0},&quot;ExcelWrapText&quot;:true},&quot;Ccs&quot;:{&quot;DarkBlue&quot;:&quot;0, 20, 55&quot;,&quot;Turquoise&quot;:&quot;0, 164, 230&quot;,&quot;Red&quot;:&quot;214, 70, 65&quot;,&quot;LightGrey&quot;:&quot;174, 174, 180&quot;,&quot;BlueGrey&quot;:&quot;77, 91, 115&quot;,&quot;IceBlue&quot;:&quot;178, 184, 195&quot;,&quot;Grey&quot;:&quot;145, 147, 153&quot;,&quot;Background&quot;:&quot;0, 0, 0, 0&quot;,&quot;White&quot;:&quot;White&quot;,&quot;Accent1&quot;:&quot;1, 1, 1, 1&quot;,&quot;Accent2&quot;:&quot;1, 1, 1, 2&quot;,&quot;Accent3&quot;:&quot;1, 1, 1, 3&quot;,&quot;Accent4&quot;:&quot;1, 1, 1, 4&quot;,&quot;Accent5&quot;:&quot;1, 1, 1, 5&quot;,&quot;Accent6&quot;:&quot;1, 1, 1, 6&quot;,&quot;Dark1&quot;:&quot;1, 1, 1, 7&quot;,&quot;Dark2&quot;:&quot;1, 1, 1, 9&quot;,&quot;Light1&quot;:&quot;1, 1, 1, 8&quot;,&quot;Light2&quot;:&quot;1, 1, 1, 10&quot;},&quot;Cop&quot;:{&quot;FirstRow&quot;:true,&quot;LastRow&quot;:false,&quot;FirstColumn&quot;:false,&quot;LastColumn&quot;:false,&quot;BandedRows&quot;:false,&quot;BandedColumns&quot;:false},&quot;Aaf&quot;:false}"/>
          </w:tblPr>
          <w:tblGrid>
            <w:gridCol w:w="740"/>
            <w:gridCol w:w="740"/>
            <w:gridCol w:w="739"/>
            <w:gridCol w:w="739"/>
            <w:gridCol w:w="739"/>
            <w:gridCol w:w="739"/>
            <w:gridCol w:w="739"/>
            <w:gridCol w:w="739"/>
            <w:gridCol w:w="739"/>
            <w:gridCol w:w="739"/>
            <w:gridCol w:w="739"/>
            <w:gridCol w:w="739"/>
            <w:gridCol w:w="739"/>
            <w:gridCol w:w="739"/>
          </w:tblGrid>
          <w:tr w:rsidR="00ED5B94" w:rsidRPr="00ED33EF" w14:paraId="3034B3BE" w14:textId="77777777" w:rsidTr="00892C44">
            <w:trPr>
              <w:trHeight w:val="283"/>
            </w:trPr>
            <w:tc>
              <w:tcPr>
                <w:tcW w:w="358" w:type="pct"/>
                <w:tcBorders>
                  <w:top w:val="single" w:sz="12" w:space="0" w:color="AFAFB4" w:themeColor="accent4"/>
                  <w:tl2br w:val="single" w:sz="4" w:space="0" w:color="AFAFB4" w:themeColor="accent4"/>
                </w:tcBorders>
                <w:shd w:val="clear" w:color="auto" w:fill="auto"/>
                <w:vAlign w:val="center"/>
              </w:tcPr>
              <w:p w14:paraId="16DFEA9A" w14:textId="77777777" w:rsidR="00ED5B94" w:rsidRPr="00DE3AB1" w:rsidRDefault="00ED5B94" w:rsidP="004412F7">
                <w:pPr>
                  <w:spacing w:before="0" w:line="240" w:lineRule="auto"/>
                  <w:jc w:val="center"/>
                  <w:rPr>
                    <w:b/>
                    <w:color w:val="auto"/>
                    <w:sz w:val="14"/>
                    <w:szCs w:val="14"/>
                  </w:rPr>
                </w:pPr>
                <w:proofErr w:type="spellStart"/>
                <w:r w:rsidRPr="00DE3AB1">
                  <w:rPr>
                    <w:b/>
                    <w:color w:val="auto"/>
                    <w:sz w:val="14"/>
                    <w:szCs w:val="14"/>
                  </w:rPr>
                  <w:t>BoP</w:t>
                </w:r>
                <w:proofErr w:type="spellEnd"/>
                <w:r w:rsidRPr="00DE3AB1">
                  <w:rPr>
                    <w:b/>
                    <w:color w:val="auto"/>
                    <w:sz w:val="14"/>
                    <w:szCs w:val="14"/>
                  </w:rPr>
                  <w:t xml:space="preserve">  </w:t>
                </w:r>
                <w:r>
                  <w:rPr>
                    <w:b/>
                    <w:color w:val="auto"/>
                    <w:sz w:val="14"/>
                    <w:szCs w:val="14"/>
                  </w:rPr>
                  <w:t xml:space="preserve">    </w:t>
                </w:r>
                <w:proofErr w:type="spellStart"/>
                <w:r w:rsidRPr="00DE3AB1">
                  <w:rPr>
                    <w:b/>
                    <w:color w:val="auto"/>
                    <w:sz w:val="14"/>
                    <w:szCs w:val="14"/>
                  </w:rPr>
                  <w:t>EoP</w:t>
                </w:r>
                <w:proofErr w:type="spellEnd"/>
              </w:p>
            </w:tc>
            <w:tc>
              <w:tcPr>
                <w:tcW w:w="358" w:type="pct"/>
                <w:tcBorders>
                  <w:top w:val="single" w:sz="12" w:space="0" w:color="AFAFB4" w:themeColor="accent4"/>
                </w:tcBorders>
                <w:shd w:val="clear" w:color="auto" w:fill="auto"/>
                <w:tcMar>
                  <w:top w:w="60" w:type="dxa"/>
                  <w:left w:w="114" w:type="dxa"/>
                  <w:bottom w:w="60" w:type="dxa"/>
                  <w:right w:w="114" w:type="dxa"/>
                </w:tcMar>
                <w:vAlign w:val="center"/>
              </w:tcPr>
              <w:p w14:paraId="2737C17B" w14:textId="77777777" w:rsidR="00ED5B94" w:rsidRPr="00ED33EF" w:rsidRDefault="00ED5B94" w:rsidP="004412F7">
                <w:pPr>
                  <w:spacing w:before="0" w:line="240" w:lineRule="auto"/>
                  <w:jc w:val="center"/>
                  <w:rPr>
                    <w:b/>
                    <w:color w:val="33A1AB" w:themeColor="accent2"/>
                    <w:sz w:val="14"/>
                    <w:szCs w:val="14"/>
                  </w:rPr>
                </w:pPr>
                <w:r>
                  <w:rPr>
                    <w:b/>
                    <w:color w:val="33A1AB" w:themeColor="accent2"/>
                    <w:sz w:val="14"/>
                    <w:szCs w:val="14"/>
                  </w:rPr>
                  <w:t>A1.1</w:t>
                </w:r>
              </w:p>
            </w:tc>
            <w:tc>
              <w:tcPr>
                <w:tcW w:w="357" w:type="pct"/>
                <w:tcBorders>
                  <w:top w:val="single" w:sz="12" w:space="0" w:color="AFAFB4" w:themeColor="accent4"/>
                </w:tcBorders>
                <w:shd w:val="clear" w:color="auto" w:fill="auto"/>
                <w:tcMar>
                  <w:top w:w="60" w:type="dxa"/>
                  <w:left w:w="114" w:type="dxa"/>
                  <w:bottom w:w="60" w:type="dxa"/>
                  <w:right w:w="114" w:type="dxa"/>
                </w:tcMar>
                <w:vAlign w:val="center"/>
              </w:tcPr>
              <w:p w14:paraId="2106539E" w14:textId="77777777" w:rsidR="00ED5B94" w:rsidRPr="00ED33EF" w:rsidRDefault="00ED5B94" w:rsidP="004412F7">
                <w:pPr>
                  <w:spacing w:before="0" w:line="240" w:lineRule="auto"/>
                  <w:jc w:val="center"/>
                  <w:rPr>
                    <w:b/>
                    <w:color w:val="33A1AB" w:themeColor="accent2"/>
                    <w:sz w:val="14"/>
                    <w:szCs w:val="14"/>
                  </w:rPr>
                </w:pPr>
                <w:r>
                  <w:rPr>
                    <w:b/>
                    <w:color w:val="33A1AB" w:themeColor="accent2"/>
                    <w:sz w:val="14"/>
                    <w:szCs w:val="14"/>
                  </w:rPr>
                  <w:t>A1.2</w:t>
                </w:r>
              </w:p>
            </w:tc>
            <w:tc>
              <w:tcPr>
                <w:tcW w:w="357" w:type="pct"/>
                <w:tcBorders>
                  <w:top w:val="single" w:sz="12" w:space="0" w:color="AFAFB4" w:themeColor="accent4"/>
                </w:tcBorders>
                <w:shd w:val="clear" w:color="auto" w:fill="auto"/>
                <w:tcMar>
                  <w:top w:w="60" w:type="dxa"/>
                  <w:left w:w="114" w:type="dxa"/>
                  <w:bottom w:w="60" w:type="dxa"/>
                  <w:right w:w="114" w:type="dxa"/>
                </w:tcMar>
                <w:vAlign w:val="center"/>
              </w:tcPr>
              <w:p w14:paraId="0AC29644" w14:textId="77777777" w:rsidR="00ED5B94" w:rsidRPr="00ED33EF" w:rsidRDefault="00ED5B94" w:rsidP="004412F7">
                <w:pPr>
                  <w:spacing w:before="0" w:line="240" w:lineRule="auto"/>
                  <w:jc w:val="center"/>
                  <w:rPr>
                    <w:b/>
                    <w:color w:val="33A1AB" w:themeColor="accent2"/>
                    <w:sz w:val="14"/>
                    <w:szCs w:val="14"/>
                  </w:rPr>
                </w:pPr>
                <w:r>
                  <w:rPr>
                    <w:b/>
                    <w:color w:val="33A1AB" w:themeColor="accent2"/>
                    <w:sz w:val="14"/>
                    <w:szCs w:val="14"/>
                  </w:rPr>
                  <w:t>A1.3</w:t>
                </w:r>
              </w:p>
            </w:tc>
            <w:tc>
              <w:tcPr>
                <w:tcW w:w="357" w:type="pct"/>
                <w:tcBorders>
                  <w:top w:val="single" w:sz="12" w:space="0" w:color="AFAFB4" w:themeColor="accent4"/>
                </w:tcBorders>
                <w:shd w:val="clear" w:color="auto" w:fill="auto"/>
                <w:vAlign w:val="center"/>
              </w:tcPr>
              <w:p w14:paraId="660B5537" w14:textId="77777777" w:rsidR="00ED5B94" w:rsidRPr="00ED33EF" w:rsidRDefault="00ED5B94" w:rsidP="004412F7">
                <w:pPr>
                  <w:spacing w:before="0" w:line="240" w:lineRule="auto"/>
                  <w:jc w:val="center"/>
                  <w:rPr>
                    <w:b/>
                    <w:color w:val="33A1AB" w:themeColor="accent2"/>
                    <w:sz w:val="14"/>
                    <w:szCs w:val="14"/>
                  </w:rPr>
                </w:pPr>
                <w:r>
                  <w:rPr>
                    <w:b/>
                    <w:color w:val="33A1AB" w:themeColor="accent2"/>
                    <w:sz w:val="14"/>
                    <w:szCs w:val="14"/>
                  </w:rPr>
                  <w:t>A2.1</w:t>
                </w:r>
              </w:p>
            </w:tc>
            <w:tc>
              <w:tcPr>
                <w:tcW w:w="357" w:type="pct"/>
                <w:tcBorders>
                  <w:top w:val="single" w:sz="12" w:space="0" w:color="AFAFB4" w:themeColor="accent4"/>
                </w:tcBorders>
                <w:shd w:val="clear" w:color="auto" w:fill="auto"/>
                <w:vAlign w:val="center"/>
              </w:tcPr>
              <w:p w14:paraId="5BD106C1" w14:textId="77777777" w:rsidR="00ED5B94" w:rsidRPr="00ED33EF" w:rsidRDefault="00ED5B94" w:rsidP="004412F7">
                <w:pPr>
                  <w:spacing w:before="0" w:line="240" w:lineRule="auto"/>
                  <w:jc w:val="center"/>
                  <w:rPr>
                    <w:b/>
                    <w:color w:val="33A1AB" w:themeColor="accent2"/>
                    <w:sz w:val="14"/>
                    <w:szCs w:val="14"/>
                  </w:rPr>
                </w:pPr>
                <w:r>
                  <w:rPr>
                    <w:b/>
                    <w:color w:val="33A1AB" w:themeColor="accent2"/>
                    <w:sz w:val="14"/>
                    <w:szCs w:val="14"/>
                  </w:rPr>
                  <w:t>A2.2</w:t>
                </w:r>
              </w:p>
            </w:tc>
            <w:tc>
              <w:tcPr>
                <w:tcW w:w="357" w:type="pct"/>
                <w:tcBorders>
                  <w:top w:val="single" w:sz="12" w:space="0" w:color="AFAFB4" w:themeColor="accent4"/>
                </w:tcBorders>
                <w:shd w:val="clear" w:color="auto" w:fill="auto"/>
                <w:vAlign w:val="center"/>
              </w:tcPr>
              <w:p w14:paraId="7CFD09E7" w14:textId="77777777" w:rsidR="00ED5B94" w:rsidRPr="00ED33EF" w:rsidRDefault="00ED5B94" w:rsidP="004412F7">
                <w:pPr>
                  <w:spacing w:before="0" w:line="240" w:lineRule="auto"/>
                  <w:jc w:val="center"/>
                  <w:rPr>
                    <w:b/>
                    <w:color w:val="33A1AB" w:themeColor="accent2"/>
                    <w:sz w:val="14"/>
                    <w:szCs w:val="14"/>
                  </w:rPr>
                </w:pPr>
                <w:r>
                  <w:rPr>
                    <w:b/>
                    <w:color w:val="33A1AB" w:themeColor="accent2"/>
                    <w:sz w:val="14"/>
                    <w:szCs w:val="14"/>
                  </w:rPr>
                  <w:t>A3.1</w:t>
                </w:r>
              </w:p>
            </w:tc>
            <w:tc>
              <w:tcPr>
                <w:tcW w:w="357" w:type="pct"/>
                <w:tcBorders>
                  <w:top w:val="single" w:sz="12" w:space="0" w:color="AFAFB4" w:themeColor="accent4"/>
                </w:tcBorders>
                <w:shd w:val="clear" w:color="auto" w:fill="auto"/>
                <w:vAlign w:val="center"/>
              </w:tcPr>
              <w:p w14:paraId="1271E36C" w14:textId="77777777" w:rsidR="00ED5B94" w:rsidRPr="00ED33EF" w:rsidRDefault="00ED5B94" w:rsidP="004412F7">
                <w:pPr>
                  <w:spacing w:before="0" w:line="240" w:lineRule="auto"/>
                  <w:jc w:val="center"/>
                  <w:rPr>
                    <w:b/>
                    <w:color w:val="33A1AB" w:themeColor="accent2"/>
                    <w:sz w:val="14"/>
                    <w:szCs w:val="14"/>
                  </w:rPr>
                </w:pPr>
                <w:r>
                  <w:rPr>
                    <w:b/>
                    <w:color w:val="33A1AB" w:themeColor="accent2"/>
                    <w:sz w:val="14"/>
                    <w:szCs w:val="14"/>
                  </w:rPr>
                  <w:t>B1.1</w:t>
                </w:r>
              </w:p>
            </w:tc>
            <w:tc>
              <w:tcPr>
                <w:tcW w:w="357" w:type="pct"/>
                <w:tcBorders>
                  <w:top w:val="single" w:sz="12" w:space="0" w:color="AFAFB4" w:themeColor="accent4"/>
                </w:tcBorders>
                <w:shd w:val="clear" w:color="auto" w:fill="auto"/>
                <w:vAlign w:val="center"/>
              </w:tcPr>
              <w:p w14:paraId="362E6D7E" w14:textId="77777777" w:rsidR="00ED5B94" w:rsidRPr="00ED33EF" w:rsidRDefault="00ED5B94" w:rsidP="004412F7">
                <w:pPr>
                  <w:spacing w:before="0" w:line="240" w:lineRule="auto"/>
                  <w:jc w:val="center"/>
                  <w:rPr>
                    <w:b/>
                    <w:color w:val="33A1AB" w:themeColor="accent2"/>
                    <w:sz w:val="14"/>
                    <w:szCs w:val="14"/>
                  </w:rPr>
                </w:pPr>
                <w:r>
                  <w:rPr>
                    <w:b/>
                    <w:color w:val="33A1AB" w:themeColor="accent2"/>
                    <w:sz w:val="14"/>
                    <w:szCs w:val="14"/>
                  </w:rPr>
                  <w:t>B1.2</w:t>
                </w:r>
              </w:p>
            </w:tc>
            <w:tc>
              <w:tcPr>
                <w:tcW w:w="357" w:type="pct"/>
                <w:tcBorders>
                  <w:top w:val="single" w:sz="12" w:space="0" w:color="AFAFB4" w:themeColor="accent4"/>
                </w:tcBorders>
                <w:shd w:val="clear" w:color="auto" w:fill="auto"/>
                <w:vAlign w:val="center"/>
              </w:tcPr>
              <w:p w14:paraId="2E2B4AA6" w14:textId="77777777" w:rsidR="00ED5B94" w:rsidRPr="00ED33EF" w:rsidRDefault="00ED5B94" w:rsidP="004412F7">
                <w:pPr>
                  <w:spacing w:before="0" w:line="240" w:lineRule="auto"/>
                  <w:jc w:val="center"/>
                  <w:rPr>
                    <w:b/>
                    <w:color w:val="33A1AB" w:themeColor="accent2"/>
                    <w:sz w:val="14"/>
                    <w:szCs w:val="14"/>
                  </w:rPr>
                </w:pPr>
                <w:r>
                  <w:rPr>
                    <w:b/>
                    <w:color w:val="33A1AB" w:themeColor="accent2"/>
                    <w:sz w:val="14"/>
                    <w:szCs w:val="14"/>
                  </w:rPr>
                  <w:t>B2.1</w:t>
                </w:r>
              </w:p>
            </w:tc>
            <w:tc>
              <w:tcPr>
                <w:tcW w:w="357" w:type="pct"/>
                <w:tcBorders>
                  <w:top w:val="single" w:sz="12" w:space="0" w:color="AFAFB4" w:themeColor="accent4"/>
                </w:tcBorders>
                <w:shd w:val="clear" w:color="auto" w:fill="auto"/>
                <w:vAlign w:val="center"/>
              </w:tcPr>
              <w:p w14:paraId="4DDB8DE8" w14:textId="77777777" w:rsidR="00ED5B94" w:rsidRPr="00ED33EF" w:rsidRDefault="00ED5B94" w:rsidP="004412F7">
                <w:pPr>
                  <w:spacing w:before="0" w:line="240" w:lineRule="auto"/>
                  <w:jc w:val="center"/>
                  <w:rPr>
                    <w:b/>
                    <w:color w:val="33A1AB" w:themeColor="accent2"/>
                    <w:sz w:val="14"/>
                    <w:szCs w:val="14"/>
                  </w:rPr>
                </w:pPr>
                <w:r>
                  <w:rPr>
                    <w:b/>
                    <w:color w:val="33A1AB" w:themeColor="accent2"/>
                    <w:sz w:val="14"/>
                    <w:szCs w:val="14"/>
                  </w:rPr>
                  <w:t>B2.2</w:t>
                </w:r>
              </w:p>
            </w:tc>
            <w:tc>
              <w:tcPr>
                <w:tcW w:w="357" w:type="pct"/>
                <w:tcBorders>
                  <w:top w:val="single" w:sz="12" w:space="0" w:color="AFAFB4" w:themeColor="accent4"/>
                </w:tcBorders>
                <w:shd w:val="clear" w:color="auto" w:fill="auto"/>
                <w:vAlign w:val="center"/>
              </w:tcPr>
              <w:p w14:paraId="7ADFE1AF" w14:textId="77777777" w:rsidR="00ED5B94" w:rsidRPr="00ED33EF" w:rsidRDefault="00ED5B94" w:rsidP="004412F7">
                <w:pPr>
                  <w:spacing w:before="0" w:line="240" w:lineRule="auto"/>
                  <w:jc w:val="center"/>
                  <w:rPr>
                    <w:b/>
                    <w:color w:val="33A1AB" w:themeColor="accent2"/>
                    <w:sz w:val="14"/>
                    <w:szCs w:val="14"/>
                  </w:rPr>
                </w:pPr>
                <w:r>
                  <w:rPr>
                    <w:b/>
                    <w:color w:val="33A1AB" w:themeColor="accent2"/>
                    <w:sz w:val="14"/>
                    <w:szCs w:val="14"/>
                  </w:rPr>
                  <w:t>C1.1</w:t>
                </w:r>
              </w:p>
            </w:tc>
            <w:tc>
              <w:tcPr>
                <w:tcW w:w="357" w:type="pct"/>
                <w:tcBorders>
                  <w:top w:val="single" w:sz="12" w:space="0" w:color="AFAFB4" w:themeColor="accent4"/>
                </w:tcBorders>
                <w:shd w:val="clear" w:color="auto" w:fill="auto"/>
                <w:vAlign w:val="center"/>
              </w:tcPr>
              <w:p w14:paraId="79E1DFB2" w14:textId="77777777" w:rsidR="00ED5B94" w:rsidRPr="00ED33EF" w:rsidRDefault="00ED5B94" w:rsidP="004412F7">
                <w:pPr>
                  <w:spacing w:before="0" w:line="240" w:lineRule="auto"/>
                  <w:jc w:val="center"/>
                  <w:rPr>
                    <w:b/>
                    <w:color w:val="33A1AB" w:themeColor="accent2"/>
                    <w:sz w:val="14"/>
                    <w:szCs w:val="14"/>
                  </w:rPr>
                </w:pPr>
                <w:r>
                  <w:rPr>
                    <w:b/>
                    <w:color w:val="33A1AB" w:themeColor="accent2"/>
                    <w:sz w:val="14"/>
                    <w:szCs w:val="14"/>
                  </w:rPr>
                  <w:t>C1.2</w:t>
                </w:r>
              </w:p>
            </w:tc>
            <w:tc>
              <w:tcPr>
                <w:tcW w:w="357" w:type="pct"/>
                <w:tcBorders>
                  <w:top w:val="single" w:sz="12" w:space="0" w:color="AFAFB4" w:themeColor="accent4"/>
                </w:tcBorders>
                <w:shd w:val="clear" w:color="auto" w:fill="auto"/>
                <w:vAlign w:val="center"/>
              </w:tcPr>
              <w:p w14:paraId="694FA9DF" w14:textId="77777777" w:rsidR="00ED5B94" w:rsidRPr="00ED33EF" w:rsidRDefault="00ED5B94" w:rsidP="004412F7">
                <w:pPr>
                  <w:spacing w:before="0" w:line="240" w:lineRule="auto"/>
                  <w:jc w:val="center"/>
                  <w:rPr>
                    <w:b/>
                    <w:color w:val="33A1AB" w:themeColor="accent2"/>
                    <w:sz w:val="14"/>
                    <w:szCs w:val="14"/>
                  </w:rPr>
                </w:pPr>
                <w:r>
                  <w:rPr>
                    <w:b/>
                    <w:color w:val="33A1AB" w:themeColor="accent2"/>
                    <w:sz w:val="14"/>
                    <w:szCs w:val="14"/>
                  </w:rPr>
                  <w:t>C2.1</w:t>
                </w:r>
              </w:p>
            </w:tc>
          </w:tr>
          <w:tr w:rsidR="003B3281" w:rsidRPr="00131242" w14:paraId="12CCF72B" w14:textId="77777777" w:rsidTr="00892C44">
            <w:trPr>
              <w:trHeight w:val="283"/>
            </w:trPr>
            <w:tc>
              <w:tcPr>
                <w:tcW w:w="358" w:type="pct"/>
                <w:tcBorders>
                  <w:top w:val="single" w:sz="4" w:space="0" w:color="AFAFB4" w:themeColor="accent4"/>
                  <w:bottom w:val="single" w:sz="4" w:space="0" w:color="AFAFB4" w:themeColor="accent4"/>
                  <w:right w:val="nil"/>
                </w:tcBorders>
                <w:shd w:val="clear" w:color="auto" w:fill="auto"/>
                <w:vAlign w:val="center"/>
              </w:tcPr>
              <w:p w14:paraId="70E050CB" w14:textId="77777777" w:rsidR="003B3281" w:rsidRPr="000B5299" w:rsidRDefault="003B3281" w:rsidP="004412F7">
                <w:pPr>
                  <w:pStyle w:val="TableIndent3"/>
                  <w:ind w:left="0"/>
                  <w:rPr>
                    <w:rFonts w:eastAsiaTheme="minorEastAsia" w:cstheme="minorBidi"/>
                    <w:b/>
                    <w:color w:val="33A1AB" w:themeColor="accent2"/>
                    <w:sz w:val="14"/>
                    <w:szCs w:val="14"/>
                    <w:lang w:val="en-US" w:eastAsia="en-US"/>
                  </w:rPr>
                </w:pPr>
                <w:r w:rsidRPr="000B5299">
                  <w:rPr>
                    <w:rFonts w:eastAsiaTheme="minorEastAsia" w:cstheme="minorBidi"/>
                    <w:b/>
                    <w:color w:val="33A1AB" w:themeColor="accent2"/>
                    <w:sz w:val="14"/>
                    <w:szCs w:val="14"/>
                    <w:lang w:val="en-US" w:eastAsia="en-US"/>
                  </w:rPr>
                  <w:t>A1.1</w:t>
                </w:r>
              </w:p>
            </w:tc>
            <w:tc>
              <w:tcPr>
                <w:tcW w:w="715" w:type="pct"/>
                <w:gridSpan w:val="2"/>
                <w:tcBorders>
                  <w:top w:val="single" w:sz="4" w:space="0" w:color="AFAFB4" w:themeColor="accent4"/>
                  <w:bottom w:val="single" w:sz="4" w:space="0" w:color="AFAFB4" w:themeColor="accent4"/>
                  <w:right w:val="nil"/>
                </w:tcBorders>
                <w:shd w:val="clear" w:color="auto" w:fill="auto"/>
                <w:tcMar>
                  <w:top w:w="60" w:type="dxa"/>
                  <w:left w:w="114" w:type="dxa"/>
                  <w:bottom w:w="60" w:type="dxa"/>
                  <w:right w:w="114" w:type="dxa"/>
                </w:tcMar>
                <w:vAlign w:val="center"/>
              </w:tcPr>
              <w:p w14:paraId="55EE37B2" w14:textId="098EA951" w:rsidR="003B3281" w:rsidRPr="00131242" w:rsidRDefault="0037300C" w:rsidP="004412F7">
                <w:pPr>
                  <w:pStyle w:val="TableTextLeft"/>
                  <w:jc w:val="center"/>
                  <w:rPr>
                    <w:rFonts w:cs="Segoe UI"/>
                    <w:b/>
                    <w:sz w:val="14"/>
                    <w:szCs w:val="14"/>
                    <w:lang w:eastAsia="it-IT"/>
                  </w:rPr>
                </w:pPr>
                <w:r w:rsidRPr="00C5283A">
                  <w:rPr>
                    <w:rFonts w:cs="Segoe UI"/>
                    <w:b/>
                    <w:sz w:val="14"/>
                    <w:szCs w:val="14"/>
                    <w:lang w:eastAsia="it-IT"/>
                  </w:rPr>
                  <w:t>100.00%</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2EDB9C41"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3A06355E"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1B3A2321"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20626382"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799046BE"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2EF6E308"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5070750F"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0547A169"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2807EE45"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534C9E96"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tcBorders>
                <w:shd w:val="clear" w:color="auto" w:fill="auto"/>
                <w:vAlign w:val="center"/>
              </w:tcPr>
              <w:p w14:paraId="3D6CD24F"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r>
          <w:tr w:rsidR="003B3281" w:rsidRPr="00131242" w14:paraId="2882CB3E" w14:textId="77777777" w:rsidTr="00892C44">
            <w:trPr>
              <w:trHeight w:val="283"/>
            </w:trPr>
            <w:tc>
              <w:tcPr>
                <w:tcW w:w="358" w:type="pct"/>
                <w:tcBorders>
                  <w:top w:val="single" w:sz="4" w:space="0" w:color="AFAFB4" w:themeColor="accent4"/>
                  <w:bottom w:val="single" w:sz="4" w:space="0" w:color="AFAFB4" w:themeColor="accent4"/>
                  <w:right w:val="nil"/>
                </w:tcBorders>
                <w:shd w:val="clear" w:color="auto" w:fill="auto"/>
                <w:vAlign w:val="center"/>
              </w:tcPr>
              <w:p w14:paraId="5C32F79F" w14:textId="77777777" w:rsidR="003B3281" w:rsidRPr="000B5299" w:rsidRDefault="003B3281" w:rsidP="004412F7">
                <w:pPr>
                  <w:pStyle w:val="TableIndent3"/>
                  <w:ind w:left="0"/>
                  <w:rPr>
                    <w:rFonts w:eastAsiaTheme="minorEastAsia" w:cstheme="minorBidi"/>
                    <w:b/>
                    <w:color w:val="33A1AB" w:themeColor="accent2"/>
                    <w:sz w:val="14"/>
                    <w:szCs w:val="14"/>
                    <w:lang w:val="en-US" w:eastAsia="en-US"/>
                  </w:rPr>
                </w:pPr>
                <w:r w:rsidRPr="000B5299">
                  <w:rPr>
                    <w:rFonts w:eastAsiaTheme="minorEastAsia" w:cstheme="minorBidi"/>
                    <w:b/>
                    <w:color w:val="33A1AB" w:themeColor="accent2"/>
                    <w:sz w:val="14"/>
                    <w:szCs w:val="14"/>
                    <w:lang w:val="en-US" w:eastAsia="en-US"/>
                  </w:rPr>
                  <w:t>A1.2</w:t>
                </w:r>
              </w:p>
            </w:tc>
            <w:tc>
              <w:tcPr>
                <w:tcW w:w="1072" w:type="pct"/>
                <w:gridSpan w:val="3"/>
                <w:tcBorders>
                  <w:top w:val="single" w:sz="4" w:space="0" w:color="AFAFB4" w:themeColor="accent4"/>
                  <w:bottom w:val="single" w:sz="4" w:space="0" w:color="AFAFB4" w:themeColor="accent4"/>
                  <w:right w:val="nil"/>
                </w:tcBorders>
                <w:shd w:val="clear" w:color="auto" w:fill="auto"/>
                <w:tcMar>
                  <w:top w:w="60" w:type="dxa"/>
                  <w:left w:w="114" w:type="dxa"/>
                  <w:bottom w:w="60" w:type="dxa"/>
                  <w:right w:w="114" w:type="dxa"/>
                </w:tcMar>
                <w:vAlign w:val="center"/>
              </w:tcPr>
              <w:p w14:paraId="4E7483C2" w14:textId="1114D608" w:rsidR="003B3281" w:rsidRPr="00131242" w:rsidRDefault="0037300C" w:rsidP="004412F7">
                <w:pPr>
                  <w:pStyle w:val="TableTextLeft"/>
                  <w:jc w:val="center"/>
                  <w:rPr>
                    <w:rFonts w:cs="Segoe UI"/>
                    <w:bCs/>
                    <w:sz w:val="14"/>
                    <w:szCs w:val="14"/>
                    <w:lang w:eastAsia="it-IT"/>
                  </w:rPr>
                </w:pPr>
                <w:r w:rsidRPr="00C5283A">
                  <w:rPr>
                    <w:rFonts w:cs="Segoe UI"/>
                    <w:b/>
                    <w:sz w:val="14"/>
                    <w:szCs w:val="14"/>
                    <w:lang w:eastAsia="it-IT"/>
                  </w:rPr>
                  <w:t>85.71%</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66EF7BF8"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14.29%</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0C73D8C6"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534FEB30"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3BFE6050"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28C1A8AB"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2870662A"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7B0C1C04"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1A9BBF97"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6411BA54"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tcBorders>
                <w:shd w:val="clear" w:color="auto" w:fill="auto"/>
                <w:vAlign w:val="center"/>
              </w:tcPr>
              <w:p w14:paraId="17260461"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r>
          <w:tr w:rsidR="003B3281" w:rsidRPr="00131242" w14:paraId="1AE51566" w14:textId="77777777" w:rsidTr="00892C44">
            <w:trPr>
              <w:trHeight w:val="283"/>
            </w:trPr>
            <w:tc>
              <w:tcPr>
                <w:tcW w:w="358" w:type="pct"/>
                <w:tcBorders>
                  <w:top w:val="single" w:sz="4" w:space="0" w:color="AFAFB4" w:themeColor="accent4"/>
                  <w:bottom w:val="single" w:sz="4" w:space="0" w:color="AFAFB4" w:themeColor="accent4"/>
                  <w:right w:val="nil"/>
                </w:tcBorders>
                <w:shd w:val="clear" w:color="auto" w:fill="auto"/>
                <w:vAlign w:val="center"/>
              </w:tcPr>
              <w:p w14:paraId="3CBBC05F" w14:textId="77777777" w:rsidR="003B3281" w:rsidRPr="000B5299" w:rsidRDefault="003B3281" w:rsidP="004412F7">
                <w:pPr>
                  <w:pStyle w:val="TableIndent3"/>
                  <w:ind w:left="0"/>
                  <w:rPr>
                    <w:rFonts w:eastAsiaTheme="minorEastAsia" w:cstheme="minorBidi"/>
                    <w:b/>
                    <w:color w:val="33A1AB" w:themeColor="accent2"/>
                    <w:sz w:val="14"/>
                    <w:szCs w:val="14"/>
                    <w:lang w:val="en-US" w:eastAsia="en-US"/>
                  </w:rPr>
                </w:pPr>
                <w:r w:rsidRPr="000B5299">
                  <w:rPr>
                    <w:rFonts w:eastAsiaTheme="minorEastAsia" w:cstheme="minorBidi"/>
                    <w:b/>
                    <w:color w:val="33A1AB" w:themeColor="accent2"/>
                    <w:sz w:val="14"/>
                    <w:szCs w:val="14"/>
                    <w:lang w:val="en-US" w:eastAsia="en-US"/>
                  </w:rPr>
                  <w:t>A1.3</w:t>
                </w:r>
              </w:p>
            </w:tc>
            <w:tc>
              <w:tcPr>
                <w:tcW w:w="358" w:type="pct"/>
                <w:tcBorders>
                  <w:top w:val="single" w:sz="4" w:space="0" w:color="AFAFB4" w:themeColor="accent4"/>
                  <w:bottom w:val="single" w:sz="4" w:space="0" w:color="AFAFB4" w:themeColor="accent4"/>
                  <w:right w:val="nil"/>
                </w:tcBorders>
                <w:shd w:val="clear" w:color="auto" w:fill="auto"/>
                <w:tcMar>
                  <w:top w:w="60" w:type="dxa"/>
                  <w:left w:w="114" w:type="dxa"/>
                  <w:bottom w:w="60" w:type="dxa"/>
                  <w:right w:w="114" w:type="dxa"/>
                </w:tcMar>
                <w:vAlign w:val="center"/>
              </w:tcPr>
              <w:p w14:paraId="09CFD4DB" w14:textId="77777777" w:rsidR="003B3281" w:rsidRPr="00131242" w:rsidRDefault="003B3281" w:rsidP="004412F7">
                <w:pPr>
                  <w:pStyle w:val="TableIndent3"/>
                  <w:ind w:left="0"/>
                  <w:jc w:val="center"/>
                  <w:rPr>
                    <w:rFonts w:cs="Segoe UI"/>
                    <w:bCs/>
                    <w:sz w:val="14"/>
                    <w:szCs w:val="14"/>
                    <w:lang w:val="en-GB" w:eastAsia="it-IT"/>
                  </w:rPr>
                </w:pPr>
                <w:r w:rsidRPr="00131242">
                  <w:rPr>
                    <w:rFonts w:cs="Segoe UI"/>
                    <w:bCs/>
                    <w:sz w:val="14"/>
                    <w:szCs w:val="14"/>
                    <w:lang w:val="en-GB" w:eastAsia="it-IT"/>
                  </w:rPr>
                  <w:t>0.00%</w:t>
                </w:r>
              </w:p>
            </w:tc>
            <w:tc>
              <w:tcPr>
                <w:tcW w:w="1071" w:type="pct"/>
                <w:gridSpan w:val="3"/>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08EA774E" w14:textId="6D6220A0" w:rsidR="003B3281" w:rsidRPr="00131242" w:rsidRDefault="0037300C" w:rsidP="004412F7">
                <w:pPr>
                  <w:pStyle w:val="TableTextLeft"/>
                  <w:jc w:val="center"/>
                  <w:rPr>
                    <w:rFonts w:cs="Segoe UI"/>
                    <w:bCs/>
                    <w:sz w:val="14"/>
                    <w:szCs w:val="14"/>
                    <w:lang w:eastAsia="it-IT"/>
                  </w:rPr>
                </w:pPr>
                <w:r w:rsidRPr="00C5283A">
                  <w:rPr>
                    <w:rFonts w:cs="Segoe UI"/>
                    <w:b/>
                    <w:sz w:val="14"/>
                    <w:szCs w:val="14"/>
                    <w:lang w:eastAsia="it-IT"/>
                  </w:rPr>
                  <w:t>93.22%</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25EFB0CC"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3.39%</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775E4431"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3.39%</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766B13F1"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04E90668"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7AA76F03"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045ABEE1"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285969B9"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0939A997"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tcBorders>
                <w:shd w:val="clear" w:color="auto" w:fill="auto"/>
                <w:vAlign w:val="center"/>
              </w:tcPr>
              <w:p w14:paraId="042BAEFF"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r>
          <w:tr w:rsidR="003B3281" w:rsidRPr="00131242" w14:paraId="1079EDDC" w14:textId="77777777" w:rsidTr="00892C44">
            <w:trPr>
              <w:trHeight w:val="283"/>
            </w:trPr>
            <w:tc>
              <w:tcPr>
                <w:tcW w:w="358" w:type="pct"/>
                <w:tcBorders>
                  <w:top w:val="single" w:sz="4" w:space="0" w:color="AFAFB4" w:themeColor="accent4"/>
                  <w:bottom w:val="single" w:sz="4" w:space="0" w:color="AFAFB4" w:themeColor="accent4"/>
                  <w:right w:val="nil"/>
                </w:tcBorders>
                <w:shd w:val="clear" w:color="auto" w:fill="auto"/>
                <w:vAlign w:val="center"/>
              </w:tcPr>
              <w:p w14:paraId="6172BCB3" w14:textId="77777777" w:rsidR="003B3281" w:rsidRPr="000B5299" w:rsidRDefault="003B3281" w:rsidP="004412F7">
                <w:pPr>
                  <w:pStyle w:val="TableIndent3"/>
                  <w:ind w:left="0"/>
                  <w:rPr>
                    <w:rFonts w:eastAsiaTheme="minorEastAsia" w:cstheme="minorBidi"/>
                    <w:b/>
                    <w:color w:val="33A1AB" w:themeColor="accent2"/>
                    <w:sz w:val="14"/>
                    <w:szCs w:val="14"/>
                    <w:lang w:val="en-US" w:eastAsia="en-US"/>
                  </w:rPr>
                </w:pPr>
                <w:r w:rsidRPr="000B5299">
                  <w:rPr>
                    <w:rFonts w:eastAsiaTheme="minorEastAsia" w:cstheme="minorBidi"/>
                    <w:b/>
                    <w:color w:val="33A1AB" w:themeColor="accent2"/>
                    <w:sz w:val="14"/>
                    <w:szCs w:val="14"/>
                    <w:lang w:val="en-US" w:eastAsia="en-US"/>
                  </w:rPr>
                  <w:t>A2.1</w:t>
                </w:r>
              </w:p>
            </w:tc>
            <w:tc>
              <w:tcPr>
                <w:tcW w:w="358" w:type="pct"/>
                <w:tcBorders>
                  <w:top w:val="single" w:sz="4" w:space="0" w:color="AFAFB4" w:themeColor="accent4"/>
                  <w:bottom w:val="single" w:sz="4" w:space="0" w:color="AFAFB4" w:themeColor="accent4"/>
                  <w:right w:val="nil"/>
                </w:tcBorders>
                <w:shd w:val="clear" w:color="auto" w:fill="auto"/>
                <w:tcMar>
                  <w:top w:w="60" w:type="dxa"/>
                  <w:left w:w="114" w:type="dxa"/>
                  <w:bottom w:w="60" w:type="dxa"/>
                  <w:right w:w="114" w:type="dxa"/>
                </w:tcMar>
                <w:vAlign w:val="center"/>
              </w:tcPr>
              <w:p w14:paraId="09BE0648" w14:textId="77777777" w:rsidR="003B3281" w:rsidRPr="00131242" w:rsidRDefault="003B3281" w:rsidP="004412F7">
                <w:pPr>
                  <w:pStyle w:val="TableIndent3"/>
                  <w:ind w:left="0"/>
                  <w:jc w:val="center"/>
                  <w:rPr>
                    <w:rFonts w:cs="Segoe UI"/>
                    <w:bCs/>
                    <w:sz w:val="14"/>
                    <w:szCs w:val="14"/>
                    <w:lang w:val="en-GB" w:eastAsia="it-IT"/>
                  </w:rPr>
                </w:pPr>
                <w:r w:rsidRPr="00131242">
                  <w:rPr>
                    <w:rFonts w:cs="Segoe UI"/>
                    <w:bCs/>
                    <w:sz w:val="14"/>
                    <w:szCs w:val="14"/>
                    <w:lang w:val="en-GB"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5A03B72B"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1071" w:type="pct"/>
                <w:gridSpan w:val="3"/>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00C464FF" w14:textId="48D0F98F" w:rsidR="003B3281" w:rsidRPr="00131242" w:rsidRDefault="008E24BA" w:rsidP="004412F7">
                <w:pPr>
                  <w:pStyle w:val="TableTextLeft"/>
                  <w:jc w:val="center"/>
                  <w:rPr>
                    <w:rFonts w:cs="Segoe UI"/>
                    <w:b/>
                    <w:sz w:val="14"/>
                    <w:szCs w:val="14"/>
                    <w:lang w:eastAsia="it-IT"/>
                  </w:rPr>
                </w:pPr>
                <w:r w:rsidRPr="00C5283A">
                  <w:rPr>
                    <w:rFonts w:cs="Segoe UI"/>
                    <w:b/>
                    <w:sz w:val="14"/>
                    <w:szCs w:val="14"/>
                    <w:lang w:eastAsia="it-IT"/>
                  </w:rPr>
                  <w:t>92.92%</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09632AC9"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7.08%</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3C6D1193"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3F480E5B"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4A5B820A"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33989053"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7EE5A00F"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4A3A4C78"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tcBorders>
                <w:shd w:val="clear" w:color="auto" w:fill="auto"/>
                <w:vAlign w:val="center"/>
              </w:tcPr>
              <w:p w14:paraId="39947C86"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r>
          <w:tr w:rsidR="003B3281" w:rsidRPr="00131242" w14:paraId="3BF37F16" w14:textId="77777777" w:rsidTr="00892C44">
            <w:trPr>
              <w:trHeight w:val="283"/>
            </w:trPr>
            <w:tc>
              <w:tcPr>
                <w:tcW w:w="358" w:type="pct"/>
                <w:tcBorders>
                  <w:top w:val="single" w:sz="4" w:space="0" w:color="AFAFB4" w:themeColor="accent4"/>
                  <w:bottom w:val="single" w:sz="4" w:space="0" w:color="AFAFB4" w:themeColor="accent4"/>
                  <w:right w:val="nil"/>
                </w:tcBorders>
                <w:shd w:val="clear" w:color="auto" w:fill="auto"/>
                <w:vAlign w:val="center"/>
              </w:tcPr>
              <w:p w14:paraId="30A6C7D8" w14:textId="77777777" w:rsidR="003B3281" w:rsidRPr="000B5299" w:rsidRDefault="003B3281" w:rsidP="004412F7">
                <w:pPr>
                  <w:pStyle w:val="TableIndent3"/>
                  <w:ind w:left="0"/>
                  <w:rPr>
                    <w:rFonts w:eastAsiaTheme="minorEastAsia" w:cstheme="minorBidi"/>
                    <w:b/>
                    <w:color w:val="33A1AB" w:themeColor="accent2"/>
                    <w:sz w:val="14"/>
                    <w:szCs w:val="14"/>
                    <w:lang w:val="en-US" w:eastAsia="en-US"/>
                  </w:rPr>
                </w:pPr>
                <w:r w:rsidRPr="000B5299">
                  <w:rPr>
                    <w:rFonts w:eastAsiaTheme="minorEastAsia" w:cstheme="minorBidi"/>
                    <w:b/>
                    <w:color w:val="33A1AB" w:themeColor="accent2"/>
                    <w:sz w:val="14"/>
                    <w:szCs w:val="14"/>
                    <w:lang w:val="en-US" w:eastAsia="en-US"/>
                  </w:rPr>
                  <w:t>A2.2</w:t>
                </w:r>
              </w:p>
            </w:tc>
            <w:tc>
              <w:tcPr>
                <w:tcW w:w="358" w:type="pct"/>
                <w:tcBorders>
                  <w:top w:val="single" w:sz="4" w:space="0" w:color="AFAFB4" w:themeColor="accent4"/>
                  <w:bottom w:val="single" w:sz="4" w:space="0" w:color="AFAFB4" w:themeColor="accent4"/>
                  <w:right w:val="nil"/>
                </w:tcBorders>
                <w:shd w:val="clear" w:color="auto" w:fill="auto"/>
                <w:tcMar>
                  <w:top w:w="60" w:type="dxa"/>
                  <w:left w:w="114" w:type="dxa"/>
                  <w:bottom w:w="60" w:type="dxa"/>
                  <w:right w:w="114" w:type="dxa"/>
                </w:tcMar>
                <w:vAlign w:val="center"/>
              </w:tcPr>
              <w:p w14:paraId="094D88C8" w14:textId="77777777" w:rsidR="003B3281" w:rsidRPr="00131242" w:rsidRDefault="003B3281" w:rsidP="004412F7">
                <w:pPr>
                  <w:pStyle w:val="TableIndent3"/>
                  <w:ind w:left="0"/>
                  <w:jc w:val="center"/>
                  <w:rPr>
                    <w:rFonts w:cs="Segoe UI"/>
                    <w:bCs/>
                    <w:sz w:val="14"/>
                    <w:szCs w:val="14"/>
                    <w:lang w:val="en-GB" w:eastAsia="it-IT"/>
                  </w:rPr>
                </w:pPr>
                <w:r w:rsidRPr="00131242">
                  <w:rPr>
                    <w:rFonts w:cs="Segoe UI"/>
                    <w:bCs/>
                    <w:sz w:val="14"/>
                    <w:szCs w:val="14"/>
                    <w:lang w:val="en-GB"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7E8515ED"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52A72AEB"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1071" w:type="pct"/>
                <w:gridSpan w:val="3"/>
                <w:tcBorders>
                  <w:top w:val="single" w:sz="4" w:space="0" w:color="AFAFB4" w:themeColor="accent4"/>
                  <w:left w:val="nil"/>
                  <w:bottom w:val="single" w:sz="4" w:space="0" w:color="AFAFB4" w:themeColor="accent4"/>
                  <w:right w:val="nil"/>
                </w:tcBorders>
                <w:shd w:val="clear" w:color="auto" w:fill="auto"/>
                <w:vAlign w:val="center"/>
              </w:tcPr>
              <w:p w14:paraId="36F4713E" w14:textId="66A036E3" w:rsidR="003B3281" w:rsidRPr="00131242" w:rsidRDefault="008E24BA" w:rsidP="004412F7">
                <w:pPr>
                  <w:pStyle w:val="TableTextLeft"/>
                  <w:jc w:val="center"/>
                  <w:rPr>
                    <w:rFonts w:cs="Segoe UI"/>
                    <w:b/>
                    <w:sz w:val="14"/>
                    <w:szCs w:val="14"/>
                    <w:lang w:eastAsia="it-IT"/>
                  </w:rPr>
                </w:pPr>
                <w:r w:rsidRPr="00C5283A">
                  <w:rPr>
                    <w:rFonts w:cs="Segoe UI"/>
                    <w:b/>
                    <w:sz w:val="14"/>
                    <w:szCs w:val="14"/>
                    <w:lang w:eastAsia="it-IT"/>
                  </w:rPr>
                  <w:t>97.00%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5AA93662"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2.58%</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289825CB"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0.43%</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6FEEAE91"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32ABD801"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058A646D"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293B56B5"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tcBorders>
                <w:shd w:val="clear" w:color="auto" w:fill="auto"/>
                <w:vAlign w:val="center"/>
              </w:tcPr>
              <w:p w14:paraId="647A1E91"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r>
          <w:tr w:rsidR="003B3281" w:rsidRPr="00131242" w14:paraId="5D0BDD97" w14:textId="77777777" w:rsidTr="00892C44">
            <w:trPr>
              <w:trHeight w:val="283"/>
            </w:trPr>
            <w:tc>
              <w:tcPr>
                <w:tcW w:w="358" w:type="pct"/>
                <w:tcBorders>
                  <w:top w:val="single" w:sz="4" w:space="0" w:color="AFAFB4" w:themeColor="accent4"/>
                  <w:bottom w:val="single" w:sz="4" w:space="0" w:color="AFAFB4" w:themeColor="accent4"/>
                  <w:right w:val="nil"/>
                </w:tcBorders>
                <w:shd w:val="clear" w:color="auto" w:fill="auto"/>
                <w:vAlign w:val="center"/>
              </w:tcPr>
              <w:p w14:paraId="075F43BD" w14:textId="77777777" w:rsidR="003B3281" w:rsidRPr="000B5299" w:rsidRDefault="003B3281" w:rsidP="004412F7">
                <w:pPr>
                  <w:pStyle w:val="TableIndent3"/>
                  <w:ind w:left="0"/>
                  <w:rPr>
                    <w:rFonts w:eastAsiaTheme="minorEastAsia" w:cstheme="minorBidi"/>
                    <w:b/>
                    <w:color w:val="33A1AB" w:themeColor="accent2"/>
                    <w:sz w:val="14"/>
                    <w:szCs w:val="14"/>
                    <w:lang w:val="en-US" w:eastAsia="en-US"/>
                  </w:rPr>
                </w:pPr>
                <w:r w:rsidRPr="000B5299">
                  <w:rPr>
                    <w:rFonts w:eastAsiaTheme="minorEastAsia" w:cstheme="minorBidi"/>
                    <w:b/>
                    <w:color w:val="33A1AB" w:themeColor="accent2"/>
                    <w:sz w:val="14"/>
                    <w:szCs w:val="14"/>
                    <w:lang w:val="en-US" w:eastAsia="en-US"/>
                  </w:rPr>
                  <w:t>A3.1</w:t>
                </w:r>
              </w:p>
            </w:tc>
            <w:tc>
              <w:tcPr>
                <w:tcW w:w="358" w:type="pct"/>
                <w:tcBorders>
                  <w:top w:val="single" w:sz="4" w:space="0" w:color="AFAFB4" w:themeColor="accent4"/>
                  <w:bottom w:val="single" w:sz="4" w:space="0" w:color="AFAFB4" w:themeColor="accent4"/>
                  <w:right w:val="nil"/>
                </w:tcBorders>
                <w:shd w:val="clear" w:color="auto" w:fill="auto"/>
                <w:tcMar>
                  <w:top w:w="60" w:type="dxa"/>
                  <w:left w:w="114" w:type="dxa"/>
                  <w:bottom w:w="60" w:type="dxa"/>
                  <w:right w:w="114" w:type="dxa"/>
                </w:tcMar>
                <w:vAlign w:val="center"/>
              </w:tcPr>
              <w:p w14:paraId="6CB66DD8" w14:textId="77777777" w:rsidR="003B3281" w:rsidRPr="00131242" w:rsidRDefault="003B3281" w:rsidP="004412F7">
                <w:pPr>
                  <w:pStyle w:val="TableIndent3"/>
                  <w:ind w:left="0"/>
                  <w:jc w:val="center"/>
                  <w:rPr>
                    <w:rFonts w:cs="Segoe UI"/>
                    <w:bCs/>
                    <w:sz w:val="14"/>
                    <w:szCs w:val="14"/>
                    <w:lang w:val="en-GB" w:eastAsia="it-IT"/>
                  </w:rPr>
                </w:pPr>
                <w:r w:rsidRPr="00131242">
                  <w:rPr>
                    <w:rFonts w:cs="Segoe UI"/>
                    <w:bCs/>
                    <w:sz w:val="14"/>
                    <w:szCs w:val="14"/>
                    <w:lang w:val="en-GB"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2DA0DC8C"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0F39C20D"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35D6225F"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0.35%</w:t>
                </w:r>
              </w:p>
            </w:tc>
            <w:tc>
              <w:tcPr>
                <w:tcW w:w="1071" w:type="pct"/>
                <w:gridSpan w:val="3"/>
                <w:tcBorders>
                  <w:top w:val="single" w:sz="4" w:space="0" w:color="AFAFB4" w:themeColor="accent4"/>
                  <w:left w:val="nil"/>
                  <w:bottom w:val="single" w:sz="4" w:space="0" w:color="AFAFB4" w:themeColor="accent4"/>
                  <w:right w:val="nil"/>
                </w:tcBorders>
                <w:shd w:val="clear" w:color="auto" w:fill="auto"/>
                <w:vAlign w:val="center"/>
              </w:tcPr>
              <w:p w14:paraId="7A31CAA0" w14:textId="06ED4A6F" w:rsidR="003B3281" w:rsidRPr="00131242" w:rsidRDefault="008E24BA" w:rsidP="004412F7">
                <w:pPr>
                  <w:pStyle w:val="TableTextLeft"/>
                  <w:jc w:val="center"/>
                  <w:rPr>
                    <w:rFonts w:cs="Segoe UI"/>
                    <w:b/>
                    <w:sz w:val="14"/>
                    <w:szCs w:val="14"/>
                    <w:lang w:eastAsia="it-IT"/>
                  </w:rPr>
                </w:pPr>
                <w:r w:rsidRPr="00C5283A">
                  <w:rPr>
                    <w:rFonts w:cs="Segoe UI"/>
                    <w:b/>
                    <w:sz w:val="14"/>
                    <w:szCs w:val="14"/>
                    <w:lang w:eastAsia="it-IT"/>
                  </w:rPr>
                  <w:t>95.43%</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633742C6"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2.85%</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5A09A070"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1.29%</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3E5CC1DA"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0.09%</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0785A7E2"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2D863ADB"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tcBorders>
                <w:shd w:val="clear" w:color="auto" w:fill="auto"/>
                <w:vAlign w:val="center"/>
              </w:tcPr>
              <w:p w14:paraId="118CAE6A"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r>
          <w:tr w:rsidR="003B3281" w:rsidRPr="00131242" w14:paraId="354CB100" w14:textId="77777777" w:rsidTr="00892C44">
            <w:trPr>
              <w:trHeight w:val="283"/>
            </w:trPr>
            <w:tc>
              <w:tcPr>
                <w:tcW w:w="358" w:type="pct"/>
                <w:tcBorders>
                  <w:top w:val="single" w:sz="4" w:space="0" w:color="AFAFB4" w:themeColor="accent4"/>
                  <w:bottom w:val="single" w:sz="4" w:space="0" w:color="AFAFB4" w:themeColor="accent4"/>
                  <w:right w:val="nil"/>
                </w:tcBorders>
                <w:shd w:val="clear" w:color="auto" w:fill="auto"/>
                <w:vAlign w:val="center"/>
              </w:tcPr>
              <w:p w14:paraId="2B40D5D4" w14:textId="77777777" w:rsidR="003B3281" w:rsidRPr="000B5299" w:rsidRDefault="003B3281" w:rsidP="004412F7">
                <w:pPr>
                  <w:pStyle w:val="TableIndent3"/>
                  <w:ind w:left="0"/>
                  <w:rPr>
                    <w:rFonts w:eastAsiaTheme="minorEastAsia" w:cstheme="minorBidi"/>
                    <w:b/>
                    <w:color w:val="33A1AB" w:themeColor="accent2"/>
                    <w:sz w:val="14"/>
                    <w:szCs w:val="14"/>
                    <w:lang w:val="en-US" w:eastAsia="en-US"/>
                  </w:rPr>
                </w:pPr>
                <w:r w:rsidRPr="000B5299">
                  <w:rPr>
                    <w:rFonts w:eastAsiaTheme="minorEastAsia" w:cstheme="minorBidi"/>
                    <w:b/>
                    <w:color w:val="33A1AB" w:themeColor="accent2"/>
                    <w:sz w:val="14"/>
                    <w:szCs w:val="14"/>
                    <w:lang w:val="en-US" w:eastAsia="en-US"/>
                  </w:rPr>
                  <w:t>B1.1</w:t>
                </w:r>
              </w:p>
            </w:tc>
            <w:tc>
              <w:tcPr>
                <w:tcW w:w="358" w:type="pct"/>
                <w:tcBorders>
                  <w:top w:val="single" w:sz="4" w:space="0" w:color="AFAFB4" w:themeColor="accent4"/>
                  <w:bottom w:val="single" w:sz="4" w:space="0" w:color="AFAFB4" w:themeColor="accent4"/>
                  <w:right w:val="nil"/>
                </w:tcBorders>
                <w:shd w:val="clear" w:color="auto" w:fill="auto"/>
                <w:tcMar>
                  <w:top w:w="60" w:type="dxa"/>
                  <w:left w:w="114" w:type="dxa"/>
                  <w:bottom w:w="60" w:type="dxa"/>
                  <w:right w:w="114" w:type="dxa"/>
                </w:tcMar>
                <w:vAlign w:val="center"/>
              </w:tcPr>
              <w:p w14:paraId="7157F609" w14:textId="77777777" w:rsidR="003B3281" w:rsidRPr="00131242" w:rsidRDefault="003B3281" w:rsidP="004412F7">
                <w:pPr>
                  <w:pStyle w:val="TableIndent3"/>
                  <w:ind w:left="0"/>
                  <w:jc w:val="center"/>
                  <w:rPr>
                    <w:rFonts w:cs="Segoe UI"/>
                    <w:bCs/>
                    <w:sz w:val="14"/>
                    <w:szCs w:val="14"/>
                    <w:lang w:val="en-GB" w:eastAsia="it-IT"/>
                  </w:rPr>
                </w:pPr>
                <w:r w:rsidRPr="00131242">
                  <w:rPr>
                    <w:rFonts w:cs="Segoe UI"/>
                    <w:bCs/>
                    <w:sz w:val="14"/>
                    <w:szCs w:val="14"/>
                    <w:lang w:val="en-GB"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5686B72C"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092DEF3A"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423F2830"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0BF5820C"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0.08%</w:t>
                </w:r>
              </w:p>
            </w:tc>
            <w:tc>
              <w:tcPr>
                <w:tcW w:w="1071" w:type="pct"/>
                <w:gridSpan w:val="3"/>
                <w:tcBorders>
                  <w:top w:val="single" w:sz="4" w:space="0" w:color="AFAFB4" w:themeColor="accent4"/>
                  <w:left w:val="nil"/>
                  <w:bottom w:val="single" w:sz="4" w:space="0" w:color="AFAFB4" w:themeColor="accent4"/>
                  <w:right w:val="nil"/>
                </w:tcBorders>
                <w:shd w:val="clear" w:color="auto" w:fill="auto"/>
                <w:vAlign w:val="center"/>
              </w:tcPr>
              <w:p w14:paraId="2DFD855A" w14:textId="2B785EB1" w:rsidR="003B3281" w:rsidRPr="00131242" w:rsidRDefault="008E24BA" w:rsidP="004412F7">
                <w:pPr>
                  <w:pStyle w:val="TableTextLeft"/>
                  <w:jc w:val="center"/>
                  <w:rPr>
                    <w:rFonts w:cs="Segoe UI"/>
                    <w:b/>
                    <w:sz w:val="14"/>
                    <w:szCs w:val="14"/>
                    <w:lang w:eastAsia="it-IT"/>
                  </w:rPr>
                </w:pPr>
                <w:r w:rsidRPr="00C5283A">
                  <w:rPr>
                    <w:rFonts w:cs="Segoe UI"/>
                    <w:b/>
                    <w:sz w:val="14"/>
                    <w:szCs w:val="14"/>
                    <w:lang w:eastAsia="it-IT"/>
                  </w:rPr>
                  <w:t>95.79%</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71F19DCA"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3.72%</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5D3F5541"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0.33%</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61B676A7"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0.08%</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2FF2CEEB"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tcBorders>
                <w:shd w:val="clear" w:color="auto" w:fill="auto"/>
                <w:vAlign w:val="center"/>
              </w:tcPr>
              <w:p w14:paraId="10F8D694"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r>
          <w:tr w:rsidR="003B3281" w:rsidRPr="00131242" w14:paraId="159CB2DA" w14:textId="77777777" w:rsidTr="00892C44">
            <w:trPr>
              <w:trHeight w:val="283"/>
            </w:trPr>
            <w:tc>
              <w:tcPr>
                <w:tcW w:w="358" w:type="pct"/>
                <w:tcBorders>
                  <w:top w:val="single" w:sz="4" w:space="0" w:color="AFAFB4" w:themeColor="accent4"/>
                  <w:bottom w:val="single" w:sz="4" w:space="0" w:color="AFAFB4" w:themeColor="accent4"/>
                  <w:right w:val="nil"/>
                </w:tcBorders>
                <w:shd w:val="clear" w:color="auto" w:fill="auto"/>
                <w:vAlign w:val="center"/>
              </w:tcPr>
              <w:p w14:paraId="5A2F208B" w14:textId="77777777" w:rsidR="003B3281" w:rsidRPr="000B5299" w:rsidRDefault="003B3281" w:rsidP="004412F7">
                <w:pPr>
                  <w:pStyle w:val="TableIndent3"/>
                  <w:ind w:left="0"/>
                  <w:rPr>
                    <w:rFonts w:eastAsiaTheme="minorEastAsia" w:cstheme="minorBidi"/>
                    <w:b/>
                    <w:color w:val="33A1AB" w:themeColor="accent2"/>
                    <w:sz w:val="14"/>
                    <w:szCs w:val="14"/>
                    <w:lang w:val="en-US" w:eastAsia="en-US"/>
                  </w:rPr>
                </w:pPr>
                <w:r w:rsidRPr="000B5299">
                  <w:rPr>
                    <w:rFonts w:eastAsiaTheme="minorEastAsia" w:cstheme="minorBidi"/>
                    <w:b/>
                    <w:color w:val="33A1AB" w:themeColor="accent2"/>
                    <w:sz w:val="14"/>
                    <w:szCs w:val="14"/>
                    <w:lang w:val="en-US" w:eastAsia="en-US"/>
                  </w:rPr>
                  <w:t>B1.2</w:t>
                </w:r>
              </w:p>
            </w:tc>
            <w:tc>
              <w:tcPr>
                <w:tcW w:w="358" w:type="pct"/>
                <w:tcBorders>
                  <w:top w:val="single" w:sz="4" w:space="0" w:color="AFAFB4" w:themeColor="accent4"/>
                  <w:bottom w:val="single" w:sz="4" w:space="0" w:color="AFAFB4" w:themeColor="accent4"/>
                  <w:right w:val="nil"/>
                </w:tcBorders>
                <w:shd w:val="clear" w:color="auto" w:fill="auto"/>
                <w:tcMar>
                  <w:top w:w="60" w:type="dxa"/>
                  <w:left w:w="114" w:type="dxa"/>
                  <w:bottom w:w="60" w:type="dxa"/>
                  <w:right w:w="114" w:type="dxa"/>
                </w:tcMar>
                <w:vAlign w:val="center"/>
              </w:tcPr>
              <w:p w14:paraId="5D0062A4" w14:textId="77777777" w:rsidR="003B3281" w:rsidRPr="00131242" w:rsidRDefault="003B3281" w:rsidP="004412F7">
                <w:pPr>
                  <w:pStyle w:val="TableIndent3"/>
                  <w:ind w:left="0"/>
                  <w:jc w:val="center"/>
                  <w:rPr>
                    <w:rFonts w:cs="Segoe UI"/>
                    <w:bCs/>
                    <w:sz w:val="14"/>
                    <w:szCs w:val="14"/>
                    <w:lang w:val="en-GB" w:eastAsia="it-IT"/>
                  </w:rPr>
                </w:pPr>
                <w:r w:rsidRPr="00131242">
                  <w:rPr>
                    <w:rFonts w:cs="Segoe UI"/>
                    <w:bCs/>
                    <w:sz w:val="14"/>
                    <w:szCs w:val="14"/>
                    <w:lang w:val="en-GB"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72D507DD"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719BA4C4"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7B0CDA3A"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371CD9FB"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0.05%</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68E35636"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0.21%</w:t>
                </w:r>
              </w:p>
            </w:tc>
            <w:tc>
              <w:tcPr>
                <w:tcW w:w="1071" w:type="pct"/>
                <w:gridSpan w:val="3"/>
                <w:tcBorders>
                  <w:top w:val="single" w:sz="4" w:space="0" w:color="AFAFB4" w:themeColor="accent4"/>
                  <w:left w:val="nil"/>
                  <w:bottom w:val="single" w:sz="4" w:space="0" w:color="AFAFB4" w:themeColor="accent4"/>
                  <w:right w:val="nil"/>
                </w:tcBorders>
                <w:shd w:val="clear" w:color="auto" w:fill="auto"/>
                <w:vAlign w:val="center"/>
              </w:tcPr>
              <w:p w14:paraId="277F035F" w14:textId="4C470AC8" w:rsidR="003B3281" w:rsidRPr="00131242" w:rsidRDefault="008E24BA" w:rsidP="004412F7">
                <w:pPr>
                  <w:pStyle w:val="TableTextLeft"/>
                  <w:jc w:val="center"/>
                  <w:rPr>
                    <w:rFonts w:cs="Segoe UI"/>
                    <w:b/>
                    <w:sz w:val="14"/>
                    <w:szCs w:val="14"/>
                    <w:lang w:eastAsia="it-IT"/>
                  </w:rPr>
                </w:pPr>
                <w:r w:rsidRPr="00C5283A">
                  <w:rPr>
                    <w:rFonts w:cs="Segoe UI"/>
                    <w:b/>
                    <w:sz w:val="14"/>
                    <w:szCs w:val="14"/>
                    <w:lang w:eastAsia="it-IT"/>
                  </w:rPr>
                  <w:t>98.46%</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4EB113BA"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1.11%</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7A4E9398"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0.16%</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338123EF"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tcBorders>
                <w:shd w:val="clear" w:color="auto" w:fill="auto"/>
                <w:vAlign w:val="center"/>
              </w:tcPr>
              <w:p w14:paraId="7C4C4915"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r>
          <w:tr w:rsidR="003B3281" w:rsidRPr="00131242" w14:paraId="292E9559" w14:textId="77777777" w:rsidTr="00892C44">
            <w:trPr>
              <w:trHeight w:val="283"/>
            </w:trPr>
            <w:tc>
              <w:tcPr>
                <w:tcW w:w="358" w:type="pct"/>
                <w:tcBorders>
                  <w:top w:val="single" w:sz="4" w:space="0" w:color="AFAFB4" w:themeColor="accent4"/>
                  <w:bottom w:val="single" w:sz="4" w:space="0" w:color="AFAFB4" w:themeColor="accent4"/>
                  <w:right w:val="nil"/>
                </w:tcBorders>
                <w:shd w:val="clear" w:color="auto" w:fill="auto"/>
                <w:vAlign w:val="center"/>
              </w:tcPr>
              <w:p w14:paraId="3786115D" w14:textId="77777777" w:rsidR="003B3281" w:rsidRPr="000B5299" w:rsidRDefault="003B3281" w:rsidP="004412F7">
                <w:pPr>
                  <w:pStyle w:val="TableIndent3"/>
                  <w:ind w:left="0"/>
                  <w:rPr>
                    <w:rFonts w:eastAsiaTheme="minorEastAsia" w:cstheme="minorBidi"/>
                    <w:b/>
                    <w:color w:val="33A1AB" w:themeColor="accent2"/>
                    <w:sz w:val="14"/>
                    <w:szCs w:val="14"/>
                    <w:lang w:val="en-US" w:eastAsia="en-US"/>
                  </w:rPr>
                </w:pPr>
                <w:r w:rsidRPr="000B5299">
                  <w:rPr>
                    <w:rFonts w:eastAsiaTheme="minorEastAsia" w:cstheme="minorBidi"/>
                    <w:b/>
                    <w:color w:val="33A1AB" w:themeColor="accent2"/>
                    <w:sz w:val="14"/>
                    <w:szCs w:val="14"/>
                    <w:lang w:val="en-US" w:eastAsia="en-US"/>
                  </w:rPr>
                  <w:t>B2.1</w:t>
                </w:r>
              </w:p>
            </w:tc>
            <w:tc>
              <w:tcPr>
                <w:tcW w:w="358" w:type="pct"/>
                <w:tcBorders>
                  <w:top w:val="single" w:sz="4" w:space="0" w:color="AFAFB4" w:themeColor="accent4"/>
                  <w:bottom w:val="single" w:sz="4" w:space="0" w:color="AFAFB4" w:themeColor="accent4"/>
                  <w:right w:val="nil"/>
                </w:tcBorders>
                <w:shd w:val="clear" w:color="auto" w:fill="auto"/>
                <w:tcMar>
                  <w:top w:w="60" w:type="dxa"/>
                  <w:left w:w="114" w:type="dxa"/>
                  <w:bottom w:w="60" w:type="dxa"/>
                  <w:right w:w="114" w:type="dxa"/>
                </w:tcMar>
                <w:vAlign w:val="center"/>
              </w:tcPr>
              <w:p w14:paraId="2D54F128" w14:textId="77777777" w:rsidR="003B3281" w:rsidRPr="00131242" w:rsidRDefault="003B3281" w:rsidP="004412F7">
                <w:pPr>
                  <w:pStyle w:val="TableIndent3"/>
                  <w:ind w:left="0"/>
                  <w:jc w:val="center"/>
                  <w:rPr>
                    <w:rFonts w:cs="Segoe UI"/>
                    <w:bCs/>
                    <w:sz w:val="14"/>
                    <w:szCs w:val="14"/>
                    <w:lang w:val="en-GB" w:eastAsia="it-IT"/>
                  </w:rPr>
                </w:pPr>
                <w:r w:rsidRPr="00131242">
                  <w:rPr>
                    <w:rFonts w:cs="Segoe UI"/>
                    <w:bCs/>
                    <w:sz w:val="14"/>
                    <w:szCs w:val="14"/>
                    <w:lang w:val="en-GB"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2EB4533D"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56EA1E7B"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6EA02DEC"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120E9D64"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55B8B31C"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29BC1257"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0.20%</w:t>
                </w:r>
              </w:p>
            </w:tc>
            <w:tc>
              <w:tcPr>
                <w:tcW w:w="1071" w:type="pct"/>
                <w:gridSpan w:val="3"/>
                <w:tcBorders>
                  <w:top w:val="single" w:sz="4" w:space="0" w:color="AFAFB4" w:themeColor="accent4"/>
                  <w:left w:val="nil"/>
                  <w:bottom w:val="single" w:sz="4" w:space="0" w:color="AFAFB4" w:themeColor="accent4"/>
                  <w:right w:val="nil"/>
                </w:tcBorders>
                <w:shd w:val="clear" w:color="auto" w:fill="auto"/>
                <w:vAlign w:val="center"/>
              </w:tcPr>
              <w:p w14:paraId="477E20D5" w14:textId="213AAEE2" w:rsidR="003B3281" w:rsidRPr="00131242" w:rsidRDefault="00C5283A" w:rsidP="004412F7">
                <w:pPr>
                  <w:pStyle w:val="TableTextLeft"/>
                  <w:jc w:val="center"/>
                  <w:rPr>
                    <w:rFonts w:cs="Segoe UI"/>
                    <w:b/>
                    <w:sz w:val="14"/>
                    <w:szCs w:val="14"/>
                    <w:lang w:eastAsia="it-IT"/>
                  </w:rPr>
                </w:pPr>
                <w:r w:rsidRPr="00C5283A">
                  <w:rPr>
                    <w:rFonts w:cs="Segoe UI"/>
                    <w:b/>
                    <w:sz w:val="14"/>
                    <w:szCs w:val="14"/>
                    <w:lang w:eastAsia="it-IT"/>
                  </w:rPr>
                  <w:t>98.32%</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4CBE76D3"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1.21%</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41E168A0"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0.27%</w:t>
                </w:r>
              </w:p>
            </w:tc>
            <w:tc>
              <w:tcPr>
                <w:tcW w:w="357" w:type="pct"/>
                <w:tcBorders>
                  <w:top w:val="single" w:sz="4" w:space="0" w:color="AFAFB4" w:themeColor="accent4"/>
                  <w:left w:val="nil"/>
                  <w:bottom w:val="single" w:sz="4" w:space="0" w:color="AFAFB4" w:themeColor="accent4"/>
                </w:tcBorders>
                <w:shd w:val="clear" w:color="auto" w:fill="auto"/>
                <w:vAlign w:val="center"/>
              </w:tcPr>
              <w:p w14:paraId="7F779225"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r>
          <w:tr w:rsidR="003B3281" w:rsidRPr="00131242" w14:paraId="3DB4AAFA" w14:textId="77777777" w:rsidTr="00892C44">
            <w:trPr>
              <w:trHeight w:val="283"/>
            </w:trPr>
            <w:tc>
              <w:tcPr>
                <w:tcW w:w="358" w:type="pct"/>
                <w:tcBorders>
                  <w:top w:val="single" w:sz="4" w:space="0" w:color="AFAFB4" w:themeColor="accent4"/>
                  <w:bottom w:val="single" w:sz="4" w:space="0" w:color="AFAFB4" w:themeColor="accent4"/>
                  <w:right w:val="nil"/>
                </w:tcBorders>
                <w:shd w:val="clear" w:color="auto" w:fill="auto"/>
                <w:vAlign w:val="center"/>
              </w:tcPr>
              <w:p w14:paraId="7B242D34" w14:textId="77777777" w:rsidR="003B3281" w:rsidRPr="000B5299" w:rsidRDefault="003B3281" w:rsidP="004412F7">
                <w:pPr>
                  <w:pStyle w:val="TableIndent3"/>
                  <w:ind w:left="0"/>
                  <w:rPr>
                    <w:rFonts w:eastAsiaTheme="minorEastAsia" w:cstheme="minorBidi"/>
                    <w:b/>
                    <w:color w:val="33A1AB" w:themeColor="accent2"/>
                    <w:sz w:val="14"/>
                    <w:szCs w:val="14"/>
                    <w:lang w:val="en-US" w:eastAsia="en-US"/>
                  </w:rPr>
                </w:pPr>
                <w:r w:rsidRPr="000B5299">
                  <w:rPr>
                    <w:rFonts w:eastAsiaTheme="minorEastAsia" w:cstheme="minorBidi"/>
                    <w:b/>
                    <w:color w:val="33A1AB" w:themeColor="accent2"/>
                    <w:sz w:val="14"/>
                    <w:szCs w:val="14"/>
                    <w:lang w:val="en-US" w:eastAsia="en-US"/>
                  </w:rPr>
                  <w:t>B2.2</w:t>
                </w:r>
              </w:p>
            </w:tc>
            <w:tc>
              <w:tcPr>
                <w:tcW w:w="358" w:type="pct"/>
                <w:tcBorders>
                  <w:top w:val="single" w:sz="4" w:space="0" w:color="AFAFB4" w:themeColor="accent4"/>
                  <w:bottom w:val="single" w:sz="4" w:space="0" w:color="AFAFB4" w:themeColor="accent4"/>
                  <w:right w:val="nil"/>
                </w:tcBorders>
                <w:shd w:val="clear" w:color="auto" w:fill="auto"/>
                <w:tcMar>
                  <w:top w:w="60" w:type="dxa"/>
                  <w:left w:w="114" w:type="dxa"/>
                  <w:bottom w:w="60" w:type="dxa"/>
                  <w:right w:w="114" w:type="dxa"/>
                </w:tcMar>
                <w:vAlign w:val="center"/>
              </w:tcPr>
              <w:p w14:paraId="35E714BC" w14:textId="77777777" w:rsidR="003B3281" w:rsidRPr="00131242" w:rsidRDefault="003B3281" w:rsidP="004412F7">
                <w:pPr>
                  <w:pStyle w:val="TableIndent3"/>
                  <w:ind w:left="0"/>
                  <w:jc w:val="center"/>
                  <w:rPr>
                    <w:rFonts w:cs="Segoe UI"/>
                    <w:bCs/>
                    <w:sz w:val="14"/>
                    <w:szCs w:val="14"/>
                    <w:lang w:val="en-GB" w:eastAsia="it-IT"/>
                  </w:rPr>
                </w:pPr>
                <w:r w:rsidRPr="00131242">
                  <w:rPr>
                    <w:rFonts w:cs="Segoe UI"/>
                    <w:bCs/>
                    <w:sz w:val="14"/>
                    <w:szCs w:val="14"/>
                    <w:lang w:val="en-GB"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7D13390D"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65808FDF"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101C4A70"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286057CC"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1314EDED"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24F85525"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65E7412F"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0.31%</w:t>
                </w:r>
              </w:p>
            </w:tc>
            <w:tc>
              <w:tcPr>
                <w:tcW w:w="1071" w:type="pct"/>
                <w:gridSpan w:val="3"/>
                <w:tcBorders>
                  <w:top w:val="single" w:sz="4" w:space="0" w:color="AFAFB4" w:themeColor="accent4"/>
                  <w:left w:val="nil"/>
                  <w:bottom w:val="single" w:sz="4" w:space="0" w:color="AFAFB4" w:themeColor="accent4"/>
                  <w:right w:val="nil"/>
                </w:tcBorders>
                <w:shd w:val="clear" w:color="auto" w:fill="auto"/>
                <w:vAlign w:val="center"/>
              </w:tcPr>
              <w:p w14:paraId="6FAC8D4A" w14:textId="1E0C44FB" w:rsidR="003B3281" w:rsidRPr="00131242" w:rsidRDefault="00C5283A" w:rsidP="004412F7">
                <w:pPr>
                  <w:pStyle w:val="TableTextLeft"/>
                  <w:jc w:val="center"/>
                  <w:rPr>
                    <w:rFonts w:cs="Segoe UI"/>
                    <w:b/>
                    <w:sz w:val="14"/>
                    <w:szCs w:val="14"/>
                    <w:lang w:eastAsia="it-IT"/>
                  </w:rPr>
                </w:pPr>
                <w:r w:rsidRPr="00C5283A">
                  <w:rPr>
                    <w:rFonts w:cs="Segoe UI"/>
                    <w:b/>
                    <w:sz w:val="14"/>
                    <w:szCs w:val="14"/>
                    <w:lang w:eastAsia="it-IT"/>
                  </w:rPr>
                  <w:t>99.18%</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49B55242"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0.38%</w:t>
                </w:r>
              </w:p>
            </w:tc>
            <w:tc>
              <w:tcPr>
                <w:tcW w:w="357" w:type="pct"/>
                <w:tcBorders>
                  <w:top w:val="single" w:sz="4" w:space="0" w:color="AFAFB4" w:themeColor="accent4"/>
                  <w:left w:val="nil"/>
                  <w:bottom w:val="single" w:sz="4" w:space="0" w:color="AFAFB4" w:themeColor="accent4"/>
                </w:tcBorders>
                <w:shd w:val="clear" w:color="auto" w:fill="auto"/>
                <w:vAlign w:val="center"/>
              </w:tcPr>
              <w:p w14:paraId="4C2189EA"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0.13%</w:t>
                </w:r>
              </w:p>
            </w:tc>
          </w:tr>
          <w:tr w:rsidR="003B3281" w:rsidRPr="00131242" w14:paraId="3E10787F" w14:textId="77777777" w:rsidTr="00892C44">
            <w:trPr>
              <w:trHeight w:val="283"/>
            </w:trPr>
            <w:tc>
              <w:tcPr>
                <w:tcW w:w="358" w:type="pct"/>
                <w:tcBorders>
                  <w:top w:val="single" w:sz="4" w:space="0" w:color="AFAFB4" w:themeColor="accent4"/>
                  <w:bottom w:val="single" w:sz="4" w:space="0" w:color="AFAFB4" w:themeColor="accent4"/>
                  <w:right w:val="nil"/>
                </w:tcBorders>
                <w:shd w:val="clear" w:color="auto" w:fill="auto"/>
                <w:vAlign w:val="center"/>
              </w:tcPr>
              <w:p w14:paraId="571011E9" w14:textId="77777777" w:rsidR="003B3281" w:rsidRPr="000B5299" w:rsidRDefault="003B3281" w:rsidP="004412F7">
                <w:pPr>
                  <w:pStyle w:val="TableIndent3"/>
                  <w:ind w:left="0"/>
                  <w:rPr>
                    <w:rFonts w:eastAsiaTheme="minorEastAsia" w:cstheme="minorBidi"/>
                    <w:b/>
                    <w:color w:val="33A1AB" w:themeColor="accent2"/>
                    <w:sz w:val="14"/>
                    <w:szCs w:val="14"/>
                    <w:lang w:val="en-US" w:eastAsia="en-US"/>
                  </w:rPr>
                </w:pPr>
                <w:r w:rsidRPr="000B5299">
                  <w:rPr>
                    <w:rFonts w:eastAsiaTheme="minorEastAsia" w:cstheme="minorBidi"/>
                    <w:b/>
                    <w:color w:val="33A1AB" w:themeColor="accent2"/>
                    <w:sz w:val="14"/>
                    <w:szCs w:val="14"/>
                    <w:lang w:val="en-US" w:eastAsia="en-US"/>
                  </w:rPr>
                  <w:t>C1.1</w:t>
                </w:r>
              </w:p>
            </w:tc>
            <w:tc>
              <w:tcPr>
                <w:tcW w:w="358" w:type="pct"/>
                <w:tcBorders>
                  <w:top w:val="single" w:sz="4" w:space="0" w:color="AFAFB4" w:themeColor="accent4"/>
                  <w:bottom w:val="single" w:sz="4" w:space="0" w:color="AFAFB4" w:themeColor="accent4"/>
                  <w:right w:val="nil"/>
                </w:tcBorders>
                <w:shd w:val="clear" w:color="auto" w:fill="auto"/>
                <w:tcMar>
                  <w:top w:w="60" w:type="dxa"/>
                  <w:left w:w="114" w:type="dxa"/>
                  <w:bottom w:w="60" w:type="dxa"/>
                  <w:right w:w="114" w:type="dxa"/>
                </w:tcMar>
                <w:vAlign w:val="center"/>
              </w:tcPr>
              <w:p w14:paraId="1E8BF05D" w14:textId="77777777" w:rsidR="003B3281" w:rsidRPr="00131242" w:rsidRDefault="003B3281" w:rsidP="004412F7">
                <w:pPr>
                  <w:pStyle w:val="TableIndent3"/>
                  <w:ind w:left="0"/>
                  <w:jc w:val="center"/>
                  <w:rPr>
                    <w:rFonts w:cs="Segoe UI"/>
                    <w:bCs/>
                    <w:sz w:val="14"/>
                    <w:szCs w:val="14"/>
                    <w:lang w:val="en-GB" w:eastAsia="it-IT"/>
                  </w:rPr>
                </w:pPr>
                <w:r w:rsidRPr="00131242">
                  <w:rPr>
                    <w:rFonts w:cs="Segoe UI"/>
                    <w:bCs/>
                    <w:sz w:val="14"/>
                    <w:szCs w:val="14"/>
                    <w:lang w:val="en-GB"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7990D5A8"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44617EE0"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6B4D2021"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08D67A24"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27187D23"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71857B2F"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28D3A141"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0.14%</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59DDF2BC"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0.43%</w:t>
                </w:r>
              </w:p>
            </w:tc>
            <w:tc>
              <w:tcPr>
                <w:tcW w:w="1071" w:type="pct"/>
                <w:gridSpan w:val="3"/>
                <w:tcBorders>
                  <w:top w:val="single" w:sz="4" w:space="0" w:color="AFAFB4" w:themeColor="accent4"/>
                  <w:left w:val="nil"/>
                  <w:bottom w:val="single" w:sz="4" w:space="0" w:color="AFAFB4" w:themeColor="accent4"/>
                  <w:right w:val="nil"/>
                </w:tcBorders>
                <w:shd w:val="clear" w:color="auto" w:fill="auto"/>
                <w:vAlign w:val="center"/>
              </w:tcPr>
              <w:p w14:paraId="16F546A0" w14:textId="55445B88" w:rsidR="003B3281" w:rsidRPr="00131242" w:rsidRDefault="00C5283A" w:rsidP="004412F7">
                <w:pPr>
                  <w:pStyle w:val="TableTextLeft"/>
                  <w:jc w:val="center"/>
                  <w:rPr>
                    <w:rFonts w:cs="Segoe UI"/>
                    <w:b/>
                    <w:sz w:val="14"/>
                    <w:szCs w:val="14"/>
                    <w:lang w:eastAsia="it-IT"/>
                  </w:rPr>
                </w:pPr>
                <w:r w:rsidRPr="00C5283A">
                  <w:rPr>
                    <w:rFonts w:cs="Segoe UI"/>
                    <w:b/>
                    <w:sz w:val="14"/>
                    <w:szCs w:val="14"/>
                    <w:lang w:eastAsia="it-IT"/>
                  </w:rPr>
                  <w:t>99.14%</w:t>
                </w:r>
              </w:p>
            </w:tc>
            <w:tc>
              <w:tcPr>
                <w:tcW w:w="357" w:type="pct"/>
                <w:tcBorders>
                  <w:top w:val="single" w:sz="4" w:space="0" w:color="AFAFB4" w:themeColor="accent4"/>
                  <w:left w:val="nil"/>
                  <w:bottom w:val="single" w:sz="4" w:space="0" w:color="AFAFB4" w:themeColor="accent4"/>
                </w:tcBorders>
                <w:shd w:val="clear" w:color="auto" w:fill="auto"/>
                <w:vAlign w:val="center"/>
              </w:tcPr>
              <w:p w14:paraId="5AA3195A"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0.29%</w:t>
                </w:r>
              </w:p>
            </w:tc>
          </w:tr>
          <w:tr w:rsidR="003B3281" w:rsidRPr="00131242" w14:paraId="11354B96" w14:textId="77777777" w:rsidTr="00892C44">
            <w:trPr>
              <w:trHeight w:val="283"/>
            </w:trPr>
            <w:tc>
              <w:tcPr>
                <w:tcW w:w="358" w:type="pct"/>
                <w:tcBorders>
                  <w:top w:val="single" w:sz="4" w:space="0" w:color="AFAFB4" w:themeColor="accent4"/>
                  <w:bottom w:val="single" w:sz="4" w:space="0" w:color="AFAFB4" w:themeColor="accent4"/>
                  <w:right w:val="nil"/>
                </w:tcBorders>
                <w:shd w:val="clear" w:color="auto" w:fill="auto"/>
                <w:vAlign w:val="center"/>
              </w:tcPr>
              <w:p w14:paraId="18EB8212" w14:textId="77777777" w:rsidR="003B3281" w:rsidRPr="000B5299" w:rsidRDefault="003B3281" w:rsidP="004412F7">
                <w:pPr>
                  <w:pStyle w:val="TableIndent3"/>
                  <w:ind w:left="0"/>
                  <w:rPr>
                    <w:rFonts w:eastAsiaTheme="minorEastAsia" w:cstheme="minorBidi"/>
                    <w:b/>
                    <w:color w:val="33A1AB" w:themeColor="accent2"/>
                    <w:sz w:val="14"/>
                    <w:szCs w:val="14"/>
                    <w:lang w:val="en-US" w:eastAsia="en-US"/>
                  </w:rPr>
                </w:pPr>
                <w:r w:rsidRPr="000B5299">
                  <w:rPr>
                    <w:rFonts w:eastAsiaTheme="minorEastAsia" w:cstheme="minorBidi"/>
                    <w:b/>
                    <w:color w:val="33A1AB" w:themeColor="accent2"/>
                    <w:sz w:val="14"/>
                    <w:szCs w:val="14"/>
                    <w:lang w:val="en-US" w:eastAsia="en-US"/>
                  </w:rPr>
                  <w:t>C1.2</w:t>
                </w:r>
              </w:p>
            </w:tc>
            <w:tc>
              <w:tcPr>
                <w:tcW w:w="358" w:type="pct"/>
                <w:tcBorders>
                  <w:top w:val="single" w:sz="4" w:space="0" w:color="AFAFB4" w:themeColor="accent4"/>
                  <w:bottom w:val="single" w:sz="4" w:space="0" w:color="AFAFB4" w:themeColor="accent4"/>
                  <w:right w:val="nil"/>
                </w:tcBorders>
                <w:shd w:val="clear" w:color="auto" w:fill="auto"/>
                <w:tcMar>
                  <w:top w:w="60" w:type="dxa"/>
                  <w:left w:w="114" w:type="dxa"/>
                  <w:bottom w:w="60" w:type="dxa"/>
                  <w:right w:w="114" w:type="dxa"/>
                </w:tcMar>
                <w:vAlign w:val="center"/>
              </w:tcPr>
              <w:p w14:paraId="1DE9AF87" w14:textId="77777777" w:rsidR="003B3281" w:rsidRPr="00131242" w:rsidRDefault="003B3281" w:rsidP="004412F7">
                <w:pPr>
                  <w:pStyle w:val="TableIndent3"/>
                  <w:ind w:left="0"/>
                  <w:jc w:val="center"/>
                  <w:rPr>
                    <w:rFonts w:cs="Segoe UI"/>
                    <w:bCs/>
                    <w:sz w:val="14"/>
                    <w:szCs w:val="14"/>
                    <w:lang w:val="en-GB" w:eastAsia="it-IT"/>
                  </w:rPr>
                </w:pPr>
                <w:r w:rsidRPr="00131242">
                  <w:rPr>
                    <w:rFonts w:cs="Segoe UI"/>
                    <w:bCs/>
                    <w:sz w:val="14"/>
                    <w:szCs w:val="14"/>
                    <w:lang w:val="en-GB"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28FF905B"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6F51C361"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2EC155A7"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49FFB36C"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71930235"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2FC8B280"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4174AD18"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34214E55"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7CC6D9D5"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1071" w:type="pct"/>
                <w:gridSpan w:val="3"/>
                <w:tcBorders>
                  <w:top w:val="single" w:sz="4" w:space="0" w:color="AFAFB4" w:themeColor="accent4"/>
                  <w:left w:val="nil"/>
                  <w:bottom w:val="single" w:sz="4" w:space="0" w:color="AFAFB4" w:themeColor="accent4"/>
                </w:tcBorders>
                <w:shd w:val="clear" w:color="auto" w:fill="auto"/>
                <w:vAlign w:val="center"/>
              </w:tcPr>
              <w:p w14:paraId="2B8E67EA" w14:textId="04ED446B" w:rsidR="003B3281" w:rsidRPr="00131242" w:rsidRDefault="00C5283A" w:rsidP="004412F7">
                <w:pPr>
                  <w:pStyle w:val="TableTextLeft"/>
                  <w:jc w:val="center"/>
                  <w:rPr>
                    <w:rFonts w:cs="Segoe UI"/>
                    <w:b/>
                    <w:sz w:val="14"/>
                    <w:szCs w:val="14"/>
                    <w:lang w:eastAsia="it-IT"/>
                  </w:rPr>
                </w:pPr>
                <w:r w:rsidRPr="00C5283A">
                  <w:rPr>
                    <w:rFonts w:cs="Segoe UI"/>
                    <w:b/>
                    <w:sz w:val="14"/>
                    <w:szCs w:val="14"/>
                    <w:lang w:eastAsia="it-IT"/>
                  </w:rPr>
                  <w:t>100.00%</w:t>
                </w:r>
              </w:p>
            </w:tc>
          </w:tr>
          <w:tr w:rsidR="003B3281" w:rsidRPr="00131242" w14:paraId="4D813366" w14:textId="77777777" w:rsidTr="00892C44">
            <w:trPr>
              <w:trHeight w:val="283"/>
            </w:trPr>
            <w:tc>
              <w:tcPr>
                <w:tcW w:w="358" w:type="pct"/>
                <w:tcBorders>
                  <w:top w:val="single" w:sz="4" w:space="0" w:color="AFAFB4" w:themeColor="accent4"/>
                  <w:bottom w:val="single" w:sz="4" w:space="0" w:color="AFAFB4" w:themeColor="accent4"/>
                  <w:right w:val="nil"/>
                </w:tcBorders>
                <w:shd w:val="clear" w:color="auto" w:fill="auto"/>
                <w:vAlign w:val="center"/>
              </w:tcPr>
              <w:p w14:paraId="44A16939" w14:textId="77777777" w:rsidR="003B3281" w:rsidRPr="000B5299" w:rsidRDefault="003B3281" w:rsidP="004412F7">
                <w:pPr>
                  <w:pStyle w:val="TableIndent3"/>
                  <w:ind w:left="0"/>
                  <w:rPr>
                    <w:rFonts w:eastAsiaTheme="minorEastAsia" w:cstheme="minorBidi"/>
                    <w:b/>
                    <w:color w:val="33A1AB" w:themeColor="accent2"/>
                    <w:sz w:val="14"/>
                    <w:szCs w:val="14"/>
                    <w:lang w:val="en-US" w:eastAsia="en-US"/>
                  </w:rPr>
                </w:pPr>
                <w:r w:rsidRPr="000B5299">
                  <w:rPr>
                    <w:rFonts w:eastAsiaTheme="minorEastAsia" w:cstheme="minorBidi"/>
                    <w:b/>
                    <w:color w:val="33A1AB" w:themeColor="accent2"/>
                    <w:sz w:val="14"/>
                    <w:szCs w:val="14"/>
                    <w:lang w:val="en-US" w:eastAsia="en-US"/>
                  </w:rPr>
                  <w:t>C2.1</w:t>
                </w:r>
              </w:p>
            </w:tc>
            <w:tc>
              <w:tcPr>
                <w:tcW w:w="358" w:type="pct"/>
                <w:tcBorders>
                  <w:top w:val="single" w:sz="4" w:space="0" w:color="AFAFB4" w:themeColor="accent4"/>
                  <w:bottom w:val="single" w:sz="4" w:space="0" w:color="AFAFB4" w:themeColor="accent4"/>
                  <w:right w:val="nil"/>
                </w:tcBorders>
                <w:shd w:val="clear" w:color="auto" w:fill="auto"/>
                <w:tcMar>
                  <w:top w:w="60" w:type="dxa"/>
                  <w:left w:w="114" w:type="dxa"/>
                  <w:bottom w:w="60" w:type="dxa"/>
                  <w:right w:w="114" w:type="dxa"/>
                </w:tcMar>
                <w:vAlign w:val="center"/>
              </w:tcPr>
              <w:p w14:paraId="7F4E7E3A" w14:textId="77777777" w:rsidR="003B3281" w:rsidRPr="00131242" w:rsidRDefault="003B3281" w:rsidP="004412F7">
                <w:pPr>
                  <w:pStyle w:val="TableIndent3"/>
                  <w:ind w:left="0"/>
                  <w:jc w:val="center"/>
                  <w:rPr>
                    <w:rFonts w:cs="Segoe UI"/>
                    <w:bCs/>
                    <w:sz w:val="14"/>
                    <w:szCs w:val="14"/>
                    <w:lang w:val="en-GB" w:eastAsia="it-IT"/>
                  </w:rPr>
                </w:pPr>
                <w:r w:rsidRPr="00131242">
                  <w:rPr>
                    <w:rFonts w:cs="Segoe UI"/>
                    <w:bCs/>
                    <w:sz w:val="14"/>
                    <w:szCs w:val="14"/>
                    <w:lang w:val="en-GB"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014D8510"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tcMar>
                  <w:top w:w="60" w:type="dxa"/>
                  <w:left w:w="114" w:type="dxa"/>
                  <w:bottom w:w="60" w:type="dxa"/>
                  <w:right w:w="114" w:type="dxa"/>
                </w:tcMar>
                <w:vAlign w:val="center"/>
              </w:tcPr>
              <w:p w14:paraId="15F67262"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2A8EDC97"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45B15AAB"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3FF03118"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7C983524"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763B9498"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66C0886C"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033E8529"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357" w:type="pct"/>
                <w:tcBorders>
                  <w:top w:val="single" w:sz="4" w:space="0" w:color="AFAFB4" w:themeColor="accent4"/>
                  <w:left w:val="nil"/>
                  <w:bottom w:val="single" w:sz="4" w:space="0" w:color="AFAFB4" w:themeColor="accent4"/>
                  <w:right w:val="nil"/>
                </w:tcBorders>
                <w:shd w:val="clear" w:color="auto" w:fill="auto"/>
                <w:vAlign w:val="center"/>
              </w:tcPr>
              <w:p w14:paraId="108714EB" w14:textId="77777777" w:rsidR="003B3281" w:rsidRPr="00131242" w:rsidRDefault="003B3281" w:rsidP="004412F7">
                <w:pPr>
                  <w:pStyle w:val="TableTextLeft"/>
                  <w:jc w:val="center"/>
                  <w:rPr>
                    <w:rFonts w:cs="Segoe UI"/>
                    <w:bCs/>
                    <w:sz w:val="14"/>
                    <w:szCs w:val="14"/>
                    <w:lang w:eastAsia="it-IT"/>
                  </w:rPr>
                </w:pPr>
                <w:r w:rsidRPr="00131242">
                  <w:rPr>
                    <w:rFonts w:cs="Segoe UI"/>
                    <w:bCs/>
                    <w:sz w:val="14"/>
                    <w:szCs w:val="14"/>
                    <w:lang w:eastAsia="it-IT"/>
                  </w:rPr>
                  <w:t>0.00%</w:t>
                </w:r>
              </w:p>
            </w:tc>
            <w:tc>
              <w:tcPr>
                <w:tcW w:w="714" w:type="pct"/>
                <w:gridSpan w:val="2"/>
                <w:tcBorders>
                  <w:top w:val="single" w:sz="4" w:space="0" w:color="AFAFB4" w:themeColor="accent4"/>
                  <w:left w:val="nil"/>
                  <w:bottom w:val="single" w:sz="4" w:space="0" w:color="AFAFB4" w:themeColor="accent4"/>
                </w:tcBorders>
                <w:shd w:val="clear" w:color="auto" w:fill="auto"/>
                <w:vAlign w:val="center"/>
              </w:tcPr>
              <w:p w14:paraId="39495651" w14:textId="6893D3B3" w:rsidR="003B3281" w:rsidRPr="00131242" w:rsidRDefault="00C5283A" w:rsidP="004412F7">
                <w:pPr>
                  <w:pStyle w:val="TableTextLeft"/>
                  <w:jc w:val="center"/>
                  <w:rPr>
                    <w:rFonts w:cs="Segoe UI"/>
                    <w:b/>
                    <w:sz w:val="14"/>
                    <w:szCs w:val="14"/>
                    <w:lang w:eastAsia="it-IT"/>
                  </w:rPr>
                </w:pPr>
                <w:r>
                  <w:rPr>
                    <w:rFonts w:cs="Segoe UI"/>
                    <w:b/>
                    <w:sz w:val="14"/>
                    <w:szCs w:val="14"/>
                    <w:lang w:eastAsia="it-IT"/>
                  </w:rPr>
                  <w:t>100.00%</w:t>
                </w:r>
              </w:p>
            </w:tc>
          </w:tr>
        </w:tbl>
        <w:p w14:paraId="27BE217C" w14:textId="77777777" w:rsidR="00F87407" w:rsidRDefault="00F87407" w:rsidP="004101BF">
          <w:pPr>
            <w:spacing w:line="240" w:lineRule="auto"/>
            <w:rPr>
              <w:rFonts w:cs="Segoe UI"/>
              <w:lang w:val="en-GB"/>
            </w:rPr>
          </w:pPr>
        </w:p>
        <w:p w14:paraId="0B248B7F" w14:textId="77777777" w:rsidR="006020A5" w:rsidRDefault="00F87407" w:rsidP="004101BF">
          <w:pPr>
            <w:spacing w:line="240" w:lineRule="auto"/>
            <w:rPr>
              <w:rFonts w:cs="Segoe UI"/>
              <w:lang w:val="en-GB"/>
            </w:rPr>
          </w:pPr>
          <w:r>
            <w:rPr>
              <w:rFonts w:cs="Segoe UI"/>
              <w:lang w:val="en-GB"/>
            </w:rPr>
            <w:lastRenderedPageBreak/>
            <w:t>Below is the recap</w:t>
          </w:r>
          <w:r w:rsidR="006020A5">
            <w:rPr>
              <w:rFonts w:cs="Segoe UI"/>
              <w:lang w:val="en-GB"/>
            </w:rPr>
            <w:t xml:space="preserve"> of the last 5 transition matrices, with focus on stability of ratings and evolutions of upgrades and downgrades:</w:t>
          </w:r>
        </w:p>
        <w:p w14:paraId="3BFF2D72" w14:textId="77777777" w:rsidR="00F7680E" w:rsidRDefault="00F7680E" w:rsidP="004101BF">
          <w:pPr>
            <w:spacing w:line="240" w:lineRule="auto"/>
            <w:rPr>
              <w:rFonts w:cs="Segoe UI"/>
              <w:lang w:val="en-GB"/>
            </w:rPr>
          </w:pPr>
        </w:p>
        <w:p w14:paraId="293247BA" w14:textId="752124A5" w:rsidR="009857B6" w:rsidRPr="009857B6" w:rsidRDefault="009857B6" w:rsidP="009857B6">
          <w:pPr>
            <w:pStyle w:val="Didascalia"/>
            <w:rPr>
              <w:rFonts w:ascii="Segoe UI" w:hAnsi="Segoe UI" w:cs="Segoe UI"/>
              <w:i/>
              <w:sz w:val="14"/>
              <w:lang w:val="en-GB"/>
            </w:rPr>
          </w:pPr>
          <w:bookmarkStart w:id="231" w:name="_Toc167131834"/>
          <w:r w:rsidRPr="009857B6">
            <w:rPr>
              <w:rFonts w:ascii="Segoe UI" w:hAnsi="Segoe UI" w:cs="Segoe UI"/>
              <w:i/>
              <w:sz w:val="14"/>
              <w:lang w:val="en-GB"/>
            </w:rPr>
            <w:t xml:space="preserve">Exhibit </w:t>
          </w:r>
          <w:r w:rsidRPr="009857B6">
            <w:rPr>
              <w:rFonts w:ascii="Segoe UI" w:hAnsi="Segoe UI" w:cs="Segoe UI"/>
              <w:i/>
              <w:sz w:val="14"/>
              <w:lang w:val="en-GB"/>
            </w:rPr>
            <w:fldChar w:fldCharType="begin"/>
          </w:r>
          <w:r w:rsidRPr="009857B6">
            <w:rPr>
              <w:rFonts w:ascii="Segoe UI" w:hAnsi="Segoe UI" w:cs="Segoe UI"/>
              <w:i/>
              <w:sz w:val="14"/>
              <w:lang w:val="en-GB"/>
            </w:rPr>
            <w:instrText xml:space="preserve"> SEQ Exhibit \* ARABIC </w:instrText>
          </w:r>
          <w:r w:rsidRPr="009857B6">
            <w:rPr>
              <w:rFonts w:ascii="Segoe UI" w:hAnsi="Segoe UI" w:cs="Segoe UI"/>
              <w:i/>
              <w:sz w:val="14"/>
              <w:lang w:val="en-GB"/>
            </w:rPr>
            <w:fldChar w:fldCharType="separate"/>
          </w:r>
          <w:r w:rsidRPr="009857B6">
            <w:rPr>
              <w:rFonts w:ascii="Segoe UI" w:hAnsi="Segoe UI" w:cs="Segoe UI"/>
              <w:i/>
              <w:sz w:val="14"/>
              <w:lang w:val="en-GB"/>
            </w:rPr>
            <w:t>66</w:t>
          </w:r>
          <w:r w:rsidRPr="009857B6">
            <w:rPr>
              <w:rFonts w:ascii="Segoe UI" w:hAnsi="Segoe UI" w:cs="Segoe UI"/>
              <w:i/>
              <w:sz w:val="14"/>
              <w:lang w:val="en-GB"/>
            </w:rPr>
            <w:fldChar w:fldCharType="end"/>
          </w:r>
          <w:r>
            <w:rPr>
              <w:rFonts w:ascii="Segoe UI" w:hAnsi="Segoe UI" w:cs="Segoe UI"/>
              <w:i/>
              <w:sz w:val="14"/>
              <w:lang w:val="en-GB"/>
            </w:rPr>
            <w:t xml:space="preserve">: </w:t>
          </w:r>
          <w:r w:rsidRPr="009857B6">
            <w:rPr>
              <w:rFonts w:ascii="Segoe UI" w:hAnsi="Segoe UI" w:cs="Segoe UI"/>
              <w:i/>
              <w:sz w:val="14"/>
              <w:lang w:val="en-GB"/>
            </w:rPr>
            <w:t>Rating evolutions in last five years</w:t>
          </w:r>
          <w:bookmarkEnd w:id="231"/>
        </w:p>
        <w:p w14:paraId="0E42B72E" w14:textId="6120E26A" w:rsidR="00F7680E" w:rsidRDefault="00FF32D5" w:rsidP="004101BF">
          <w:pPr>
            <w:spacing w:line="240" w:lineRule="auto"/>
            <w:rPr>
              <w:rFonts w:cs="Segoe UI"/>
              <w:lang w:val="en-GB"/>
            </w:rPr>
          </w:pPr>
          <w:r>
            <w:rPr>
              <w:rFonts w:cs="Segoe UI"/>
              <w:noProof/>
              <w:lang w:val="en-GB"/>
            </w:rPr>
            <w:drawing>
              <wp:inline distT="0" distB="0" distL="0" distR="0" wp14:anchorId="459AF42B" wp14:editId="14C2C635">
                <wp:extent cx="6537960" cy="2933700"/>
                <wp:effectExtent l="0" t="0" r="0" b="0"/>
                <wp:docPr id="1035098736"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618B12D0" w14:textId="77777777" w:rsidR="00671566" w:rsidRDefault="00671566" w:rsidP="004101BF">
          <w:pPr>
            <w:spacing w:line="240" w:lineRule="auto"/>
            <w:rPr>
              <w:rFonts w:cs="Segoe UI"/>
              <w:lang w:val="en-GB"/>
            </w:rPr>
          </w:pPr>
        </w:p>
        <w:p w14:paraId="35C9CACC" w14:textId="4B4FBDE9" w:rsidR="004101BF" w:rsidRPr="00797E26" w:rsidRDefault="00797E26" w:rsidP="00797E26">
          <w:pPr>
            <w:rPr>
              <w:rFonts w:cs="Segoe UI"/>
              <w:lang w:val="en-GB"/>
            </w:rPr>
          </w:pPr>
          <w:r w:rsidRPr="00797E26">
            <w:rPr>
              <w:rFonts w:cs="Segoe UI"/>
              <w:lang w:val="en-GB"/>
            </w:rPr>
            <w:t>The stability of the rating has remained at fairly high levels over the last 5 years, with a decline in the two-year period most characteri</w:t>
          </w:r>
          <w:r w:rsidR="0089579E">
            <w:rPr>
              <w:rFonts w:cs="Segoe UI"/>
              <w:lang w:val="en-GB"/>
            </w:rPr>
            <w:t>s</w:t>
          </w:r>
          <w:r w:rsidRPr="00797E26">
            <w:rPr>
              <w:rFonts w:cs="Segoe UI"/>
              <w:lang w:val="en-GB"/>
            </w:rPr>
            <w:t>ed by the pandemic crisis. The ratings assigned during 2023 remained stable in almost 70% of cases, with values comparable to pre-pandemic levels</w:t>
          </w:r>
          <w:r w:rsidR="004101BF" w:rsidRPr="0032337D">
            <w:rPr>
              <w:rFonts w:cs="Segoe UI"/>
              <w:lang w:val="en-GB"/>
            </w:rPr>
            <w:br w:type="page"/>
          </w:r>
        </w:p>
        <w:p w14:paraId="1975C9FB" w14:textId="77777777" w:rsidR="004101BF" w:rsidRDefault="004101BF" w:rsidP="004101BF">
          <w:pPr>
            <w:pStyle w:val="Titolo1"/>
            <w:rPr>
              <w:lang w:val="en-GB"/>
            </w:rPr>
          </w:pPr>
          <w:bookmarkStart w:id="232" w:name="_Toc130806409"/>
          <w:bookmarkStart w:id="233" w:name="_Toc167131730"/>
          <w:r>
            <w:rPr>
              <w:lang w:val="en-GB"/>
            </w:rPr>
            <w:lastRenderedPageBreak/>
            <w:t>List of annexes</w:t>
          </w:r>
          <w:bookmarkEnd w:id="232"/>
          <w:bookmarkEnd w:id="233"/>
        </w:p>
        <w:p w14:paraId="56D25BCD" w14:textId="77777777" w:rsidR="004101BF" w:rsidRPr="00FA752D" w:rsidRDefault="004101BF" w:rsidP="004101BF">
          <w:pPr>
            <w:pStyle w:val="Titolo2"/>
            <w:rPr>
              <w:lang w:val="en-GB"/>
            </w:rPr>
          </w:pPr>
          <w:bookmarkStart w:id="234" w:name="_Toc130806410"/>
          <w:bookmarkStart w:id="235" w:name="_Toc167131731"/>
          <w:r w:rsidRPr="00FA752D">
            <w:rPr>
              <w:lang w:val="en-GB"/>
            </w:rPr>
            <w:t>Annex 1: Cerved Rating Agency Rating scale</w:t>
          </w:r>
          <w:bookmarkEnd w:id="234"/>
          <w:bookmarkEnd w:id="235"/>
        </w:p>
        <w:p w14:paraId="5F18BB76" w14:textId="77777777" w:rsidR="004101BF" w:rsidRPr="0032337D" w:rsidRDefault="004101BF" w:rsidP="004101BF">
          <w:pPr>
            <w:rPr>
              <w:rFonts w:cs="Segoe UI"/>
              <w:lang w:val="en-GB"/>
            </w:rPr>
          </w:pPr>
          <w:r w:rsidRPr="0032337D">
            <w:rPr>
              <w:rFonts w:cs="Segoe UI"/>
              <w:lang w:val="en-GB"/>
            </w:rPr>
            <w:t>The rating of Cerved Rating Agency is expressed on an alphanumeric scale of 13 degrees, sorted by 4 macro areas (</w:t>
          </w:r>
          <w:r w:rsidRPr="0032337D">
            <w:rPr>
              <w:rFonts w:cs="Segoe UI"/>
              <w:i/>
              <w:lang w:val="en-GB"/>
            </w:rPr>
            <w:t>Safety</w:t>
          </w:r>
          <w:r w:rsidRPr="0032337D">
            <w:rPr>
              <w:rFonts w:cs="Segoe UI"/>
              <w:lang w:val="en-GB"/>
            </w:rPr>
            <w:t xml:space="preserve">, </w:t>
          </w:r>
          <w:r w:rsidRPr="0032337D">
            <w:rPr>
              <w:rFonts w:cs="Segoe UI"/>
              <w:i/>
              <w:lang w:val="en-GB"/>
            </w:rPr>
            <w:t>Solvency</w:t>
          </w:r>
          <w:r w:rsidRPr="0032337D">
            <w:rPr>
              <w:rFonts w:cs="Segoe UI"/>
              <w:lang w:val="en-GB"/>
            </w:rPr>
            <w:t xml:space="preserve">, </w:t>
          </w:r>
          <w:r w:rsidRPr="0032337D">
            <w:rPr>
              <w:rFonts w:cs="Segoe UI"/>
              <w:i/>
              <w:lang w:val="en-GB"/>
            </w:rPr>
            <w:t>Vulnerability</w:t>
          </w:r>
          <w:r w:rsidRPr="0032337D">
            <w:rPr>
              <w:rFonts w:cs="Segoe UI"/>
              <w:lang w:val="en-GB"/>
            </w:rPr>
            <w:t xml:space="preserve"> and </w:t>
          </w:r>
          <w:r w:rsidRPr="0032337D">
            <w:rPr>
              <w:rFonts w:cs="Segoe UI"/>
              <w:i/>
              <w:lang w:val="en-GB"/>
            </w:rPr>
            <w:t>Risk</w:t>
          </w:r>
          <w:r w:rsidRPr="0032337D">
            <w:rPr>
              <w:rFonts w:cs="Segoe UI"/>
              <w:lang w:val="en-GB"/>
            </w:rPr>
            <w:t>). The rating classes denomination allows to clearly identify risk homogeneous macro areas.</w:t>
          </w:r>
        </w:p>
        <w:p w14:paraId="52DC7E99" w14:textId="06237187" w:rsidR="004101BF" w:rsidRPr="0032337D" w:rsidRDefault="004101BF" w:rsidP="004101BF">
          <w:pPr>
            <w:pStyle w:val="Didascalia"/>
            <w:rPr>
              <w:rFonts w:ascii="Segoe UI" w:hAnsi="Segoe UI" w:cs="Segoe UI"/>
              <w:i/>
              <w:sz w:val="14"/>
              <w:lang w:val="en-GB"/>
            </w:rPr>
          </w:pPr>
          <w:bookmarkStart w:id="236" w:name="_Toc130806366"/>
          <w:bookmarkStart w:id="237" w:name="_Toc166675707"/>
          <w:bookmarkStart w:id="238" w:name="_Toc167131835"/>
          <w:r w:rsidRPr="0032337D">
            <w:rPr>
              <w:rFonts w:ascii="Segoe UI" w:hAnsi="Segoe UI" w:cs="Segoe UI"/>
              <w:i/>
              <w:sz w:val="14"/>
              <w:lang w:val="en-GB"/>
            </w:rPr>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67</w:t>
          </w:r>
          <w:r>
            <w:rPr>
              <w:rFonts w:ascii="Segoe UI" w:hAnsi="Segoe UI" w:cs="Segoe UI"/>
              <w:i/>
              <w:sz w:val="14"/>
              <w:lang w:val="en-GB"/>
            </w:rPr>
            <w:fldChar w:fldCharType="end"/>
          </w:r>
          <w:r w:rsidRPr="0032337D">
            <w:rPr>
              <w:rFonts w:ascii="Segoe UI" w:hAnsi="Segoe UI" w:cs="Segoe UI"/>
              <w:i/>
              <w:sz w:val="14"/>
              <w:lang w:val="en-GB"/>
            </w:rPr>
            <w:t>: Cerved Rating Agency rating scale</w:t>
          </w:r>
          <w:bookmarkEnd w:id="236"/>
          <w:bookmarkEnd w:id="237"/>
          <w:bookmarkEnd w:id="238"/>
        </w:p>
        <w:tbl>
          <w:tblPr>
            <w:tblW w:w="4981" w:type="pct"/>
            <w:tblBorders>
              <w:top w:val="single" w:sz="4" w:space="0" w:color="AFAFB4" w:themeColor="accent4"/>
              <w:bottom w:val="single" w:sz="4" w:space="0" w:color="AFAFB4" w:themeColor="accent4"/>
              <w:insideH w:val="single" w:sz="4" w:space="0" w:color="AFAFB4" w:themeColor="accent4"/>
            </w:tblBorders>
            <w:shd w:val="clear" w:color="auto" w:fill="FFFFFF" w:themeFill="background2"/>
            <w:tblCellMar>
              <w:left w:w="0" w:type="dxa"/>
              <w:right w:w="0" w:type="dxa"/>
            </w:tblCellMar>
            <w:tblLook w:val="0620" w:firstRow="1" w:lastRow="0" w:firstColumn="0" w:lastColumn="0" w:noHBand="1" w:noVBand="1"/>
            <w:tblDescription w:val="{&quot;Ott&quot;:{&quot;FirstRow&quot;:{&quot;BackgroundColor&quot;:{&quot;Key&quot;:&quot;Light2&quot;},&quot;Font&quot;:{&quot;Name&quot;:&quot;Source Sans Pro&quot;,&quot;Size&quot;:14.0,&quot;Bold&quot;:false,&quot;Italic&quot;:false,&quot;Color&quot;:{&quot;Key&quot;:&quot;Dark2&quot;}},&quot;ExcelCellFormatting&quot;:&quot;General&quot;,&quot;Alignment&quot;:{&quot;Horizontal&quot;:&quot;Left&quot;,&quot;Vertical&quot;:&quot;Bottom&quot;},&quot;Borders&quot;:{&quot;Vertical&quot;:{&quot;Visible&quot;:false},&quot;Left&quot;:{&quot;Visible&quot;:false},&quot;Top&quot;:{&quot;Visible&quot;:false},&quot;Right&quot;:{&quot;Visible&quot;:false},&quot;Bottom&quot;:{&quot;Color&quot;:{&quot;Key&quot;:&quot;Accent4&quot;},&quot;BorderWeight&quot;:&quot;Pt1_5&quot;,&quot;Type&quot;:&quot;Solid&quot;,&quot;Visible&quot;:true}}},&quot;FitRowHeightPp&quot;:true,&quot;ZeroMarginsWord&quot;:true,&quot;BackgroundColor&quot;:{&quot;Key&quot;:&quot;Light2&quot;},&quot;Font&quot;:{&quot;Name&quot;:&quot;Source Sans Pro&quot;,&quot;Size&quot;:11.0,&quot;Bold&quot;:false,&quot;Italic&quot;:false,&quot;Color&quot;:{&quot;Key&quot;:&quot;Dark2&quot;}},&quot;LineSpacing&quot;:{&quot;Rule&quot;:&quot;Single&quot;},&quot;Alignment&quot;:{&quot;Horizontal&quot;:&quot;Left&quot;,&quot;Vertical&quot;:&quot;Top&quot;},&quot;Margin&quot;:{&quot;Left&quot;:5.7,&quot;Top&quot;:3.0,&quot;Right&quot;:5.7,&quot;Bottom&quot;:3.0},&quot;Borders&quot;:{&quot;Vertical&quot;:{&quot;Visible&quot;:false},&quot;Horizontal&quot;:{&quot;Color&quot;:{&quot;Key&quot;:&quot;Accent4&quot;},&quot;BorderWeight&quot;:&quot;Pt0_5&quot;,&quot;Type&quot;:&quot;Solid&quot;,&quot;Visible&quot;:true}},&quot;ParagraphSpacing&quot;:{&quot;SpaceBefore&quot;:2.0,&quot;SpaceAfter&quot;:2.0},&quot;ExcelWrapText&quot;:true},&quot;Ccs&quot;:{&quot;DarkBlue&quot;:&quot;0, 20, 55&quot;,&quot;Turquoise&quot;:&quot;0, 164, 230&quot;,&quot;Red&quot;:&quot;214, 70, 65&quot;,&quot;LightGrey&quot;:&quot;174, 174, 180&quot;,&quot;BlueGrey&quot;:&quot;77, 91, 115&quot;,&quot;IceBlue&quot;:&quot;178, 184, 195&quot;,&quot;Grey&quot;:&quot;145, 147, 153&quot;,&quot;Background&quot;:&quot;0, 0, 0, 0&quot;,&quot;White&quot;:&quot;White&quot;,&quot;Accent1&quot;:&quot;1, 1, 1, 1&quot;,&quot;Accent2&quot;:&quot;1, 1, 1, 2&quot;,&quot;Accent3&quot;:&quot;1, 1, 1, 3&quot;,&quot;Accent4&quot;:&quot;1, 1, 1, 4&quot;,&quot;Accent5&quot;:&quot;1, 1, 1, 5&quot;,&quot;Accent6&quot;:&quot;1, 1, 1, 6&quot;,&quot;Dark1&quot;:&quot;1, 1, 1, 7&quot;,&quot;Dark2&quot;:&quot;1, 1, 1, 9&quot;,&quot;Light1&quot;:&quot;1, 1, 1, 8&quot;,&quot;Light2&quot;:&quot;1, 1, 1, 10&quot;},&quot;Cop&quot;:{&quot;FirstRow&quot;:true,&quot;LastRow&quot;:false,&quot;FirstColumn&quot;:false,&quot;LastColumn&quot;:false,&quot;BandedRows&quot;:false,&quot;BandedColumns&quot;:false},&quot;Aaf&quot;:false}"/>
          </w:tblPr>
          <w:tblGrid>
            <w:gridCol w:w="1297"/>
            <w:gridCol w:w="736"/>
            <w:gridCol w:w="8276"/>
          </w:tblGrid>
          <w:tr w:rsidR="0007107A" w:rsidRPr="00ED33EF" w14:paraId="3D5E7D95" w14:textId="77777777" w:rsidTr="0007107A">
            <w:trPr>
              <w:trHeight w:val="283"/>
            </w:trPr>
            <w:tc>
              <w:tcPr>
                <w:tcW w:w="629" w:type="pct"/>
                <w:tcBorders>
                  <w:top w:val="single" w:sz="12" w:space="0" w:color="AFAFB4" w:themeColor="accent4"/>
                  <w:bottom w:val="single" w:sz="4" w:space="0" w:color="AFAFB4" w:themeColor="accent4"/>
                </w:tcBorders>
                <w:shd w:val="clear" w:color="auto" w:fill="FFFFFF" w:themeFill="background2"/>
                <w:tcMar>
                  <w:top w:w="60" w:type="dxa"/>
                  <w:left w:w="114" w:type="dxa"/>
                  <w:bottom w:w="60" w:type="dxa"/>
                  <w:right w:w="114" w:type="dxa"/>
                </w:tcMar>
                <w:vAlign w:val="center"/>
              </w:tcPr>
              <w:p w14:paraId="434F8B0F" w14:textId="28DCAA2E" w:rsidR="006301B1" w:rsidRPr="00ED33EF" w:rsidRDefault="0055301B" w:rsidP="00FE1383">
                <w:pPr>
                  <w:spacing w:before="0" w:line="240" w:lineRule="auto"/>
                  <w:jc w:val="center"/>
                  <w:rPr>
                    <w:b/>
                    <w:color w:val="33A1AB" w:themeColor="accent2"/>
                    <w:sz w:val="14"/>
                    <w:szCs w:val="14"/>
                  </w:rPr>
                </w:pPr>
                <w:r>
                  <w:rPr>
                    <w:b/>
                    <w:color w:val="33A1AB" w:themeColor="accent2"/>
                    <w:sz w:val="14"/>
                    <w:szCs w:val="14"/>
                  </w:rPr>
                  <w:t>Area</w:t>
                </w:r>
              </w:p>
            </w:tc>
            <w:tc>
              <w:tcPr>
                <w:tcW w:w="357" w:type="pct"/>
                <w:tcBorders>
                  <w:top w:val="single" w:sz="12" w:space="0" w:color="AFAFB4" w:themeColor="accent4"/>
                  <w:bottom w:val="single" w:sz="4" w:space="0" w:color="AFAFB4" w:themeColor="accent4"/>
                </w:tcBorders>
                <w:shd w:val="clear" w:color="auto" w:fill="FFFFFF" w:themeFill="background2"/>
                <w:tcMar>
                  <w:top w:w="60" w:type="dxa"/>
                  <w:left w:w="114" w:type="dxa"/>
                  <w:bottom w:w="60" w:type="dxa"/>
                  <w:right w:w="114" w:type="dxa"/>
                </w:tcMar>
                <w:vAlign w:val="center"/>
              </w:tcPr>
              <w:p w14:paraId="5D9693F1" w14:textId="3F87FC02" w:rsidR="006301B1" w:rsidRPr="00ED33EF" w:rsidRDefault="0055301B" w:rsidP="00FE1383">
                <w:pPr>
                  <w:spacing w:before="0" w:line="240" w:lineRule="auto"/>
                  <w:jc w:val="center"/>
                  <w:rPr>
                    <w:b/>
                    <w:color w:val="33A1AB" w:themeColor="accent2"/>
                    <w:sz w:val="14"/>
                    <w:szCs w:val="14"/>
                  </w:rPr>
                </w:pPr>
                <w:r>
                  <w:rPr>
                    <w:b/>
                    <w:color w:val="33A1AB" w:themeColor="accent2"/>
                    <w:sz w:val="14"/>
                    <w:szCs w:val="14"/>
                  </w:rPr>
                  <w:t>Rating</w:t>
                </w:r>
              </w:p>
            </w:tc>
            <w:tc>
              <w:tcPr>
                <w:tcW w:w="4014" w:type="pct"/>
                <w:tcBorders>
                  <w:top w:val="single" w:sz="12" w:space="0" w:color="AFAFB4" w:themeColor="accent4"/>
                  <w:bottom w:val="single" w:sz="4" w:space="0" w:color="AFAFB4" w:themeColor="accent4"/>
                </w:tcBorders>
                <w:shd w:val="clear" w:color="auto" w:fill="FFFFFF" w:themeFill="background2"/>
                <w:tcMar>
                  <w:top w:w="60" w:type="dxa"/>
                  <w:left w:w="114" w:type="dxa"/>
                  <w:bottom w:w="60" w:type="dxa"/>
                  <w:right w:w="114" w:type="dxa"/>
                </w:tcMar>
                <w:vAlign w:val="center"/>
              </w:tcPr>
              <w:p w14:paraId="74B6680D" w14:textId="042EA834" w:rsidR="006301B1" w:rsidRPr="00ED33EF" w:rsidRDefault="0055301B" w:rsidP="00FE1383">
                <w:pPr>
                  <w:spacing w:before="0" w:line="240" w:lineRule="auto"/>
                  <w:jc w:val="center"/>
                  <w:rPr>
                    <w:b/>
                    <w:color w:val="33A1AB" w:themeColor="accent2"/>
                    <w:sz w:val="14"/>
                    <w:szCs w:val="14"/>
                  </w:rPr>
                </w:pPr>
                <w:r>
                  <w:rPr>
                    <w:b/>
                    <w:color w:val="33A1AB" w:themeColor="accent2"/>
                    <w:sz w:val="14"/>
                    <w:szCs w:val="14"/>
                  </w:rPr>
                  <w:t>Description</w:t>
                </w:r>
              </w:p>
            </w:tc>
          </w:tr>
          <w:tr w:rsidR="0007107A" w:rsidRPr="0032337D" w14:paraId="040CFB9D" w14:textId="77777777" w:rsidTr="0007107A">
            <w:trPr>
              <w:trHeight w:val="283"/>
            </w:trPr>
            <w:tc>
              <w:tcPr>
                <w:tcW w:w="629" w:type="pct"/>
                <w:vMerge w:val="restart"/>
                <w:tcBorders>
                  <w:top w:val="single" w:sz="4" w:space="0" w:color="AFAFB4" w:themeColor="accent4"/>
                  <w:right w:val="nil"/>
                </w:tcBorders>
                <w:shd w:val="clear" w:color="auto" w:fill="FFFFFF" w:themeFill="background2"/>
                <w:tcMar>
                  <w:top w:w="60" w:type="dxa"/>
                  <w:left w:w="114" w:type="dxa"/>
                  <w:bottom w:w="60" w:type="dxa"/>
                  <w:right w:w="114" w:type="dxa"/>
                </w:tcMar>
                <w:vAlign w:val="center"/>
              </w:tcPr>
              <w:p w14:paraId="747D3569" w14:textId="77777777" w:rsidR="0055301B" w:rsidRPr="0032337D" w:rsidRDefault="0055301B" w:rsidP="0007107A">
                <w:pPr>
                  <w:pStyle w:val="TableIndent3"/>
                  <w:spacing w:before="0" w:after="0"/>
                  <w:ind w:left="0"/>
                  <w:rPr>
                    <w:rFonts w:cs="Segoe UI"/>
                    <w:b/>
                    <w:sz w:val="14"/>
                    <w:szCs w:val="14"/>
                    <w:lang w:val="en-GB" w:eastAsia="it-IT"/>
                  </w:rPr>
                </w:pPr>
                <w:r w:rsidRPr="0032337D">
                  <w:rPr>
                    <w:rFonts w:cs="Segoe UI"/>
                    <w:b/>
                    <w:sz w:val="14"/>
                    <w:szCs w:val="14"/>
                    <w:lang w:val="en-GB" w:eastAsia="it-IT"/>
                  </w:rPr>
                  <w:t>SAFETY</w:t>
                </w:r>
              </w:p>
            </w:tc>
            <w:tc>
              <w:tcPr>
                <w:tcW w:w="357" w:type="pct"/>
                <w:tcBorders>
                  <w:top w:val="single" w:sz="4" w:space="0" w:color="AFAFB4" w:themeColor="accent4"/>
                  <w:left w:val="nil"/>
                  <w:bottom w:val="single" w:sz="4" w:space="0" w:color="AFAFB4" w:themeColor="accent4"/>
                  <w:right w:val="nil"/>
                </w:tcBorders>
                <w:shd w:val="clear" w:color="auto" w:fill="FFFFFF" w:themeFill="background2"/>
                <w:tcMar>
                  <w:top w:w="60" w:type="dxa"/>
                  <w:left w:w="114" w:type="dxa"/>
                  <w:bottom w:w="60" w:type="dxa"/>
                  <w:right w:w="114" w:type="dxa"/>
                </w:tcMar>
                <w:vAlign w:val="center"/>
              </w:tcPr>
              <w:p w14:paraId="02770212" w14:textId="77777777" w:rsidR="0055301B" w:rsidRPr="006301B1" w:rsidRDefault="0055301B" w:rsidP="00FE1383">
                <w:pPr>
                  <w:pStyle w:val="TableTextLeft"/>
                  <w:spacing w:before="0" w:after="0"/>
                  <w:jc w:val="center"/>
                  <w:rPr>
                    <w:rFonts w:cs="Segoe UI"/>
                    <w:sz w:val="14"/>
                    <w:szCs w:val="14"/>
                    <w:lang w:eastAsia="it-IT"/>
                  </w:rPr>
                </w:pPr>
                <w:r w:rsidRPr="006301B1">
                  <w:rPr>
                    <w:rFonts w:cs="Segoe UI"/>
                    <w:sz w:val="14"/>
                    <w:szCs w:val="14"/>
                    <w:lang w:eastAsia="it-IT"/>
                  </w:rPr>
                  <w:t>A1.1</w:t>
                </w:r>
              </w:p>
            </w:tc>
            <w:tc>
              <w:tcPr>
                <w:tcW w:w="4014" w:type="pct"/>
                <w:tcBorders>
                  <w:top w:val="single" w:sz="4" w:space="0" w:color="AFAFB4" w:themeColor="accent4"/>
                  <w:left w:val="nil"/>
                  <w:bottom w:val="single" w:sz="4" w:space="0" w:color="AFAFB4" w:themeColor="accent4"/>
                </w:tcBorders>
                <w:shd w:val="clear" w:color="auto" w:fill="FFFFFF" w:themeFill="background2"/>
                <w:tcMar>
                  <w:top w:w="60" w:type="dxa"/>
                  <w:left w:w="114" w:type="dxa"/>
                  <w:bottom w:w="60" w:type="dxa"/>
                  <w:right w:w="114" w:type="dxa"/>
                </w:tcMar>
                <w:vAlign w:val="center"/>
              </w:tcPr>
              <w:p w14:paraId="2A972902" w14:textId="62F316D0" w:rsidR="0055301B" w:rsidRPr="006301B1" w:rsidRDefault="0055301B" w:rsidP="00FE1383">
                <w:pPr>
                  <w:pStyle w:val="TableTextLeft"/>
                  <w:spacing w:before="0" w:after="0"/>
                  <w:rPr>
                    <w:rFonts w:cs="Segoe UI"/>
                    <w:sz w:val="14"/>
                    <w:szCs w:val="14"/>
                    <w:lang w:eastAsia="it-IT"/>
                  </w:rPr>
                </w:pPr>
                <w:r w:rsidRPr="006301B1">
                  <w:rPr>
                    <w:rFonts w:cs="Segoe UI"/>
                    <w:sz w:val="14"/>
                    <w:szCs w:val="14"/>
                    <w:lang w:eastAsia="it-IT"/>
                  </w:rPr>
                  <w:t>Large company, with excellent business and financial risk profile. Extremely strong capacity to meet financial commitments. Minimal credit risk.</w:t>
                </w:r>
              </w:p>
            </w:tc>
          </w:tr>
          <w:tr w:rsidR="0007107A" w:rsidRPr="0032337D" w14:paraId="71F31F31" w14:textId="77777777" w:rsidTr="0007107A">
            <w:trPr>
              <w:trHeight w:val="283"/>
            </w:trPr>
            <w:tc>
              <w:tcPr>
                <w:tcW w:w="629" w:type="pct"/>
                <w:vMerge/>
                <w:tcBorders>
                  <w:right w:val="nil"/>
                </w:tcBorders>
                <w:shd w:val="clear" w:color="auto" w:fill="FFFFFF" w:themeFill="background2"/>
                <w:tcMar>
                  <w:top w:w="60" w:type="dxa"/>
                  <w:left w:w="114" w:type="dxa"/>
                  <w:bottom w:w="60" w:type="dxa"/>
                  <w:right w:w="114" w:type="dxa"/>
                </w:tcMar>
                <w:vAlign w:val="center"/>
              </w:tcPr>
              <w:p w14:paraId="011D5DE7" w14:textId="77777777" w:rsidR="0055301B" w:rsidRPr="0032337D" w:rsidRDefault="0055301B" w:rsidP="0007107A">
                <w:pPr>
                  <w:pStyle w:val="TableIndent3"/>
                  <w:spacing w:before="0" w:after="0"/>
                  <w:rPr>
                    <w:rFonts w:cs="Segoe UI"/>
                    <w:b/>
                    <w:sz w:val="14"/>
                    <w:szCs w:val="14"/>
                    <w:lang w:val="en-GB" w:eastAsia="it-IT"/>
                  </w:rPr>
                </w:pPr>
              </w:p>
            </w:tc>
            <w:tc>
              <w:tcPr>
                <w:tcW w:w="357" w:type="pct"/>
                <w:tcBorders>
                  <w:top w:val="single" w:sz="4" w:space="0" w:color="AFAFB4" w:themeColor="accent4"/>
                  <w:left w:val="nil"/>
                  <w:bottom w:val="single" w:sz="4" w:space="0" w:color="AFAFB4" w:themeColor="accent4"/>
                  <w:right w:val="nil"/>
                </w:tcBorders>
                <w:shd w:val="clear" w:color="auto" w:fill="FFFFFF" w:themeFill="background2"/>
                <w:tcMar>
                  <w:top w:w="60" w:type="dxa"/>
                  <w:left w:w="114" w:type="dxa"/>
                  <w:bottom w:w="60" w:type="dxa"/>
                  <w:right w:w="114" w:type="dxa"/>
                </w:tcMar>
                <w:vAlign w:val="center"/>
              </w:tcPr>
              <w:p w14:paraId="5EA80C4E" w14:textId="77777777" w:rsidR="0055301B" w:rsidRPr="006301B1" w:rsidRDefault="0055301B" w:rsidP="00FE1383">
                <w:pPr>
                  <w:pStyle w:val="TableTextLeft"/>
                  <w:spacing w:before="0" w:after="0"/>
                  <w:jc w:val="center"/>
                  <w:rPr>
                    <w:rFonts w:cs="Segoe UI"/>
                    <w:sz w:val="14"/>
                    <w:szCs w:val="14"/>
                    <w:lang w:eastAsia="it-IT"/>
                  </w:rPr>
                </w:pPr>
                <w:r w:rsidRPr="006301B1">
                  <w:rPr>
                    <w:rFonts w:cs="Segoe UI"/>
                    <w:sz w:val="14"/>
                    <w:szCs w:val="14"/>
                    <w:lang w:eastAsia="it-IT"/>
                  </w:rPr>
                  <w:t>A1.2</w:t>
                </w:r>
              </w:p>
            </w:tc>
            <w:tc>
              <w:tcPr>
                <w:tcW w:w="4014" w:type="pct"/>
                <w:tcBorders>
                  <w:top w:val="single" w:sz="4" w:space="0" w:color="AFAFB4" w:themeColor="accent4"/>
                  <w:left w:val="nil"/>
                  <w:bottom w:val="single" w:sz="4" w:space="0" w:color="AFAFB4" w:themeColor="accent4"/>
                </w:tcBorders>
                <w:shd w:val="clear" w:color="auto" w:fill="FFFFFF" w:themeFill="background2"/>
                <w:tcMar>
                  <w:top w:w="60" w:type="dxa"/>
                  <w:left w:w="114" w:type="dxa"/>
                  <w:bottom w:w="60" w:type="dxa"/>
                  <w:right w:w="114" w:type="dxa"/>
                </w:tcMar>
                <w:vAlign w:val="center"/>
              </w:tcPr>
              <w:p w14:paraId="6FECFEAD" w14:textId="22BF12C4" w:rsidR="0055301B" w:rsidRPr="006301B1" w:rsidRDefault="0055301B" w:rsidP="00FE1383">
                <w:pPr>
                  <w:pStyle w:val="TableTextLeft"/>
                  <w:spacing w:before="0" w:after="0"/>
                  <w:rPr>
                    <w:rFonts w:cs="Segoe UI"/>
                    <w:sz w:val="14"/>
                    <w:szCs w:val="14"/>
                    <w:lang w:eastAsia="it-IT"/>
                  </w:rPr>
                </w:pPr>
                <w:r w:rsidRPr="006301B1">
                  <w:rPr>
                    <w:rFonts w:cs="Segoe UI"/>
                    <w:sz w:val="14"/>
                    <w:szCs w:val="14"/>
                    <w:lang w:eastAsia="it-IT"/>
                  </w:rPr>
                  <w:t>Large / medium-sized company, with excellent business and financial risk profile. Very strong capacity to meet financial commitments. Very low credit risk.</w:t>
                </w:r>
              </w:p>
            </w:tc>
          </w:tr>
          <w:tr w:rsidR="0007107A" w:rsidRPr="0032337D" w14:paraId="39EB50D3" w14:textId="77777777" w:rsidTr="0007107A">
            <w:trPr>
              <w:trHeight w:val="283"/>
            </w:trPr>
            <w:tc>
              <w:tcPr>
                <w:tcW w:w="629" w:type="pct"/>
                <w:vMerge/>
                <w:tcBorders>
                  <w:right w:val="nil"/>
                </w:tcBorders>
                <w:shd w:val="clear" w:color="auto" w:fill="FFFFFF" w:themeFill="background2"/>
                <w:tcMar>
                  <w:top w:w="60" w:type="dxa"/>
                  <w:left w:w="114" w:type="dxa"/>
                  <w:bottom w:w="60" w:type="dxa"/>
                  <w:right w:w="114" w:type="dxa"/>
                </w:tcMar>
                <w:vAlign w:val="center"/>
              </w:tcPr>
              <w:p w14:paraId="17008DD2" w14:textId="77777777" w:rsidR="0055301B" w:rsidRPr="0032337D" w:rsidRDefault="0055301B" w:rsidP="0007107A">
                <w:pPr>
                  <w:pStyle w:val="TableIndent3"/>
                  <w:spacing w:before="0" w:after="0"/>
                  <w:rPr>
                    <w:rFonts w:cs="Segoe UI"/>
                    <w:b/>
                    <w:sz w:val="14"/>
                    <w:szCs w:val="14"/>
                    <w:lang w:val="en-GB" w:eastAsia="it-IT"/>
                  </w:rPr>
                </w:pPr>
              </w:p>
            </w:tc>
            <w:tc>
              <w:tcPr>
                <w:tcW w:w="357" w:type="pct"/>
                <w:tcBorders>
                  <w:top w:val="single" w:sz="4" w:space="0" w:color="AFAFB4" w:themeColor="accent4"/>
                  <w:left w:val="nil"/>
                  <w:bottom w:val="single" w:sz="4" w:space="0" w:color="AFAFB4" w:themeColor="accent4"/>
                  <w:right w:val="nil"/>
                </w:tcBorders>
                <w:shd w:val="clear" w:color="auto" w:fill="FFFFFF" w:themeFill="background2"/>
                <w:tcMar>
                  <w:top w:w="60" w:type="dxa"/>
                  <w:left w:w="114" w:type="dxa"/>
                  <w:bottom w:w="60" w:type="dxa"/>
                  <w:right w:w="114" w:type="dxa"/>
                </w:tcMar>
                <w:vAlign w:val="center"/>
              </w:tcPr>
              <w:p w14:paraId="0B4D5DE0" w14:textId="77777777" w:rsidR="0055301B" w:rsidRPr="006301B1" w:rsidRDefault="0055301B" w:rsidP="00FE1383">
                <w:pPr>
                  <w:pStyle w:val="TableTextLeft"/>
                  <w:spacing w:before="0" w:after="0"/>
                  <w:jc w:val="center"/>
                  <w:rPr>
                    <w:rFonts w:cs="Segoe UI"/>
                    <w:sz w:val="14"/>
                    <w:szCs w:val="14"/>
                    <w:lang w:eastAsia="it-IT"/>
                  </w:rPr>
                </w:pPr>
                <w:r w:rsidRPr="006301B1">
                  <w:rPr>
                    <w:rFonts w:cs="Segoe UI"/>
                    <w:sz w:val="14"/>
                    <w:szCs w:val="14"/>
                    <w:lang w:eastAsia="it-IT"/>
                  </w:rPr>
                  <w:t>A1.3</w:t>
                </w:r>
              </w:p>
            </w:tc>
            <w:tc>
              <w:tcPr>
                <w:tcW w:w="4014" w:type="pct"/>
                <w:tcBorders>
                  <w:top w:val="single" w:sz="4" w:space="0" w:color="AFAFB4" w:themeColor="accent4"/>
                  <w:left w:val="nil"/>
                  <w:bottom w:val="single" w:sz="4" w:space="0" w:color="AFAFB4" w:themeColor="accent4"/>
                </w:tcBorders>
                <w:shd w:val="clear" w:color="auto" w:fill="FFFFFF" w:themeFill="background2"/>
                <w:tcMar>
                  <w:top w:w="60" w:type="dxa"/>
                  <w:left w:w="114" w:type="dxa"/>
                  <w:bottom w:w="60" w:type="dxa"/>
                  <w:right w:w="114" w:type="dxa"/>
                </w:tcMar>
                <w:vAlign w:val="center"/>
              </w:tcPr>
              <w:p w14:paraId="321710C6" w14:textId="173F9D95" w:rsidR="0055301B" w:rsidRPr="006301B1" w:rsidRDefault="0055301B" w:rsidP="00FE1383">
                <w:pPr>
                  <w:pStyle w:val="TableTextLeft"/>
                  <w:spacing w:before="0" w:after="0"/>
                  <w:rPr>
                    <w:rFonts w:cs="Segoe UI"/>
                    <w:sz w:val="14"/>
                    <w:szCs w:val="14"/>
                    <w:lang w:eastAsia="it-IT"/>
                  </w:rPr>
                </w:pPr>
                <w:r w:rsidRPr="006301B1">
                  <w:rPr>
                    <w:rFonts w:cs="Segoe UI"/>
                    <w:sz w:val="14"/>
                    <w:szCs w:val="14"/>
                    <w:lang w:eastAsia="it-IT"/>
                  </w:rPr>
                  <w:t>Very good business and financial risk profile. Very good capacity to meet financial commitments. Very low credit risk.</w:t>
                </w:r>
              </w:p>
            </w:tc>
          </w:tr>
          <w:tr w:rsidR="0007107A" w:rsidRPr="0032337D" w14:paraId="76A01153" w14:textId="77777777" w:rsidTr="0007107A">
            <w:trPr>
              <w:trHeight w:val="283"/>
            </w:trPr>
            <w:tc>
              <w:tcPr>
                <w:tcW w:w="629" w:type="pct"/>
                <w:vMerge/>
                <w:tcBorders>
                  <w:right w:val="nil"/>
                </w:tcBorders>
                <w:shd w:val="clear" w:color="auto" w:fill="FFFFFF" w:themeFill="background2"/>
                <w:tcMar>
                  <w:top w:w="60" w:type="dxa"/>
                  <w:left w:w="114" w:type="dxa"/>
                  <w:bottom w:w="60" w:type="dxa"/>
                  <w:right w:w="114" w:type="dxa"/>
                </w:tcMar>
                <w:vAlign w:val="center"/>
              </w:tcPr>
              <w:p w14:paraId="138880C7" w14:textId="77777777" w:rsidR="0055301B" w:rsidRPr="0032337D" w:rsidRDefault="0055301B" w:rsidP="0007107A">
                <w:pPr>
                  <w:pStyle w:val="TableIndent3"/>
                  <w:spacing w:before="0" w:after="0"/>
                  <w:rPr>
                    <w:rFonts w:cs="Segoe UI"/>
                    <w:b/>
                    <w:sz w:val="14"/>
                    <w:szCs w:val="14"/>
                    <w:lang w:val="en-GB" w:eastAsia="it-IT"/>
                  </w:rPr>
                </w:pPr>
              </w:p>
            </w:tc>
            <w:tc>
              <w:tcPr>
                <w:tcW w:w="357" w:type="pct"/>
                <w:tcBorders>
                  <w:top w:val="single" w:sz="4" w:space="0" w:color="AFAFB4" w:themeColor="accent4"/>
                  <w:left w:val="nil"/>
                  <w:bottom w:val="single" w:sz="4" w:space="0" w:color="AFAFB4" w:themeColor="accent4"/>
                  <w:right w:val="nil"/>
                </w:tcBorders>
                <w:shd w:val="clear" w:color="auto" w:fill="FFFFFF" w:themeFill="background2"/>
                <w:tcMar>
                  <w:top w:w="60" w:type="dxa"/>
                  <w:left w:w="114" w:type="dxa"/>
                  <w:bottom w:w="60" w:type="dxa"/>
                  <w:right w:w="114" w:type="dxa"/>
                </w:tcMar>
                <w:vAlign w:val="center"/>
              </w:tcPr>
              <w:p w14:paraId="76C108C3" w14:textId="77777777" w:rsidR="0055301B" w:rsidRPr="006301B1" w:rsidRDefault="0055301B" w:rsidP="00FE1383">
                <w:pPr>
                  <w:pStyle w:val="TableTextLeft"/>
                  <w:spacing w:before="0" w:after="0"/>
                  <w:jc w:val="center"/>
                  <w:rPr>
                    <w:rFonts w:cs="Segoe UI"/>
                    <w:sz w:val="14"/>
                    <w:szCs w:val="14"/>
                    <w:lang w:eastAsia="it-IT"/>
                  </w:rPr>
                </w:pPr>
                <w:r w:rsidRPr="006301B1">
                  <w:rPr>
                    <w:rFonts w:cs="Segoe UI"/>
                    <w:sz w:val="14"/>
                    <w:szCs w:val="14"/>
                    <w:lang w:eastAsia="it-IT"/>
                  </w:rPr>
                  <w:t>A2.1</w:t>
                </w:r>
              </w:p>
            </w:tc>
            <w:tc>
              <w:tcPr>
                <w:tcW w:w="4014" w:type="pct"/>
                <w:tcBorders>
                  <w:top w:val="single" w:sz="4" w:space="0" w:color="AFAFB4" w:themeColor="accent4"/>
                  <w:left w:val="nil"/>
                  <w:bottom w:val="single" w:sz="4" w:space="0" w:color="AFAFB4" w:themeColor="accent4"/>
                </w:tcBorders>
                <w:shd w:val="clear" w:color="auto" w:fill="FFFFFF" w:themeFill="background2"/>
                <w:tcMar>
                  <w:top w:w="60" w:type="dxa"/>
                  <w:left w:w="114" w:type="dxa"/>
                  <w:bottom w:w="60" w:type="dxa"/>
                  <w:right w:w="114" w:type="dxa"/>
                </w:tcMar>
                <w:vAlign w:val="center"/>
              </w:tcPr>
              <w:p w14:paraId="667A2310" w14:textId="7E8D0F54" w:rsidR="0055301B" w:rsidRPr="006301B1" w:rsidRDefault="0055301B" w:rsidP="00FE1383">
                <w:pPr>
                  <w:pStyle w:val="TableTextLeft"/>
                  <w:spacing w:before="0" w:after="0"/>
                  <w:rPr>
                    <w:rFonts w:cs="Segoe UI"/>
                    <w:sz w:val="14"/>
                    <w:szCs w:val="14"/>
                    <w:lang w:eastAsia="it-IT"/>
                  </w:rPr>
                </w:pPr>
                <w:r w:rsidRPr="006301B1">
                  <w:rPr>
                    <w:rFonts w:cs="Segoe UI"/>
                    <w:sz w:val="14"/>
                    <w:szCs w:val="14"/>
                    <w:lang w:eastAsia="it-IT"/>
                  </w:rPr>
                  <w:t>Very good fundamentals and high capacity to meet financial commitments. Low credit risk.</w:t>
                </w:r>
              </w:p>
            </w:tc>
          </w:tr>
          <w:tr w:rsidR="0007107A" w:rsidRPr="0032337D" w14:paraId="39C5110E" w14:textId="77777777" w:rsidTr="0007107A">
            <w:trPr>
              <w:trHeight w:val="283"/>
            </w:trPr>
            <w:tc>
              <w:tcPr>
                <w:tcW w:w="629" w:type="pct"/>
                <w:vMerge/>
                <w:tcBorders>
                  <w:right w:val="nil"/>
                </w:tcBorders>
                <w:shd w:val="clear" w:color="auto" w:fill="FFFFFF" w:themeFill="background2"/>
                <w:tcMar>
                  <w:top w:w="60" w:type="dxa"/>
                  <w:left w:w="114" w:type="dxa"/>
                  <w:bottom w:w="60" w:type="dxa"/>
                  <w:right w:w="114" w:type="dxa"/>
                </w:tcMar>
                <w:vAlign w:val="center"/>
              </w:tcPr>
              <w:p w14:paraId="75C5884C" w14:textId="77777777" w:rsidR="0055301B" w:rsidRPr="0032337D" w:rsidRDefault="0055301B" w:rsidP="0007107A">
                <w:pPr>
                  <w:pStyle w:val="TableIndent3"/>
                  <w:spacing w:before="0" w:after="0"/>
                  <w:rPr>
                    <w:rFonts w:cs="Segoe UI"/>
                    <w:b/>
                    <w:sz w:val="14"/>
                    <w:szCs w:val="14"/>
                    <w:lang w:val="en-GB" w:eastAsia="it-IT"/>
                  </w:rPr>
                </w:pPr>
              </w:p>
            </w:tc>
            <w:tc>
              <w:tcPr>
                <w:tcW w:w="357" w:type="pct"/>
                <w:tcBorders>
                  <w:top w:val="single" w:sz="4" w:space="0" w:color="AFAFB4" w:themeColor="accent4"/>
                  <w:left w:val="nil"/>
                  <w:bottom w:val="single" w:sz="4" w:space="0" w:color="AFAFB4" w:themeColor="accent4"/>
                  <w:right w:val="nil"/>
                </w:tcBorders>
                <w:shd w:val="clear" w:color="auto" w:fill="FFFFFF" w:themeFill="background2"/>
                <w:tcMar>
                  <w:top w:w="60" w:type="dxa"/>
                  <w:left w:w="114" w:type="dxa"/>
                  <w:bottom w:w="60" w:type="dxa"/>
                  <w:right w:w="114" w:type="dxa"/>
                </w:tcMar>
                <w:vAlign w:val="center"/>
              </w:tcPr>
              <w:p w14:paraId="360AC239" w14:textId="77777777" w:rsidR="0055301B" w:rsidRPr="006301B1" w:rsidRDefault="0055301B" w:rsidP="00FE1383">
                <w:pPr>
                  <w:pStyle w:val="TableTextLeft"/>
                  <w:spacing w:before="0" w:after="0"/>
                  <w:jc w:val="center"/>
                  <w:rPr>
                    <w:rFonts w:cs="Segoe UI"/>
                    <w:sz w:val="14"/>
                    <w:szCs w:val="14"/>
                    <w:lang w:eastAsia="it-IT"/>
                  </w:rPr>
                </w:pPr>
                <w:r w:rsidRPr="006301B1">
                  <w:rPr>
                    <w:rFonts w:cs="Segoe UI"/>
                    <w:sz w:val="14"/>
                    <w:szCs w:val="14"/>
                    <w:lang w:eastAsia="it-IT"/>
                  </w:rPr>
                  <w:t>A2.2</w:t>
                </w:r>
              </w:p>
            </w:tc>
            <w:tc>
              <w:tcPr>
                <w:tcW w:w="4014" w:type="pct"/>
                <w:tcBorders>
                  <w:top w:val="single" w:sz="4" w:space="0" w:color="AFAFB4" w:themeColor="accent4"/>
                  <w:left w:val="nil"/>
                  <w:bottom w:val="single" w:sz="4" w:space="0" w:color="AFAFB4" w:themeColor="accent4"/>
                </w:tcBorders>
                <w:shd w:val="clear" w:color="auto" w:fill="FFFFFF" w:themeFill="background2"/>
                <w:tcMar>
                  <w:top w:w="60" w:type="dxa"/>
                  <w:left w:w="114" w:type="dxa"/>
                  <w:bottom w:w="60" w:type="dxa"/>
                  <w:right w:w="114" w:type="dxa"/>
                </w:tcMar>
                <w:vAlign w:val="center"/>
              </w:tcPr>
              <w:p w14:paraId="55C9CCDD" w14:textId="0491FE2F" w:rsidR="0055301B" w:rsidRPr="006301B1" w:rsidRDefault="0055301B" w:rsidP="00FE1383">
                <w:pPr>
                  <w:pStyle w:val="TableTextLeft"/>
                  <w:spacing w:before="0" w:after="0"/>
                  <w:rPr>
                    <w:rFonts w:cs="Segoe UI"/>
                    <w:sz w:val="14"/>
                    <w:szCs w:val="14"/>
                    <w:lang w:eastAsia="it-IT"/>
                  </w:rPr>
                </w:pPr>
                <w:r w:rsidRPr="006301B1">
                  <w:rPr>
                    <w:rFonts w:cs="Segoe UI"/>
                    <w:sz w:val="14"/>
                    <w:szCs w:val="14"/>
                    <w:lang w:eastAsia="it-IT"/>
                  </w:rPr>
                  <w:t>Very good fundamentals and good capacity to meet financial commitments. Low credit risk.</w:t>
                </w:r>
              </w:p>
            </w:tc>
          </w:tr>
          <w:tr w:rsidR="0007107A" w:rsidRPr="0032337D" w14:paraId="19901EB2" w14:textId="77777777" w:rsidTr="0007107A">
            <w:trPr>
              <w:trHeight w:val="283"/>
            </w:trPr>
            <w:tc>
              <w:tcPr>
                <w:tcW w:w="629" w:type="pct"/>
                <w:vMerge/>
                <w:tcBorders>
                  <w:bottom w:val="single" w:sz="4" w:space="0" w:color="AFAFB4" w:themeColor="accent4"/>
                  <w:right w:val="nil"/>
                </w:tcBorders>
                <w:shd w:val="clear" w:color="auto" w:fill="FFFFFF" w:themeFill="background2"/>
                <w:tcMar>
                  <w:top w:w="60" w:type="dxa"/>
                  <w:left w:w="114" w:type="dxa"/>
                  <w:bottom w:w="60" w:type="dxa"/>
                  <w:right w:w="114" w:type="dxa"/>
                </w:tcMar>
                <w:vAlign w:val="center"/>
              </w:tcPr>
              <w:p w14:paraId="582C0699" w14:textId="77777777" w:rsidR="0055301B" w:rsidRPr="0032337D" w:rsidRDefault="0055301B" w:rsidP="0007107A">
                <w:pPr>
                  <w:pStyle w:val="TableIndent3"/>
                  <w:spacing w:before="0" w:after="0"/>
                  <w:rPr>
                    <w:rFonts w:cs="Segoe UI"/>
                    <w:b/>
                    <w:sz w:val="14"/>
                    <w:szCs w:val="14"/>
                    <w:lang w:val="en-GB" w:eastAsia="it-IT"/>
                  </w:rPr>
                </w:pPr>
              </w:p>
            </w:tc>
            <w:tc>
              <w:tcPr>
                <w:tcW w:w="357" w:type="pct"/>
                <w:tcBorders>
                  <w:top w:val="single" w:sz="4" w:space="0" w:color="AFAFB4" w:themeColor="accent4"/>
                  <w:left w:val="nil"/>
                  <w:bottom w:val="single" w:sz="4" w:space="0" w:color="AFAFB4" w:themeColor="accent4"/>
                  <w:right w:val="nil"/>
                </w:tcBorders>
                <w:shd w:val="clear" w:color="auto" w:fill="FFFFFF" w:themeFill="background2"/>
                <w:tcMar>
                  <w:top w:w="60" w:type="dxa"/>
                  <w:left w:w="114" w:type="dxa"/>
                  <w:bottom w:w="60" w:type="dxa"/>
                  <w:right w:w="114" w:type="dxa"/>
                </w:tcMar>
                <w:vAlign w:val="center"/>
              </w:tcPr>
              <w:p w14:paraId="2C06047C" w14:textId="77777777" w:rsidR="0055301B" w:rsidRPr="006301B1" w:rsidRDefault="0055301B" w:rsidP="00FE1383">
                <w:pPr>
                  <w:pStyle w:val="TableTextLeft"/>
                  <w:spacing w:before="0" w:after="0"/>
                  <w:jc w:val="center"/>
                  <w:rPr>
                    <w:rFonts w:cs="Segoe UI"/>
                    <w:sz w:val="14"/>
                    <w:szCs w:val="14"/>
                    <w:lang w:eastAsia="it-IT"/>
                  </w:rPr>
                </w:pPr>
                <w:r w:rsidRPr="006301B1">
                  <w:rPr>
                    <w:rFonts w:cs="Segoe UI"/>
                    <w:sz w:val="14"/>
                    <w:szCs w:val="14"/>
                    <w:lang w:eastAsia="it-IT"/>
                  </w:rPr>
                  <w:t>A3.1</w:t>
                </w:r>
              </w:p>
            </w:tc>
            <w:tc>
              <w:tcPr>
                <w:tcW w:w="4014" w:type="pct"/>
                <w:tcBorders>
                  <w:top w:val="single" w:sz="4" w:space="0" w:color="AFAFB4" w:themeColor="accent4"/>
                  <w:left w:val="nil"/>
                  <w:bottom w:val="single" w:sz="4" w:space="0" w:color="AFAFB4" w:themeColor="accent4"/>
                </w:tcBorders>
                <w:shd w:val="clear" w:color="auto" w:fill="FFFFFF" w:themeFill="background2"/>
                <w:tcMar>
                  <w:top w:w="60" w:type="dxa"/>
                  <w:left w:w="114" w:type="dxa"/>
                  <w:bottom w:w="60" w:type="dxa"/>
                  <w:right w:w="114" w:type="dxa"/>
                </w:tcMar>
                <w:vAlign w:val="center"/>
              </w:tcPr>
              <w:p w14:paraId="7DE6C7E9" w14:textId="6FD0FD81" w:rsidR="0055301B" w:rsidRPr="006301B1" w:rsidRDefault="0055301B" w:rsidP="00FE1383">
                <w:pPr>
                  <w:pStyle w:val="TableTextLeft"/>
                  <w:spacing w:before="0" w:after="0"/>
                  <w:rPr>
                    <w:rFonts w:cs="Segoe UI"/>
                    <w:sz w:val="14"/>
                    <w:szCs w:val="14"/>
                    <w:lang w:eastAsia="it-IT"/>
                  </w:rPr>
                </w:pPr>
                <w:r w:rsidRPr="006301B1">
                  <w:rPr>
                    <w:rFonts w:cs="Segoe UI"/>
                    <w:sz w:val="14"/>
                    <w:szCs w:val="14"/>
                    <w:lang w:eastAsia="it-IT"/>
                  </w:rPr>
                  <w:t>Good fundamentals and good capacity to meet financial commitments. Low credit risk.</w:t>
                </w:r>
              </w:p>
            </w:tc>
          </w:tr>
          <w:tr w:rsidR="0007107A" w:rsidRPr="0032337D" w14:paraId="0ACF3F3F" w14:textId="77777777" w:rsidTr="0007107A">
            <w:trPr>
              <w:trHeight w:val="283"/>
            </w:trPr>
            <w:tc>
              <w:tcPr>
                <w:tcW w:w="629" w:type="pct"/>
                <w:vMerge w:val="restart"/>
                <w:tcBorders>
                  <w:top w:val="single" w:sz="4" w:space="0" w:color="AFAFB4" w:themeColor="accent4"/>
                  <w:right w:val="nil"/>
                </w:tcBorders>
                <w:shd w:val="clear" w:color="auto" w:fill="FFFFFF" w:themeFill="background2"/>
                <w:tcMar>
                  <w:top w:w="60" w:type="dxa"/>
                  <w:left w:w="114" w:type="dxa"/>
                  <w:bottom w:w="60" w:type="dxa"/>
                  <w:right w:w="114" w:type="dxa"/>
                </w:tcMar>
                <w:vAlign w:val="center"/>
              </w:tcPr>
              <w:p w14:paraId="48F65F9D" w14:textId="77777777" w:rsidR="0055301B" w:rsidRPr="0032337D" w:rsidRDefault="0055301B" w:rsidP="0007107A">
                <w:pPr>
                  <w:pStyle w:val="TableIndent3"/>
                  <w:spacing w:before="0" w:after="0"/>
                  <w:ind w:left="0"/>
                  <w:rPr>
                    <w:rFonts w:cs="Segoe UI"/>
                    <w:b/>
                    <w:sz w:val="14"/>
                    <w:szCs w:val="14"/>
                    <w:lang w:val="en-GB" w:eastAsia="it-IT"/>
                  </w:rPr>
                </w:pPr>
                <w:r w:rsidRPr="0032337D">
                  <w:rPr>
                    <w:rFonts w:cs="Segoe UI"/>
                    <w:b/>
                    <w:sz w:val="14"/>
                    <w:szCs w:val="14"/>
                    <w:lang w:val="en-GB" w:eastAsia="it-IT"/>
                  </w:rPr>
                  <w:t>SOLVENCY</w:t>
                </w:r>
              </w:p>
            </w:tc>
            <w:tc>
              <w:tcPr>
                <w:tcW w:w="357" w:type="pct"/>
                <w:tcBorders>
                  <w:top w:val="single" w:sz="4" w:space="0" w:color="AFAFB4" w:themeColor="accent4"/>
                  <w:left w:val="nil"/>
                  <w:bottom w:val="single" w:sz="4" w:space="0" w:color="AFAFB4" w:themeColor="accent4"/>
                  <w:right w:val="nil"/>
                </w:tcBorders>
                <w:shd w:val="clear" w:color="auto" w:fill="FFFFFF" w:themeFill="background2"/>
                <w:tcMar>
                  <w:top w:w="60" w:type="dxa"/>
                  <w:left w:w="114" w:type="dxa"/>
                  <w:bottom w:w="60" w:type="dxa"/>
                  <w:right w:w="114" w:type="dxa"/>
                </w:tcMar>
                <w:vAlign w:val="center"/>
              </w:tcPr>
              <w:p w14:paraId="2EBEF8C8" w14:textId="77777777" w:rsidR="0055301B" w:rsidRPr="006301B1" w:rsidRDefault="0055301B" w:rsidP="00FE1383">
                <w:pPr>
                  <w:pStyle w:val="TableTextLeft"/>
                  <w:spacing w:before="0" w:after="0"/>
                  <w:jc w:val="center"/>
                  <w:rPr>
                    <w:rFonts w:cs="Segoe UI"/>
                    <w:sz w:val="14"/>
                    <w:szCs w:val="14"/>
                    <w:lang w:eastAsia="it-IT"/>
                  </w:rPr>
                </w:pPr>
                <w:r w:rsidRPr="006301B1">
                  <w:rPr>
                    <w:rFonts w:cs="Segoe UI"/>
                    <w:sz w:val="14"/>
                    <w:szCs w:val="14"/>
                    <w:lang w:eastAsia="it-IT"/>
                  </w:rPr>
                  <w:t>B1.1</w:t>
                </w:r>
              </w:p>
            </w:tc>
            <w:tc>
              <w:tcPr>
                <w:tcW w:w="4014" w:type="pct"/>
                <w:tcBorders>
                  <w:top w:val="single" w:sz="4" w:space="0" w:color="AFAFB4" w:themeColor="accent4"/>
                  <w:left w:val="nil"/>
                  <w:bottom w:val="single" w:sz="4" w:space="0" w:color="AFAFB4" w:themeColor="accent4"/>
                </w:tcBorders>
                <w:shd w:val="clear" w:color="auto" w:fill="FFFFFF" w:themeFill="background2"/>
                <w:tcMar>
                  <w:top w:w="60" w:type="dxa"/>
                  <w:left w:w="114" w:type="dxa"/>
                  <w:bottom w:w="60" w:type="dxa"/>
                  <w:right w:w="114" w:type="dxa"/>
                </w:tcMar>
                <w:vAlign w:val="center"/>
              </w:tcPr>
              <w:p w14:paraId="6F5AD5F6" w14:textId="3F9A330D" w:rsidR="0055301B" w:rsidRPr="006301B1" w:rsidRDefault="0055301B" w:rsidP="00FE1383">
                <w:pPr>
                  <w:pStyle w:val="TableTextLeft"/>
                  <w:spacing w:before="0" w:after="0"/>
                  <w:rPr>
                    <w:rFonts w:cs="Segoe UI"/>
                    <w:sz w:val="14"/>
                    <w:szCs w:val="14"/>
                    <w:lang w:eastAsia="it-IT"/>
                  </w:rPr>
                </w:pPr>
                <w:r w:rsidRPr="006301B1">
                  <w:rPr>
                    <w:rFonts w:cs="Segoe UI"/>
                    <w:sz w:val="14"/>
                    <w:szCs w:val="14"/>
                    <w:lang w:eastAsia="it-IT"/>
                  </w:rPr>
                  <w:t>Adequate capacity to meet financial commitments. Potentially vulnerable to serious and unexpected changes in business, financial and economic conditions. Moderate credit risk.</w:t>
                </w:r>
              </w:p>
            </w:tc>
          </w:tr>
          <w:tr w:rsidR="0007107A" w:rsidRPr="0032337D" w14:paraId="5C9AB436" w14:textId="77777777" w:rsidTr="0007107A">
            <w:trPr>
              <w:trHeight w:val="283"/>
            </w:trPr>
            <w:tc>
              <w:tcPr>
                <w:tcW w:w="629" w:type="pct"/>
                <w:vMerge/>
                <w:tcBorders>
                  <w:bottom w:val="single" w:sz="4" w:space="0" w:color="AFAFB4" w:themeColor="accent4"/>
                  <w:right w:val="nil"/>
                </w:tcBorders>
                <w:shd w:val="clear" w:color="auto" w:fill="FFFFFF" w:themeFill="background2"/>
                <w:tcMar>
                  <w:top w:w="60" w:type="dxa"/>
                  <w:left w:w="114" w:type="dxa"/>
                  <w:bottom w:w="60" w:type="dxa"/>
                  <w:right w:w="114" w:type="dxa"/>
                </w:tcMar>
                <w:vAlign w:val="center"/>
              </w:tcPr>
              <w:p w14:paraId="4BBA178C" w14:textId="77777777" w:rsidR="0055301B" w:rsidRPr="0032337D" w:rsidRDefault="0055301B" w:rsidP="0007107A">
                <w:pPr>
                  <w:pStyle w:val="TableIndent3"/>
                  <w:spacing w:before="0" w:after="0"/>
                  <w:rPr>
                    <w:rFonts w:cs="Segoe UI"/>
                    <w:b/>
                    <w:sz w:val="14"/>
                    <w:szCs w:val="14"/>
                    <w:lang w:val="en-GB" w:eastAsia="it-IT"/>
                  </w:rPr>
                </w:pPr>
              </w:p>
            </w:tc>
            <w:tc>
              <w:tcPr>
                <w:tcW w:w="357" w:type="pct"/>
                <w:tcBorders>
                  <w:top w:val="single" w:sz="4" w:space="0" w:color="AFAFB4" w:themeColor="accent4"/>
                  <w:left w:val="nil"/>
                  <w:bottom w:val="single" w:sz="4" w:space="0" w:color="AFAFB4" w:themeColor="accent4"/>
                  <w:right w:val="nil"/>
                </w:tcBorders>
                <w:shd w:val="clear" w:color="auto" w:fill="FFFFFF" w:themeFill="background2"/>
                <w:tcMar>
                  <w:top w:w="60" w:type="dxa"/>
                  <w:left w:w="114" w:type="dxa"/>
                  <w:bottom w:w="60" w:type="dxa"/>
                  <w:right w:w="114" w:type="dxa"/>
                </w:tcMar>
                <w:vAlign w:val="center"/>
              </w:tcPr>
              <w:p w14:paraId="3D263086" w14:textId="77777777" w:rsidR="0055301B" w:rsidRPr="006301B1" w:rsidRDefault="0055301B" w:rsidP="00FE1383">
                <w:pPr>
                  <w:pStyle w:val="TableTextLeft"/>
                  <w:spacing w:before="0" w:after="0"/>
                  <w:jc w:val="center"/>
                  <w:rPr>
                    <w:rFonts w:cs="Segoe UI"/>
                    <w:sz w:val="14"/>
                    <w:szCs w:val="14"/>
                    <w:lang w:eastAsia="it-IT"/>
                  </w:rPr>
                </w:pPr>
                <w:r w:rsidRPr="006301B1">
                  <w:rPr>
                    <w:rFonts w:cs="Segoe UI"/>
                    <w:sz w:val="14"/>
                    <w:szCs w:val="14"/>
                    <w:lang w:eastAsia="it-IT"/>
                  </w:rPr>
                  <w:t>B1.2</w:t>
                </w:r>
              </w:p>
            </w:tc>
            <w:tc>
              <w:tcPr>
                <w:tcW w:w="4014" w:type="pct"/>
                <w:tcBorders>
                  <w:top w:val="single" w:sz="4" w:space="0" w:color="AFAFB4" w:themeColor="accent4"/>
                  <w:left w:val="nil"/>
                  <w:bottom w:val="single" w:sz="4" w:space="0" w:color="AFAFB4" w:themeColor="accent4"/>
                </w:tcBorders>
                <w:shd w:val="clear" w:color="auto" w:fill="FFFFFF" w:themeFill="background2"/>
                <w:tcMar>
                  <w:top w:w="60" w:type="dxa"/>
                  <w:left w:w="114" w:type="dxa"/>
                  <w:bottom w:w="60" w:type="dxa"/>
                  <w:right w:w="114" w:type="dxa"/>
                </w:tcMar>
                <w:vAlign w:val="center"/>
              </w:tcPr>
              <w:p w14:paraId="7D205646" w14:textId="19A556DC" w:rsidR="0055301B" w:rsidRPr="006301B1" w:rsidRDefault="0055301B" w:rsidP="00FE1383">
                <w:pPr>
                  <w:pStyle w:val="TableTextLeft"/>
                  <w:spacing w:before="0" w:after="0"/>
                  <w:rPr>
                    <w:rFonts w:cs="Segoe UI"/>
                    <w:sz w:val="14"/>
                    <w:szCs w:val="14"/>
                    <w:lang w:eastAsia="it-IT"/>
                  </w:rPr>
                </w:pPr>
                <w:r w:rsidRPr="006301B1">
                  <w:rPr>
                    <w:rFonts w:cs="Segoe UI"/>
                    <w:sz w:val="14"/>
                    <w:szCs w:val="14"/>
                    <w:lang w:eastAsia="it-IT"/>
                  </w:rPr>
                  <w:t>Adequate capacity to meet financial commitments. Vulnerable to serious and unexpected changes in business, financial and economic conditions. Moderate credit risk.</w:t>
                </w:r>
              </w:p>
            </w:tc>
          </w:tr>
          <w:tr w:rsidR="0007107A" w:rsidRPr="0032337D" w14:paraId="6132626C" w14:textId="77777777" w:rsidTr="0007107A">
            <w:trPr>
              <w:trHeight w:val="283"/>
            </w:trPr>
            <w:tc>
              <w:tcPr>
                <w:tcW w:w="629" w:type="pct"/>
                <w:vMerge w:val="restart"/>
                <w:tcBorders>
                  <w:top w:val="single" w:sz="4" w:space="0" w:color="AFAFB4" w:themeColor="accent4"/>
                  <w:right w:val="nil"/>
                </w:tcBorders>
                <w:shd w:val="clear" w:color="auto" w:fill="FFFFFF" w:themeFill="background2"/>
                <w:tcMar>
                  <w:top w:w="60" w:type="dxa"/>
                  <w:left w:w="114" w:type="dxa"/>
                  <w:bottom w:w="60" w:type="dxa"/>
                  <w:right w:w="114" w:type="dxa"/>
                </w:tcMar>
                <w:vAlign w:val="center"/>
              </w:tcPr>
              <w:p w14:paraId="36007454" w14:textId="77777777" w:rsidR="0055301B" w:rsidRPr="0032337D" w:rsidRDefault="0055301B" w:rsidP="0007107A">
                <w:pPr>
                  <w:pStyle w:val="TableIndent3"/>
                  <w:spacing w:before="0" w:after="0"/>
                  <w:ind w:left="0"/>
                  <w:rPr>
                    <w:rFonts w:cs="Segoe UI"/>
                    <w:b/>
                    <w:sz w:val="14"/>
                    <w:szCs w:val="14"/>
                    <w:lang w:val="en-GB" w:eastAsia="it-IT"/>
                  </w:rPr>
                </w:pPr>
                <w:r w:rsidRPr="0032337D">
                  <w:rPr>
                    <w:rFonts w:cs="Segoe UI"/>
                    <w:b/>
                    <w:sz w:val="14"/>
                    <w:szCs w:val="14"/>
                    <w:lang w:val="en-GB" w:eastAsia="it-IT"/>
                  </w:rPr>
                  <w:t>VULNERABILITY</w:t>
                </w:r>
              </w:p>
            </w:tc>
            <w:tc>
              <w:tcPr>
                <w:tcW w:w="357" w:type="pct"/>
                <w:tcBorders>
                  <w:top w:val="single" w:sz="4" w:space="0" w:color="AFAFB4" w:themeColor="accent4"/>
                  <w:left w:val="nil"/>
                  <w:bottom w:val="single" w:sz="4" w:space="0" w:color="AFAFB4" w:themeColor="accent4"/>
                  <w:right w:val="nil"/>
                </w:tcBorders>
                <w:shd w:val="clear" w:color="auto" w:fill="FFFFFF" w:themeFill="background2"/>
                <w:tcMar>
                  <w:top w:w="60" w:type="dxa"/>
                  <w:left w:w="114" w:type="dxa"/>
                  <w:bottom w:w="60" w:type="dxa"/>
                  <w:right w:w="114" w:type="dxa"/>
                </w:tcMar>
                <w:vAlign w:val="center"/>
              </w:tcPr>
              <w:p w14:paraId="4A7B85E5" w14:textId="77777777" w:rsidR="0055301B" w:rsidRPr="006301B1" w:rsidRDefault="0055301B" w:rsidP="00FE1383">
                <w:pPr>
                  <w:pStyle w:val="TableTextLeft"/>
                  <w:spacing w:before="0" w:after="0"/>
                  <w:jc w:val="center"/>
                  <w:rPr>
                    <w:rFonts w:cs="Segoe UI"/>
                    <w:sz w:val="14"/>
                    <w:szCs w:val="14"/>
                    <w:lang w:eastAsia="it-IT"/>
                  </w:rPr>
                </w:pPr>
                <w:r w:rsidRPr="006301B1">
                  <w:rPr>
                    <w:rFonts w:cs="Segoe UI"/>
                    <w:sz w:val="14"/>
                    <w:szCs w:val="14"/>
                    <w:lang w:eastAsia="it-IT"/>
                  </w:rPr>
                  <w:t>B2.1</w:t>
                </w:r>
              </w:p>
            </w:tc>
            <w:tc>
              <w:tcPr>
                <w:tcW w:w="4014" w:type="pct"/>
                <w:tcBorders>
                  <w:top w:val="single" w:sz="4" w:space="0" w:color="AFAFB4" w:themeColor="accent4"/>
                  <w:left w:val="nil"/>
                  <w:bottom w:val="single" w:sz="4" w:space="0" w:color="AFAFB4" w:themeColor="accent4"/>
                </w:tcBorders>
                <w:shd w:val="clear" w:color="auto" w:fill="FFFFFF" w:themeFill="background2"/>
                <w:tcMar>
                  <w:top w:w="60" w:type="dxa"/>
                  <w:left w:w="114" w:type="dxa"/>
                  <w:bottom w:w="60" w:type="dxa"/>
                  <w:right w:w="114" w:type="dxa"/>
                </w:tcMar>
                <w:vAlign w:val="center"/>
              </w:tcPr>
              <w:p w14:paraId="7FCC71B0" w14:textId="7702074A" w:rsidR="0055301B" w:rsidRPr="006301B1" w:rsidRDefault="0055301B" w:rsidP="00FE1383">
                <w:pPr>
                  <w:pStyle w:val="TableTextLeft"/>
                  <w:spacing w:before="0" w:after="0"/>
                  <w:rPr>
                    <w:rFonts w:cs="Segoe UI"/>
                    <w:sz w:val="14"/>
                    <w:szCs w:val="14"/>
                    <w:lang w:eastAsia="it-IT"/>
                  </w:rPr>
                </w:pPr>
                <w:r w:rsidRPr="006301B1">
                  <w:rPr>
                    <w:rFonts w:cs="Segoe UI"/>
                    <w:sz w:val="14"/>
                    <w:szCs w:val="14"/>
                    <w:lang w:eastAsia="it-IT"/>
                  </w:rPr>
                  <w:t>Overall good fundamentals. Vulnerable to unexpected changes in business, financial and economic conditions. Credit risk is below average.</w:t>
                </w:r>
              </w:p>
            </w:tc>
          </w:tr>
          <w:tr w:rsidR="0007107A" w:rsidRPr="0032337D" w14:paraId="27109753" w14:textId="77777777" w:rsidTr="0007107A">
            <w:trPr>
              <w:trHeight w:val="283"/>
            </w:trPr>
            <w:tc>
              <w:tcPr>
                <w:tcW w:w="629" w:type="pct"/>
                <w:vMerge/>
                <w:tcBorders>
                  <w:bottom w:val="single" w:sz="4" w:space="0" w:color="AFAFB4" w:themeColor="accent4"/>
                  <w:right w:val="nil"/>
                </w:tcBorders>
                <w:shd w:val="clear" w:color="auto" w:fill="FFFFFF" w:themeFill="background2"/>
                <w:tcMar>
                  <w:top w:w="60" w:type="dxa"/>
                  <w:left w:w="114" w:type="dxa"/>
                  <w:bottom w:w="60" w:type="dxa"/>
                  <w:right w:w="114" w:type="dxa"/>
                </w:tcMar>
                <w:vAlign w:val="center"/>
              </w:tcPr>
              <w:p w14:paraId="64F6C23E" w14:textId="77777777" w:rsidR="0055301B" w:rsidRPr="0032337D" w:rsidRDefault="0055301B" w:rsidP="0007107A">
                <w:pPr>
                  <w:pStyle w:val="TableIndent3"/>
                  <w:spacing w:before="0" w:after="0"/>
                  <w:rPr>
                    <w:rFonts w:cs="Segoe UI"/>
                    <w:b/>
                    <w:sz w:val="14"/>
                    <w:szCs w:val="14"/>
                    <w:lang w:val="en-GB" w:eastAsia="it-IT"/>
                  </w:rPr>
                </w:pPr>
              </w:p>
            </w:tc>
            <w:tc>
              <w:tcPr>
                <w:tcW w:w="357" w:type="pct"/>
                <w:tcBorders>
                  <w:top w:val="single" w:sz="4" w:space="0" w:color="AFAFB4" w:themeColor="accent4"/>
                  <w:left w:val="nil"/>
                  <w:bottom w:val="single" w:sz="4" w:space="0" w:color="AFAFB4" w:themeColor="accent4"/>
                  <w:right w:val="nil"/>
                </w:tcBorders>
                <w:shd w:val="clear" w:color="auto" w:fill="FFFFFF" w:themeFill="background2"/>
                <w:tcMar>
                  <w:top w:w="60" w:type="dxa"/>
                  <w:left w:w="114" w:type="dxa"/>
                  <w:bottom w:w="60" w:type="dxa"/>
                  <w:right w:w="114" w:type="dxa"/>
                </w:tcMar>
                <w:vAlign w:val="center"/>
              </w:tcPr>
              <w:p w14:paraId="6986ABC6" w14:textId="77777777" w:rsidR="0055301B" w:rsidRPr="006301B1" w:rsidRDefault="0055301B" w:rsidP="00FE1383">
                <w:pPr>
                  <w:pStyle w:val="TableTextLeft"/>
                  <w:spacing w:before="0" w:after="0"/>
                  <w:jc w:val="center"/>
                  <w:rPr>
                    <w:rFonts w:cs="Segoe UI"/>
                    <w:sz w:val="14"/>
                    <w:szCs w:val="14"/>
                    <w:lang w:eastAsia="it-IT"/>
                  </w:rPr>
                </w:pPr>
                <w:r w:rsidRPr="006301B1">
                  <w:rPr>
                    <w:rFonts w:cs="Segoe UI"/>
                    <w:sz w:val="14"/>
                    <w:szCs w:val="14"/>
                    <w:lang w:eastAsia="it-IT"/>
                  </w:rPr>
                  <w:t>B2.2</w:t>
                </w:r>
              </w:p>
            </w:tc>
            <w:tc>
              <w:tcPr>
                <w:tcW w:w="4014" w:type="pct"/>
                <w:tcBorders>
                  <w:top w:val="single" w:sz="4" w:space="0" w:color="AFAFB4" w:themeColor="accent4"/>
                  <w:left w:val="nil"/>
                  <w:bottom w:val="single" w:sz="4" w:space="0" w:color="AFAFB4" w:themeColor="accent4"/>
                </w:tcBorders>
                <w:shd w:val="clear" w:color="auto" w:fill="FFFFFF" w:themeFill="background2"/>
                <w:tcMar>
                  <w:top w:w="60" w:type="dxa"/>
                  <w:left w:w="114" w:type="dxa"/>
                  <w:bottom w:w="60" w:type="dxa"/>
                  <w:right w:w="114" w:type="dxa"/>
                </w:tcMar>
                <w:vAlign w:val="center"/>
              </w:tcPr>
              <w:p w14:paraId="6E78B04E" w14:textId="23DEAC21" w:rsidR="0055301B" w:rsidRPr="006301B1" w:rsidRDefault="0055301B" w:rsidP="00FE1383">
                <w:pPr>
                  <w:pStyle w:val="TableTextLeft"/>
                  <w:spacing w:before="0" w:after="0"/>
                  <w:rPr>
                    <w:rFonts w:cs="Segoe UI"/>
                    <w:sz w:val="14"/>
                    <w:szCs w:val="14"/>
                    <w:lang w:eastAsia="it-IT"/>
                  </w:rPr>
                </w:pPr>
                <w:r w:rsidRPr="006301B1">
                  <w:rPr>
                    <w:rFonts w:cs="Segoe UI"/>
                    <w:sz w:val="14"/>
                    <w:szCs w:val="14"/>
                    <w:lang w:eastAsia="it-IT"/>
                  </w:rPr>
                  <w:t>Evidence of weaknesses in business and / or financial profile. Vulnerable to changes in business, financial and economic conditions. Credit risk is substantial but not far from the average.</w:t>
                </w:r>
              </w:p>
            </w:tc>
          </w:tr>
          <w:tr w:rsidR="0007107A" w:rsidRPr="0032337D" w14:paraId="4C776AFA" w14:textId="77777777" w:rsidTr="0007107A">
            <w:trPr>
              <w:trHeight w:val="283"/>
            </w:trPr>
            <w:tc>
              <w:tcPr>
                <w:tcW w:w="629" w:type="pct"/>
                <w:vMerge w:val="restart"/>
                <w:tcBorders>
                  <w:top w:val="single" w:sz="4" w:space="0" w:color="AFAFB4" w:themeColor="accent4"/>
                  <w:right w:val="nil"/>
                </w:tcBorders>
                <w:shd w:val="clear" w:color="auto" w:fill="FFFFFF" w:themeFill="background2"/>
                <w:tcMar>
                  <w:top w:w="60" w:type="dxa"/>
                  <w:left w:w="114" w:type="dxa"/>
                  <w:bottom w:w="60" w:type="dxa"/>
                  <w:right w:w="114" w:type="dxa"/>
                </w:tcMar>
                <w:vAlign w:val="center"/>
              </w:tcPr>
              <w:p w14:paraId="428A0FB6" w14:textId="77777777" w:rsidR="0055301B" w:rsidRPr="0032337D" w:rsidRDefault="0055301B" w:rsidP="0007107A">
                <w:pPr>
                  <w:pStyle w:val="TableIndent3"/>
                  <w:spacing w:before="0" w:after="0"/>
                  <w:ind w:left="0"/>
                  <w:rPr>
                    <w:rFonts w:cs="Segoe UI"/>
                    <w:b/>
                    <w:sz w:val="14"/>
                    <w:szCs w:val="14"/>
                    <w:lang w:val="en-GB" w:eastAsia="it-IT"/>
                  </w:rPr>
                </w:pPr>
                <w:r w:rsidRPr="0032337D">
                  <w:rPr>
                    <w:rFonts w:cs="Segoe UI"/>
                    <w:b/>
                    <w:sz w:val="14"/>
                    <w:szCs w:val="14"/>
                    <w:lang w:val="en-GB" w:eastAsia="it-IT"/>
                  </w:rPr>
                  <w:t>RISK</w:t>
                </w:r>
              </w:p>
            </w:tc>
            <w:tc>
              <w:tcPr>
                <w:tcW w:w="357" w:type="pct"/>
                <w:tcBorders>
                  <w:top w:val="single" w:sz="4" w:space="0" w:color="AFAFB4" w:themeColor="accent4"/>
                  <w:left w:val="nil"/>
                  <w:bottom w:val="single" w:sz="4" w:space="0" w:color="AFAFB4" w:themeColor="accent4"/>
                  <w:right w:val="nil"/>
                </w:tcBorders>
                <w:shd w:val="clear" w:color="auto" w:fill="FFFFFF" w:themeFill="background2"/>
                <w:tcMar>
                  <w:top w:w="60" w:type="dxa"/>
                  <w:left w:w="114" w:type="dxa"/>
                  <w:bottom w:w="60" w:type="dxa"/>
                  <w:right w:w="114" w:type="dxa"/>
                </w:tcMar>
                <w:vAlign w:val="center"/>
              </w:tcPr>
              <w:p w14:paraId="45899AAC" w14:textId="77777777" w:rsidR="0055301B" w:rsidRPr="006301B1" w:rsidRDefault="0055301B" w:rsidP="00FE1383">
                <w:pPr>
                  <w:pStyle w:val="TableTextLeft"/>
                  <w:spacing w:before="0" w:after="0"/>
                  <w:jc w:val="center"/>
                  <w:rPr>
                    <w:rFonts w:cs="Segoe UI"/>
                    <w:sz w:val="14"/>
                    <w:szCs w:val="14"/>
                    <w:lang w:eastAsia="it-IT"/>
                  </w:rPr>
                </w:pPr>
                <w:r w:rsidRPr="006301B1">
                  <w:rPr>
                    <w:rFonts w:cs="Segoe UI"/>
                    <w:sz w:val="14"/>
                    <w:szCs w:val="14"/>
                    <w:lang w:eastAsia="it-IT"/>
                  </w:rPr>
                  <w:t>C1.1</w:t>
                </w:r>
              </w:p>
            </w:tc>
            <w:tc>
              <w:tcPr>
                <w:tcW w:w="4014" w:type="pct"/>
                <w:tcBorders>
                  <w:top w:val="single" w:sz="4" w:space="0" w:color="AFAFB4" w:themeColor="accent4"/>
                  <w:left w:val="nil"/>
                  <w:bottom w:val="single" w:sz="4" w:space="0" w:color="AFAFB4" w:themeColor="accent4"/>
                </w:tcBorders>
                <w:shd w:val="clear" w:color="auto" w:fill="FFFFFF" w:themeFill="background2"/>
                <w:tcMar>
                  <w:top w:w="60" w:type="dxa"/>
                  <w:left w:w="114" w:type="dxa"/>
                  <w:bottom w:w="60" w:type="dxa"/>
                  <w:right w:w="114" w:type="dxa"/>
                </w:tcMar>
                <w:vAlign w:val="center"/>
              </w:tcPr>
              <w:p w14:paraId="4AFFA55B" w14:textId="307E2669" w:rsidR="0055301B" w:rsidRPr="006301B1" w:rsidRDefault="0055301B" w:rsidP="00FE1383">
                <w:pPr>
                  <w:pStyle w:val="TableTextLeft"/>
                  <w:spacing w:before="0" w:after="0"/>
                  <w:rPr>
                    <w:rFonts w:cs="Segoe UI"/>
                    <w:sz w:val="14"/>
                    <w:szCs w:val="14"/>
                    <w:lang w:eastAsia="it-IT"/>
                  </w:rPr>
                </w:pPr>
                <w:r w:rsidRPr="006301B1">
                  <w:rPr>
                    <w:rFonts w:cs="Segoe UI"/>
                    <w:sz w:val="14"/>
                    <w:szCs w:val="14"/>
                    <w:lang w:eastAsia="it-IT"/>
                  </w:rPr>
                  <w:t>Serious weaknesses in business and / or financial profile. The company could not meet financial commitments. High credit risk.</w:t>
                </w:r>
              </w:p>
            </w:tc>
          </w:tr>
          <w:tr w:rsidR="0007107A" w:rsidRPr="0032337D" w14:paraId="584BC214" w14:textId="77777777" w:rsidTr="0007107A">
            <w:trPr>
              <w:trHeight w:val="283"/>
            </w:trPr>
            <w:tc>
              <w:tcPr>
                <w:tcW w:w="629" w:type="pct"/>
                <w:vMerge/>
                <w:tcBorders>
                  <w:right w:val="nil"/>
                </w:tcBorders>
                <w:shd w:val="clear" w:color="auto" w:fill="FFFFFF" w:themeFill="background2"/>
                <w:tcMar>
                  <w:top w:w="60" w:type="dxa"/>
                  <w:left w:w="114" w:type="dxa"/>
                  <w:bottom w:w="60" w:type="dxa"/>
                  <w:right w:w="114" w:type="dxa"/>
                </w:tcMar>
                <w:vAlign w:val="center"/>
              </w:tcPr>
              <w:p w14:paraId="1C4FC746" w14:textId="77777777" w:rsidR="0055301B" w:rsidRPr="0032337D" w:rsidRDefault="0055301B" w:rsidP="00FE1383">
                <w:pPr>
                  <w:pStyle w:val="TableIndent3"/>
                  <w:spacing w:before="0" w:after="0"/>
                  <w:jc w:val="center"/>
                  <w:rPr>
                    <w:rFonts w:cs="Segoe UI"/>
                    <w:b/>
                    <w:sz w:val="14"/>
                    <w:szCs w:val="14"/>
                    <w:lang w:val="en-GB" w:eastAsia="it-IT"/>
                  </w:rPr>
                </w:pPr>
              </w:p>
            </w:tc>
            <w:tc>
              <w:tcPr>
                <w:tcW w:w="357" w:type="pct"/>
                <w:tcBorders>
                  <w:top w:val="single" w:sz="4" w:space="0" w:color="AFAFB4" w:themeColor="accent4"/>
                  <w:left w:val="nil"/>
                  <w:bottom w:val="single" w:sz="4" w:space="0" w:color="AFAFB4" w:themeColor="accent4"/>
                  <w:right w:val="nil"/>
                </w:tcBorders>
                <w:shd w:val="clear" w:color="auto" w:fill="FFFFFF" w:themeFill="background2"/>
                <w:tcMar>
                  <w:top w:w="60" w:type="dxa"/>
                  <w:left w:w="114" w:type="dxa"/>
                  <w:bottom w:w="60" w:type="dxa"/>
                  <w:right w:w="114" w:type="dxa"/>
                </w:tcMar>
                <w:vAlign w:val="center"/>
              </w:tcPr>
              <w:p w14:paraId="3B9C82B9" w14:textId="77777777" w:rsidR="0055301B" w:rsidRPr="006301B1" w:rsidRDefault="0055301B" w:rsidP="00FE1383">
                <w:pPr>
                  <w:pStyle w:val="TableTextLeft"/>
                  <w:spacing w:before="0" w:after="0"/>
                  <w:jc w:val="center"/>
                  <w:rPr>
                    <w:rFonts w:cs="Segoe UI"/>
                    <w:sz w:val="14"/>
                    <w:szCs w:val="14"/>
                    <w:lang w:eastAsia="it-IT"/>
                  </w:rPr>
                </w:pPr>
                <w:r w:rsidRPr="006301B1">
                  <w:rPr>
                    <w:rFonts w:cs="Segoe UI"/>
                    <w:sz w:val="14"/>
                    <w:szCs w:val="14"/>
                    <w:lang w:eastAsia="it-IT"/>
                  </w:rPr>
                  <w:t>C1.2</w:t>
                </w:r>
              </w:p>
            </w:tc>
            <w:tc>
              <w:tcPr>
                <w:tcW w:w="4014" w:type="pct"/>
                <w:tcBorders>
                  <w:top w:val="single" w:sz="4" w:space="0" w:color="AFAFB4" w:themeColor="accent4"/>
                  <w:left w:val="nil"/>
                  <w:bottom w:val="single" w:sz="4" w:space="0" w:color="AFAFB4" w:themeColor="accent4"/>
                </w:tcBorders>
                <w:shd w:val="clear" w:color="auto" w:fill="FFFFFF" w:themeFill="background2"/>
                <w:tcMar>
                  <w:top w:w="60" w:type="dxa"/>
                  <w:left w:w="114" w:type="dxa"/>
                  <w:bottom w:w="60" w:type="dxa"/>
                  <w:right w:w="114" w:type="dxa"/>
                </w:tcMar>
                <w:vAlign w:val="center"/>
              </w:tcPr>
              <w:p w14:paraId="7E4FD92E" w14:textId="72945B5D" w:rsidR="0055301B" w:rsidRPr="006301B1" w:rsidRDefault="0055301B" w:rsidP="00FE1383">
                <w:pPr>
                  <w:pStyle w:val="TableTextLeft"/>
                  <w:spacing w:before="0" w:after="0"/>
                  <w:rPr>
                    <w:rFonts w:cs="Segoe UI"/>
                    <w:sz w:val="14"/>
                    <w:szCs w:val="14"/>
                    <w:lang w:eastAsia="it-IT"/>
                  </w:rPr>
                </w:pPr>
                <w:r w:rsidRPr="006301B1">
                  <w:rPr>
                    <w:rFonts w:cs="Segoe UI"/>
                    <w:sz w:val="14"/>
                    <w:szCs w:val="14"/>
                    <w:lang w:eastAsia="it-IT"/>
                  </w:rPr>
                  <w:t>Very serious weaknesses in business and / or financial profile. The company could not meet financial commitments. Very high credit risk.</w:t>
                </w:r>
              </w:p>
            </w:tc>
          </w:tr>
          <w:tr w:rsidR="0007107A" w:rsidRPr="0032337D" w14:paraId="22B5AFB3" w14:textId="77777777" w:rsidTr="0007107A">
            <w:trPr>
              <w:trHeight w:val="283"/>
            </w:trPr>
            <w:tc>
              <w:tcPr>
                <w:tcW w:w="629" w:type="pct"/>
                <w:vMerge/>
                <w:tcBorders>
                  <w:bottom w:val="single" w:sz="4" w:space="0" w:color="AFAFB4" w:themeColor="accent4"/>
                  <w:right w:val="nil"/>
                </w:tcBorders>
                <w:shd w:val="clear" w:color="auto" w:fill="FFFFFF" w:themeFill="background2"/>
                <w:tcMar>
                  <w:top w:w="60" w:type="dxa"/>
                  <w:left w:w="114" w:type="dxa"/>
                  <w:bottom w:w="60" w:type="dxa"/>
                  <w:right w:w="114" w:type="dxa"/>
                </w:tcMar>
                <w:vAlign w:val="center"/>
              </w:tcPr>
              <w:p w14:paraId="6D616995" w14:textId="77777777" w:rsidR="0055301B" w:rsidRPr="0032337D" w:rsidRDefault="0055301B" w:rsidP="00FE1383">
                <w:pPr>
                  <w:pStyle w:val="TableIndent3"/>
                  <w:spacing w:before="0" w:after="0"/>
                  <w:jc w:val="center"/>
                  <w:rPr>
                    <w:rFonts w:cs="Segoe UI"/>
                    <w:b/>
                    <w:sz w:val="14"/>
                    <w:szCs w:val="14"/>
                    <w:lang w:val="en-GB" w:eastAsia="it-IT"/>
                  </w:rPr>
                </w:pPr>
              </w:p>
            </w:tc>
            <w:tc>
              <w:tcPr>
                <w:tcW w:w="357" w:type="pct"/>
                <w:tcBorders>
                  <w:top w:val="single" w:sz="4" w:space="0" w:color="AFAFB4" w:themeColor="accent4"/>
                  <w:left w:val="nil"/>
                  <w:bottom w:val="single" w:sz="4" w:space="0" w:color="AFAFB4" w:themeColor="accent4"/>
                  <w:right w:val="nil"/>
                </w:tcBorders>
                <w:shd w:val="clear" w:color="auto" w:fill="FFFFFF" w:themeFill="background2"/>
                <w:tcMar>
                  <w:top w:w="60" w:type="dxa"/>
                  <w:left w:w="114" w:type="dxa"/>
                  <w:bottom w:w="60" w:type="dxa"/>
                  <w:right w:w="114" w:type="dxa"/>
                </w:tcMar>
                <w:vAlign w:val="center"/>
              </w:tcPr>
              <w:p w14:paraId="4D1C5DAF" w14:textId="77777777" w:rsidR="0055301B" w:rsidRPr="006301B1" w:rsidRDefault="0055301B" w:rsidP="00FE1383">
                <w:pPr>
                  <w:pStyle w:val="TableTextLeft"/>
                  <w:spacing w:before="0" w:after="0"/>
                  <w:jc w:val="center"/>
                  <w:rPr>
                    <w:rFonts w:cs="Segoe UI"/>
                    <w:sz w:val="14"/>
                    <w:szCs w:val="14"/>
                    <w:lang w:eastAsia="it-IT"/>
                  </w:rPr>
                </w:pPr>
                <w:r w:rsidRPr="006301B1">
                  <w:rPr>
                    <w:rFonts w:cs="Segoe UI"/>
                    <w:sz w:val="14"/>
                    <w:szCs w:val="14"/>
                    <w:lang w:eastAsia="it-IT"/>
                  </w:rPr>
                  <w:t>C2.1</w:t>
                </w:r>
              </w:p>
            </w:tc>
            <w:tc>
              <w:tcPr>
                <w:tcW w:w="4014" w:type="pct"/>
                <w:tcBorders>
                  <w:top w:val="single" w:sz="4" w:space="0" w:color="AFAFB4" w:themeColor="accent4"/>
                  <w:left w:val="nil"/>
                  <w:bottom w:val="single" w:sz="4" w:space="0" w:color="AFAFB4" w:themeColor="accent4"/>
                </w:tcBorders>
                <w:shd w:val="clear" w:color="auto" w:fill="FFFFFF" w:themeFill="background2"/>
                <w:tcMar>
                  <w:top w:w="60" w:type="dxa"/>
                  <w:left w:w="114" w:type="dxa"/>
                  <w:bottom w:w="60" w:type="dxa"/>
                  <w:right w:w="114" w:type="dxa"/>
                </w:tcMar>
                <w:vAlign w:val="center"/>
              </w:tcPr>
              <w:p w14:paraId="5442D36C" w14:textId="4081FB17" w:rsidR="0055301B" w:rsidRPr="006301B1" w:rsidRDefault="0055301B" w:rsidP="00FE1383">
                <w:pPr>
                  <w:pStyle w:val="TableTextLeft"/>
                  <w:spacing w:before="0" w:after="0"/>
                  <w:rPr>
                    <w:rFonts w:cs="Segoe UI"/>
                    <w:sz w:val="14"/>
                    <w:szCs w:val="14"/>
                    <w:lang w:eastAsia="it-IT"/>
                  </w:rPr>
                </w:pPr>
                <w:r w:rsidRPr="006301B1">
                  <w:rPr>
                    <w:rFonts w:cs="Segoe UI"/>
                    <w:sz w:val="14"/>
                    <w:szCs w:val="14"/>
                    <w:lang w:eastAsia="it-IT"/>
                  </w:rPr>
                  <w:t>Very serious problems in economic and / or financial profile. The company could not meet financial commitments even in the short term. Maximum credit risk.</w:t>
                </w:r>
              </w:p>
            </w:tc>
          </w:tr>
        </w:tbl>
        <w:p w14:paraId="001D562F" w14:textId="77777777" w:rsidR="00FE1383" w:rsidRDefault="00FE1383" w:rsidP="004101BF">
          <w:pPr>
            <w:rPr>
              <w:rFonts w:cs="Segoe UI"/>
              <w:lang w:val="en-GB"/>
            </w:rPr>
          </w:pPr>
        </w:p>
        <w:p w14:paraId="6AF49E0B" w14:textId="1FF47446" w:rsidR="004101BF" w:rsidRPr="0032337D" w:rsidRDefault="004101BF" w:rsidP="004101BF">
          <w:pPr>
            <w:rPr>
              <w:rFonts w:cs="Segoe UI"/>
              <w:b/>
              <w:bCs/>
              <w:sz w:val="28"/>
              <w:szCs w:val="32"/>
              <w:lang w:val="en-GB"/>
            </w:rPr>
          </w:pPr>
          <w:r w:rsidRPr="0032337D">
            <w:rPr>
              <w:rFonts w:cs="Segoe UI"/>
              <w:lang w:val="en-GB"/>
            </w:rPr>
            <w:t>In case of occurrence of default events the company migrates to a nonperforming stage and the rating is withdrawn.</w:t>
          </w:r>
          <w:r w:rsidRPr="0032337D">
            <w:rPr>
              <w:rFonts w:cs="Segoe UI"/>
              <w:caps/>
              <w:lang w:val="en-GB"/>
            </w:rPr>
            <w:br w:type="page"/>
          </w:r>
        </w:p>
        <w:p w14:paraId="45600CCC" w14:textId="77777777" w:rsidR="004101BF" w:rsidRPr="00FA752D" w:rsidRDefault="004101BF" w:rsidP="004101BF">
          <w:pPr>
            <w:pStyle w:val="Titolo2"/>
            <w:rPr>
              <w:lang w:val="en-GB"/>
            </w:rPr>
          </w:pPr>
          <w:bookmarkStart w:id="239" w:name="_Toc130806411"/>
          <w:bookmarkStart w:id="240" w:name="_Toc167131732"/>
          <w:r w:rsidRPr="00FA752D">
            <w:rPr>
              <w:lang w:val="en-GB"/>
            </w:rPr>
            <w:lastRenderedPageBreak/>
            <w:t>Annex 2: Cerved Rating Agency default definition</w:t>
          </w:r>
          <w:bookmarkEnd w:id="239"/>
          <w:bookmarkEnd w:id="240"/>
        </w:p>
        <w:p w14:paraId="10D7D13E" w14:textId="77777777" w:rsidR="004101BF" w:rsidRPr="0032337D" w:rsidRDefault="004101BF" w:rsidP="004101BF">
          <w:pPr>
            <w:rPr>
              <w:rFonts w:cs="Segoe UI"/>
              <w:lang w:val="en-GB"/>
            </w:rPr>
          </w:pPr>
          <w:r w:rsidRPr="0032337D">
            <w:rPr>
              <w:rFonts w:cs="Segoe UI"/>
              <w:lang w:val="en-GB"/>
            </w:rPr>
            <w:t>The default definition adopted by Cerved Rating Agency for the evaluation of the creditworthiness of the counterparties relies on the bankruptcy proceedings, protective measures and other negative events, as hereinafter detailed</w:t>
          </w:r>
          <w:r w:rsidRPr="0032337D">
            <w:rPr>
              <w:rStyle w:val="Rimandonotaapidipagina"/>
              <w:rFonts w:cs="Segoe UI"/>
              <w:color w:val="auto"/>
              <w:sz w:val="16"/>
              <w:szCs w:val="16"/>
              <w:lang w:val="en-GB"/>
            </w:rPr>
            <w:footnoteReference w:id="2"/>
          </w:r>
          <w:r w:rsidRPr="0032337D">
            <w:rPr>
              <w:rFonts w:cs="Segoe UI"/>
              <w:lang w:val="en-GB"/>
            </w:rPr>
            <w:t>:</w:t>
          </w:r>
        </w:p>
        <w:p w14:paraId="4282F6EA" w14:textId="77777777" w:rsidR="004101BF" w:rsidRPr="0032337D" w:rsidRDefault="004101BF" w:rsidP="747A5B58">
          <w:pPr>
            <w:pStyle w:val="Paragrafoelenco"/>
            <w:numPr>
              <w:ilvl w:val="0"/>
              <w:numId w:val="35"/>
            </w:numPr>
            <w:spacing w:before="0" w:line="360" w:lineRule="auto"/>
            <w:rPr>
              <w:rFonts w:cs="Segoe UI"/>
            </w:rPr>
          </w:pPr>
          <w:r w:rsidRPr="747A5B58">
            <w:rPr>
              <w:rFonts w:cs="Segoe UI"/>
            </w:rPr>
            <w:t>judicial liquidation (already called bankruptcy</w:t>
          </w:r>
          <w:proofErr w:type="gramStart"/>
          <w:r w:rsidRPr="747A5B58">
            <w:rPr>
              <w:rFonts w:cs="Segoe UI"/>
            </w:rPr>
            <w:t>);</w:t>
          </w:r>
          <w:proofErr w:type="gramEnd"/>
        </w:p>
        <w:p w14:paraId="35473C1C" w14:textId="77777777" w:rsidR="004101BF" w:rsidRPr="0032337D" w:rsidRDefault="004101BF" w:rsidP="004101BF">
          <w:pPr>
            <w:pStyle w:val="Paragrafoelenco"/>
            <w:numPr>
              <w:ilvl w:val="0"/>
              <w:numId w:val="35"/>
            </w:numPr>
            <w:spacing w:before="0" w:line="360" w:lineRule="auto"/>
            <w:rPr>
              <w:rFonts w:cs="Segoe UI"/>
              <w:lang w:val="en-GB"/>
            </w:rPr>
          </w:pPr>
          <w:r w:rsidRPr="0032337D">
            <w:rPr>
              <w:rFonts w:cs="Segoe UI"/>
              <w:lang w:val="en-GB"/>
            </w:rPr>
            <w:t xml:space="preserve">compulsory administrative </w:t>
          </w:r>
          <w:proofErr w:type="gramStart"/>
          <w:r w:rsidRPr="0032337D">
            <w:rPr>
              <w:rFonts w:cs="Segoe UI"/>
              <w:lang w:val="en-GB"/>
            </w:rPr>
            <w:t>liquidation;</w:t>
          </w:r>
          <w:proofErr w:type="gramEnd"/>
        </w:p>
        <w:p w14:paraId="08D9D47E" w14:textId="77777777" w:rsidR="004101BF" w:rsidRPr="0032337D" w:rsidRDefault="004101BF" w:rsidP="004101BF">
          <w:pPr>
            <w:pStyle w:val="Paragrafoelenco"/>
            <w:numPr>
              <w:ilvl w:val="0"/>
              <w:numId w:val="35"/>
            </w:numPr>
            <w:spacing w:before="0" w:line="360" w:lineRule="auto"/>
            <w:rPr>
              <w:rFonts w:cs="Segoe UI"/>
              <w:lang w:val="en-GB"/>
            </w:rPr>
          </w:pPr>
          <w:r w:rsidRPr="0032337D">
            <w:rPr>
              <w:rFonts w:cs="Segoe UI"/>
              <w:lang w:val="en-GB"/>
            </w:rPr>
            <w:t xml:space="preserve">supervised </w:t>
          </w:r>
          <w:proofErr w:type="gramStart"/>
          <w:r w:rsidRPr="0032337D">
            <w:rPr>
              <w:rFonts w:cs="Segoe UI"/>
              <w:lang w:val="en-GB"/>
            </w:rPr>
            <w:t>administration;</w:t>
          </w:r>
          <w:proofErr w:type="gramEnd"/>
        </w:p>
        <w:p w14:paraId="27B9A2D8" w14:textId="77777777" w:rsidR="004101BF" w:rsidRPr="0032337D" w:rsidRDefault="004101BF" w:rsidP="004101BF">
          <w:pPr>
            <w:pStyle w:val="Paragrafoelenco"/>
            <w:numPr>
              <w:ilvl w:val="0"/>
              <w:numId w:val="35"/>
            </w:numPr>
            <w:spacing w:before="0" w:line="360" w:lineRule="auto"/>
            <w:rPr>
              <w:rFonts w:cs="Segoe UI"/>
              <w:lang w:val="en-GB"/>
            </w:rPr>
          </w:pPr>
          <w:r w:rsidRPr="0032337D">
            <w:rPr>
              <w:rFonts w:cs="Segoe UI"/>
              <w:lang w:val="en-GB"/>
            </w:rPr>
            <w:t xml:space="preserve">arrangement with </w:t>
          </w:r>
          <w:proofErr w:type="gramStart"/>
          <w:r w:rsidRPr="0032337D">
            <w:rPr>
              <w:rFonts w:cs="Segoe UI"/>
              <w:lang w:val="en-GB"/>
            </w:rPr>
            <w:t>creditors;</w:t>
          </w:r>
          <w:proofErr w:type="gramEnd"/>
        </w:p>
        <w:p w14:paraId="17A8ED5F" w14:textId="77777777" w:rsidR="004101BF" w:rsidRPr="0032337D" w:rsidRDefault="004101BF" w:rsidP="004101BF">
          <w:pPr>
            <w:pStyle w:val="Paragrafoelenco"/>
            <w:numPr>
              <w:ilvl w:val="0"/>
              <w:numId w:val="35"/>
            </w:numPr>
            <w:spacing w:before="0" w:line="360" w:lineRule="auto"/>
            <w:rPr>
              <w:rFonts w:cs="Segoe UI"/>
              <w:lang w:val="en-GB"/>
            </w:rPr>
          </w:pPr>
          <w:r w:rsidRPr="0032337D">
            <w:rPr>
              <w:rFonts w:cs="Segoe UI"/>
              <w:lang w:val="en-GB"/>
            </w:rPr>
            <w:t xml:space="preserve">debts restructuring </w:t>
          </w:r>
          <w:proofErr w:type="gramStart"/>
          <w:r w:rsidRPr="0032337D">
            <w:rPr>
              <w:rFonts w:cs="Segoe UI"/>
              <w:lang w:val="en-GB"/>
            </w:rPr>
            <w:t>agreements;</w:t>
          </w:r>
          <w:proofErr w:type="gramEnd"/>
        </w:p>
        <w:p w14:paraId="46A71221" w14:textId="77777777" w:rsidR="004101BF" w:rsidRPr="0032337D" w:rsidRDefault="004101BF" w:rsidP="004101BF">
          <w:pPr>
            <w:pStyle w:val="Paragrafoelenco"/>
            <w:numPr>
              <w:ilvl w:val="0"/>
              <w:numId w:val="35"/>
            </w:numPr>
            <w:spacing w:before="0" w:line="360" w:lineRule="auto"/>
            <w:rPr>
              <w:rFonts w:cs="Segoe UI"/>
              <w:lang w:val="en-GB"/>
            </w:rPr>
          </w:pPr>
          <w:r w:rsidRPr="0032337D">
            <w:rPr>
              <w:rFonts w:cs="Segoe UI"/>
              <w:lang w:val="en-GB"/>
            </w:rPr>
            <w:t xml:space="preserve">fraudulent </w:t>
          </w:r>
          <w:proofErr w:type="gramStart"/>
          <w:r w:rsidRPr="0032337D">
            <w:rPr>
              <w:rFonts w:cs="Segoe UI"/>
              <w:lang w:val="en-GB"/>
            </w:rPr>
            <w:t>bankruptcy;</w:t>
          </w:r>
          <w:proofErr w:type="gramEnd"/>
        </w:p>
        <w:p w14:paraId="126F53CF" w14:textId="77777777" w:rsidR="004101BF" w:rsidRPr="0032337D" w:rsidRDefault="004101BF" w:rsidP="004101BF">
          <w:pPr>
            <w:pStyle w:val="Paragrafoelenco"/>
            <w:numPr>
              <w:ilvl w:val="0"/>
              <w:numId w:val="35"/>
            </w:numPr>
            <w:spacing w:before="0" w:line="360" w:lineRule="auto"/>
            <w:rPr>
              <w:rFonts w:cs="Segoe UI"/>
              <w:lang w:val="en-GB"/>
            </w:rPr>
          </w:pPr>
          <w:r w:rsidRPr="0032337D">
            <w:rPr>
              <w:rFonts w:cs="Segoe UI"/>
              <w:lang w:val="en-GB"/>
            </w:rPr>
            <w:t xml:space="preserve">non-fraudulent </w:t>
          </w:r>
          <w:proofErr w:type="gramStart"/>
          <w:r w:rsidRPr="0032337D">
            <w:rPr>
              <w:rFonts w:cs="Segoe UI"/>
              <w:lang w:val="en-GB"/>
            </w:rPr>
            <w:t>bankruptcy;</w:t>
          </w:r>
          <w:proofErr w:type="gramEnd"/>
        </w:p>
        <w:p w14:paraId="53EEDB2E" w14:textId="77777777" w:rsidR="004101BF" w:rsidRPr="0032337D" w:rsidRDefault="004101BF" w:rsidP="004101BF">
          <w:pPr>
            <w:pStyle w:val="Paragrafoelenco"/>
            <w:numPr>
              <w:ilvl w:val="0"/>
              <w:numId w:val="35"/>
            </w:numPr>
            <w:spacing w:before="0" w:line="360" w:lineRule="auto"/>
            <w:rPr>
              <w:rFonts w:cs="Segoe UI"/>
              <w:lang w:val="en-GB"/>
            </w:rPr>
          </w:pPr>
          <w:r w:rsidRPr="0032337D">
            <w:rPr>
              <w:rFonts w:cs="Segoe UI"/>
              <w:lang w:val="en-GB"/>
            </w:rPr>
            <w:t xml:space="preserve">court-supervised </w:t>
          </w:r>
          <w:proofErr w:type="gramStart"/>
          <w:r w:rsidRPr="0032337D">
            <w:rPr>
              <w:rFonts w:cs="Segoe UI"/>
              <w:lang w:val="en-GB"/>
            </w:rPr>
            <w:t>administration;</w:t>
          </w:r>
          <w:proofErr w:type="gramEnd"/>
        </w:p>
        <w:p w14:paraId="0D5B4948" w14:textId="77777777" w:rsidR="004101BF" w:rsidRPr="0032337D" w:rsidRDefault="004101BF" w:rsidP="004101BF">
          <w:pPr>
            <w:pStyle w:val="Paragrafoelenco"/>
            <w:numPr>
              <w:ilvl w:val="0"/>
              <w:numId w:val="35"/>
            </w:numPr>
            <w:spacing w:before="0" w:line="360" w:lineRule="auto"/>
            <w:rPr>
              <w:rFonts w:cs="Segoe UI"/>
              <w:lang w:val="en-GB"/>
            </w:rPr>
          </w:pPr>
          <w:r w:rsidRPr="0032337D">
            <w:rPr>
              <w:rFonts w:cs="Segoe UI"/>
              <w:lang w:val="en-GB"/>
            </w:rPr>
            <w:t xml:space="preserve">extraordinary supervised </w:t>
          </w:r>
          <w:proofErr w:type="gramStart"/>
          <w:r w:rsidRPr="0032337D">
            <w:rPr>
              <w:rFonts w:cs="Segoe UI"/>
              <w:lang w:val="en-GB"/>
            </w:rPr>
            <w:t>administration;</w:t>
          </w:r>
          <w:proofErr w:type="gramEnd"/>
        </w:p>
        <w:p w14:paraId="02171345" w14:textId="77777777" w:rsidR="004101BF" w:rsidRPr="0032337D" w:rsidRDefault="004101BF" w:rsidP="004101BF">
          <w:pPr>
            <w:pStyle w:val="Paragrafoelenco"/>
            <w:numPr>
              <w:ilvl w:val="0"/>
              <w:numId w:val="35"/>
            </w:numPr>
            <w:spacing w:before="0" w:line="360" w:lineRule="auto"/>
            <w:rPr>
              <w:rFonts w:cs="Segoe UI"/>
              <w:lang w:val="en-GB"/>
            </w:rPr>
          </w:pPr>
          <w:r w:rsidRPr="0032337D">
            <w:rPr>
              <w:rFonts w:cs="Segoe UI"/>
              <w:lang w:val="en-GB"/>
            </w:rPr>
            <w:t xml:space="preserve">judicial </w:t>
          </w:r>
          <w:proofErr w:type="gramStart"/>
          <w:r w:rsidRPr="0032337D">
            <w:rPr>
              <w:rFonts w:cs="Segoe UI"/>
              <w:lang w:val="en-GB"/>
            </w:rPr>
            <w:t>abduction;</w:t>
          </w:r>
          <w:proofErr w:type="gramEnd"/>
        </w:p>
        <w:p w14:paraId="4A4AF5D0" w14:textId="77777777" w:rsidR="004101BF" w:rsidRPr="0032337D" w:rsidRDefault="004101BF" w:rsidP="004101BF">
          <w:pPr>
            <w:pStyle w:val="Paragrafoelenco"/>
            <w:numPr>
              <w:ilvl w:val="0"/>
              <w:numId w:val="35"/>
            </w:numPr>
            <w:spacing w:before="0" w:line="360" w:lineRule="auto"/>
            <w:rPr>
              <w:rFonts w:cs="Segoe UI"/>
              <w:lang w:val="en-GB"/>
            </w:rPr>
          </w:pPr>
          <w:r w:rsidRPr="0032337D">
            <w:rPr>
              <w:rFonts w:cs="Segoe UI"/>
              <w:lang w:val="en-GB"/>
            </w:rPr>
            <w:t xml:space="preserve">insolvencies </w:t>
          </w:r>
          <w:proofErr w:type="gramStart"/>
          <w:r w:rsidRPr="0032337D">
            <w:rPr>
              <w:rFonts w:cs="Segoe UI"/>
              <w:lang w:val="en-GB"/>
            </w:rPr>
            <w:t>status;</w:t>
          </w:r>
          <w:proofErr w:type="gramEnd"/>
        </w:p>
        <w:p w14:paraId="38C50BCD" w14:textId="77777777" w:rsidR="004101BF" w:rsidRPr="0032337D" w:rsidRDefault="004101BF" w:rsidP="004101BF">
          <w:pPr>
            <w:pStyle w:val="Paragrafoelenco"/>
            <w:numPr>
              <w:ilvl w:val="0"/>
              <w:numId w:val="35"/>
            </w:numPr>
            <w:spacing w:before="0" w:line="360" w:lineRule="auto"/>
            <w:rPr>
              <w:rFonts w:cs="Segoe UI"/>
              <w:lang w:val="en-GB"/>
            </w:rPr>
          </w:pPr>
          <w:r w:rsidRPr="0032337D">
            <w:rPr>
              <w:rFonts w:cs="Segoe UI"/>
              <w:lang w:val="en-GB"/>
            </w:rPr>
            <w:t xml:space="preserve">conservative shares </w:t>
          </w:r>
          <w:proofErr w:type="gramStart"/>
          <w:r w:rsidRPr="0032337D">
            <w:rPr>
              <w:rFonts w:cs="Segoe UI"/>
              <w:lang w:val="en-GB"/>
            </w:rPr>
            <w:t>abduction;</w:t>
          </w:r>
          <w:proofErr w:type="gramEnd"/>
        </w:p>
        <w:p w14:paraId="7A627CC7" w14:textId="77777777" w:rsidR="004101BF" w:rsidRPr="0032337D" w:rsidRDefault="004101BF" w:rsidP="004101BF">
          <w:pPr>
            <w:pStyle w:val="Paragrafoelenco"/>
            <w:numPr>
              <w:ilvl w:val="0"/>
              <w:numId w:val="35"/>
            </w:numPr>
            <w:spacing w:before="0" w:line="360" w:lineRule="auto"/>
            <w:rPr>
              <w:rFonts w:cs="Segoe UI"/>
              <w:lang w:val="en-GB"/>
            </w:rPr>
          </w:pPr>
          <w:r w:rsidRPr="0032337D">
            <w:rPr>
              <w:rFonts w:cs="Segoe UI"/>
              <w:lang w:val="en-GB"/>
            </w:rPr>
            <w:t xml:space="preserve">protests and relevant prejudicial </w:t>
          </w:r>
          <w:proofErr w:type="gramStart"/>
          <w:r w:rsidRPr="0032337D">
            <w:rPr>
              <w:rFonts w:cs="Segoe UI"/>
              <w:lang w:val="en-GB"/>
            </w:rPr>
            <w:t>events;</w:t>
          </w:r>
          <w:proofErr w:type="gramEnd"/>
        </w:p>
        <w:p w14:paraId="2F59DF2C" w14:textId="77777777" w:rsidR="004101BF" w:rsidRPr="0032337D" w:rsidRDefault="004101BF" w:rsidP="004101BF">
          <w:pPr>
            <w:pStyle w:val="Paragrafoelenco"/>
            <w:numPr>
              <w:ilvl w:val="0"/>
              <w:numId w:val="35"/>
            </w:numPr>
            <w:spacing w:before="0" w:line="360" w:lineRule="auto"/>
            <w:rPr>
              <w:rFonts w:cs="Segoe UI"/>
              <w:lang w:val="en-GB"/>
            </w:rPr>
          </w:pPr>
          <w:r w:rsidRPr="0032337D">
            <w:rPr>
              <w:rFonts w:cs="Segoe UI"/>
              <w:lang w:val="en-GB"/>
            </w:rPr>
            <w:t xml:space="preserve">missed reimbursement of principal and / or interest payments on issued debt </w:t>
          </w:r>
          <w:proofErr w:type="gramStart"/>
          <w:r w:rsidRPr="0032337D">
            <w:rPr>
              <w:rFonts w:cs="Segoe UI"/>
              <w:lang w:val="en-GB"/>
            </w:rPr>
            <w:t>instruments;</w:t>
          </w:r>
          <w:proofErr w:type="gramEnd"/>
        </w:p>
        <w:p w14:paraId="25D35EA6" w14:textId="77777777" w:rsidR="004101BF" w:rsidRPr="0032337D" w:rsidRDefault="004101BF" w:rsidP="004101BF">
          <w:pPr>
            <w:pStyle w:val="Paragrafoelenco"/>
            <w:numPr>
              <w:ilvl w:val="0"/>
              <w:numId w:val="35"/>
            </w:numPr>
            <w:spacing w:before="0" w:line="360" w:lineRule="auto"/>
            <w:rPr>
              <w:rFonts w:cs="Segoe UI"/>
              <w:lang w:val="en-GB"/>
            </w:rPr>
          </w:pPr>
          <w:r w:rsidRPr="0032337D">
            <w:rPr>
              <w:rFonts w:cs="Segoe UI"/>
              <w:lang w:val="en-GB"/>
            </w:rPr>
            <w:t xml:space="preserve">application for arrangement with </w:t>
          </w:r>
          <w:proofErr w:type="gramStart"/>
          <w:r w:rsidRPr="0032337D">
            <w:rPr>
              <w:rFonts w:cs="Segoe UI"/>
              <w:lang w:val="en-GB"/>
            </w:rPr>
            <w:t>creditors;</w:t>
          </w:r>
          <w:proofErr w:type="gramEnd"/>
        </w:p>
        <w:p w14:paraId="38E2BA9B" w14:textId="77777777" w:rsidR="004101BF" w:rsidRPr="0032337D" w:rsidRDefault="004101BF" w:rsidP="004101BF">
          <w:pPr>
            <w:pStyle w:val="Paragrafoelenco"/>
            <w:numPr>
              <w:ilvl w:val="0"/>
              <w:numId w:val="35"/>
            </w:numPr>
            <w:spacing w:before="0" w:line="360" w:lineRule="auto"/>
            <w:rPr>
              <w:rFonts w:cs="Segoe UI"/>
              <w:lang w:val="en-GB"/>
            </w:rPr>
          </w:pPr>
          <w:r w:rsidRPr="0032337D">
            <w:rPr>
              <w:rFonts w:cs="Segoe UI"/>
              <w:lang w:val="en-GB"/>
            </w:rPr>
            <w:t xml:space="preserve">appeal for admission to arrangement with </w:t>
          </w:r>
          <w:proofErr w:type="gramStart"/>
          <w:r w:rsidRPr="0032337D">
            <w:rPr>
              <w:rFonts w:cs="Segoe UI"/>
              <w:lang w:val="en-GB"/>
            </w:rPr>
            <w:t>creditors;</w:t>
          </w:r>
          <w:proofErr w:type="gramEnd"/>
        </w:p>
        <w:p w14:paraId="6D1D9DE7" w14:textId="77777777" w:rsidR="004101BF" w:rsidRPr="0032337D" w:rsidRDefault="004101BF" w:rsidP="004101BF">
          <w:pPr>
            <w:pStyle w:val="Paragrafoelenco"/>
            <w:numPr>
              <w:ilvl w:val="0"/>
              <w:numId w:val="35"/>
            </w:numPr>
            <w:spacing w:before="0" w:line="360" w:lineRule="auto"/>
            <w:rPr>
              <w:rFonts w:cs="Segoe UI"/>
              <w:lang w:val="en-GB"/>
            </w:rPr>
          </w:pPr>
          <w:r w:rsidRPr="0032337D">
            <w:rPr>
              <w:rFonts w:cs="Segoe UI"/>
              <w:lang w:val="en-GB"/>
            </w:rPr>
            <w:t>judicial liquidation.</w:t>
          </w:r>
        </w:p>
        <w:p w14:paraId="37DE8EBD" w14:textId="77777777" w:rsidR="004101BF" w:rsidRPr="0032337D" w:rsidRDefault="004101BF" w:rsidP="004101BF">
          <w:pPr>
            <w:rPr>
              <w:rFonts w:cs="Segoe UI"/>
              <w:lang w:val="en-GB"/>
            </w:rPr>
          </w:pPr>
          <w:r w:rsidRPr="0032337D">
            <w:rPr>
              <w:rFonts w:cs="Segoe UI"/>
              <w:lang w:val="en-GB"/>
            </w:rPr>
            <w:t xml:space="preserve">For the cases from 1 to 11 the default events </w:t>
          </w:r>
          <w:proofErr w:type="gramStart"/>
          <w:r w:rsidRPr="0032337D">
            <w:rPr>
              <w:rFonts w:cs="Segoe UI"/>
              <w:lang w:val="en-GB"/>
            </w:rPr>
            <w:t>is</w:t>
          </w:r>
          <w:proofErr w:type="gramEnd"/>
          <w:r w:rsidRPr="0032337D">
            <w:rPr>
              <w:rFonts w:cs="Segoe UI"/>
              <w:lang w:val="en-GB"/>
            </w:rPr>
            <w:t xml:space="preserve"> identified by the registration of the disclosed insolvency status among the responsible public institutions. For the cases from 12 to 17 the default event is identified by the analytical team </w:t>
          </w:r>
          <w:proofErr w:type="gramStart"/>
          <w:r w:rsidRPr="0032337D">
            <w:rPr>
              <w:rFonts w:cs="Segoe UI"/>
              <w:lang w:val="en-GB"/>
            </w:rPr>
            <w:t>on the basis of</w:t>
          </w:r>
          <w:proofErr w:type="gramEnd"/>
          <w:r w:rsidRPr="0032337D">
            <w:rPr>
              <w:rFonts w:cs="Segoe UI"/>
              <w:lang w:val="en-GB"/>
            </w:rPr>
            <w:t xml:space="preserve"> the assessment of the impact of the insolvency event on the possibility of the rated counterparty to grant business continuity.</w:t>
          </w:r>
        </w:p>
        <w:p w14:paraId="3205B322" w14:textId="77777777" w:rsidR="004101BF" w:rsidRPr="0032337D" w:rsidRDefault="004101BF" w:rsidP="004101BF">
          <w:pPr>
            <w:rPr>
              <w:rFonts w:cs="Segoe UI"/>
              <w:lang w:val="en-GB"/>
            </w:rPr>
          </w:pPr>
          <w:r w:rsidRPr="0032337D">
            <w:rPr>
              <w:rFonts w:cs="Segoe UI"/>
              <w:lang w:val="en-GB"/>
            </w:rPr>
            <w:t>All the information contributing to the definition of the default</w:t>
          </w:r>
          <w:r w:rsidRPr="0032337D">
            <w:rPr>
              <w:rFonts w:cs="Segoe UI"/>
              <w:i/>
              <w:lang w:val="en-GB"/>
            </w:rPr>
            <w:t xml:space="preserve"> </w:t>
          </w:r>
          <w:r w:rsidRPr="0032337D">
            <w:rPr>
              <w:rFonts w:cs="Segoe UI"/>
              <w:lang w:val="en-GB"/>
            </w:rPr>
            <w:t>event can be</w:t>
          </w:r>
          <w:r w:rsidRPr="0032337D">
            <w:rPr>
              <w:rFonts w:cs="Segoe UI"/>
              <w:i/>
              <w:lang w:val="en-GB"/>
            </w:rPr>
            <w:t xml:space="preserve"> </w:t>
          </w:r>
          <w:r w:rsidRPr="0032337D">
            <w:rPr>
              <w:rFonts w:cs="Segoe UI"/>
              <w:lang w:val="en-GB"/>
            </w:rPr>
            <w:t>inferred from the informative sources of Cerved Rating Agency.</w:t>
          </w:r>
        </w:p>
        <w:p w14:paraId="1FB5EE8E" w14:textId="77777777" w:rsidR="004101BF" w:rsidRPr="0032337D" w:rsidRDefault="004101BF" w:rsidP="004101BF">
          <w:pPr>
            <w:rPr>
              <w:rFonts w:cs="Segoe UI"/>
              <w:lang w:val="en-GB"/>
            </w:rPr>
          </w:pPr>
        </w:p>
        <w:p w14:paraId="218D70D7" w14:textId="77777777" w:rsidR="004101BF" w:rsidRPr="0032337D" w:rsidRDefault="004101BF" w:rsidP="004101BF">
          <w:pPr>
            <w:rPr>
              <w:rFonts w:cs="Segoe UI"/>
              <w:lang w:val="en-GB"/>
            </w:rPr>
          </w:pPr>
        </w:p>
        <w:p w14:paraId="4A2EA4DF" w14:textId="77777777" w:rsidR="004101BF" w:rsidRPr="0032337D" w:rsidRDefault="004101BF" w:rsidP="004101BF">
          <w:pPr>
            <w:spacing w:line="240" w:lineRule="auto"/>
            <w:rPr>
              <w:rFonts w:cs="Segoe UI"/>
              <w:b/>
              <w:bCs/>
              <w:sz w:val="28"/>
              <w:szCs w:val="32"/>
              <w:lang w:val="en-GB"/>
            </w:rPr>
          </w:pPr>
          <w:r w:rsidRPr="0032337D">
            <w:rPr>
              <w:rFonts w:cs="Segoe UI"/>
              <w:caps/>
              <w:lang w:val="en-GB"/>
            </w:rPr>
            <w:br w:type="page"/>
          </w:r>
        </w:p>
        <w:p w14:paraId="7A77E4C3" w14:textId="77777777" w:rsidR="004101BF" w:rsidRPr="00FA752D" w:rsidRDefault="004101BF" w:rsidP="004101BF">
          <w:pPr>
            <w:pStyle w:val="Titolo2"/>
            <w:rPr>
              <w:lang w:val="en-GB"/>
            </w:rPr>
          </w:pPr>
          <w:bookmarkStart w:id="241" w:name="_Toc130806412"/>
          <w:bookmarkStart w:id="242" w:name="_Toc167131733"/>
          <w:r w:rsidRPr="00FA752D">
            <w:rPr>
              <w:lang w:val="en-GB"/>
            </w:rPr>
            <w:lastRenderedPageBreak/>
            <w:t>Annex 3: Static pool approach</w:t>
          </w:r>
          <w:bookmarkEnd w:id="241"/>
          <w:bookmarkEnd w:id="242"/>
        </w:p>
        <w:p w14:paraId="6490004D" w14:textId="77777777" w:rsidR="004101BF" w:rsidRPr="0032337D" w:rsidRDefault="004101BF" w:rsidP="004101BF">
          <w:pPr>
            <w:rPr>
              <w:rFonts w:cs="Segoe UI"/>
              <w:lang w:val="en-GB"/>
            </w:rPr>
          </w:pPr>
          <w:r w:rsidRPr="0032337D">
            <w:rPr>
              <w:rFonts w:cs="Segoe UI"/>
              <w:lang w:val="en-GB"/>
            </w:rPr>
            <w:t>In this Default Study the statistical procedure adopted to compute the default rates is the Static Pool approach. The process for computing 1-y default rates is summarised in the following scheme:</w:t>
          </w:r>
        </w:p>
        <w:p w14:paraId="036886BB" w14:textId="6F7E16EE" w:rsidR="004101BF" w:rsidRPr="0032337D" w:rsidRDefault="004101BF" w:rsidP="004101BF">
          <w:pPr>
            <w:pStyle w:val="Didascalia"/>
            <w:rPr>
              <w:rFonts w:ascii="Segoe UI" w:hAnsi="Segoe UI" w:cs="Segoe UI"/>
              <w:i/>
              <w:sz w:val="14"/>
              <w:lang w:val="en-GB"/>
            </w:rPr>
          </w:pPr>
          <w:bookmarkStart w:id="243" w:name="_Toc130806367"/>
          <w:bookmarkStart w:id="244" w:name="_Toc166675708"/>
          <w:bookmarkStart w:id="245" w:name="_Toc167131836"/>
          <w:r w:rsidRPr="0032337D">
            <w:rPr>
              <w:rFonts w:ascii="Segoe UI" w:hAnsi="Segoe UI" w:cs="Segoe UI"/>
              <w:i/>
              <w:sz w:val="14"/>
              <w:lang w:val="en-GB"/>
            </w:rPr>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68</w:t>
          </w:r>
          <w:r>
            <w:rPr>
              <w:rFonts w:ascii="Segoe UI" w:hAnsi="Segoe UI" w:cs="Segoe UI"/>
              <w:i/>
              <w:sz w:val="14"/>
              <w:lang w:val="en-GB"/>
            </w:rPr>
            <w:fldChar w:fldCharType="end"/>
          </w:r>
          <w:r w:rsidRPr="0032337D">
            <w:rPr>
              <w:rFonts w:ascii="Segoe UI" w:hAnsi="Segoe UI" w:cs="Segoe UI"/>
              <w:i/>
              <w:sz w:val="14"/>
              <w:lang w:val="en-GB"/>
            </w:rPr>
            <w:t>: Static pool approach explanatory scheme</w:t>
          </w:r>
          <w:bookmarkEnd w:id="243"/>
          <w:bookmarkEnd w:id="244"/>
          <w:bookmarkEnd w:id="245"/>
        </w:p>
        <w:p w14:paraId="5C0577F8" w14:textId="77777777" w:rsidR="004101BF" w:rsidRPr="0032337D" w:rsidRDefault="004101BF" w:rsidP="004101BF">
          <w:pPr>
            <w:jc w:val="center"/>
            <w:rPr>
              <w:rFonts w:cs="Segoe UI"/>
              <w:lang w:val="en-GB"/>
            </w:rPr>
          </w:pPr>
          <w:r w:rsidRPr="0032337D">
            <w:rPr>
              <w:rFonts w:cs="Segoe UI"/>
              <w:noProof/>
              <w:lang w:eastAsia="it-IT"/>
            </w:rPr>
            <w:drawing>
              <wp:inline distT="0" distB="0" distL="0" distR="0" wp14:anchorId="2C0ACB47" wp14:editId="35253A89">
                <wp:extent cx="5263763" cy="2249302"/>
                <wp:effectExtent l="19050" t="19050" r="13335" b="17780"/>
                <wp:docPr id="289" name="Immagine 289" descr="Immagine che contiene testo, linea, diagramm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Immagine 289" descr="Immagine che contiene testo, linea, diagramma, Carattere&#10;&#10;Descrizione generata automaticamente"/>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270109" cy="2252014"/>
                        </a:xfrm>
                        <a:prstGeom prst="rect">
                          <a:avLst/>
                        </a:prstGeom>
                        <a:noFill/>
                        <a:ln>
                          <a:solidFill>
                            <a:schemeClr val="accent1"/>
                          </a:solidFill>
                        </a:ln>
                      </pic:spPr>
                    </pic:pic>
                  </a:graphicData>
                </a:graphic>
              </wp:inline>
            </w:drawing>
          </w:r>
        </w:p>
        <w:p w14:paraId="0666749C" w14:textId="77777777" w:rsidR="00521371" w:rsidRDefault="00521371" w:rsidP="004101BF">
          <w:pPr>
            <w:rPr>
              <w:rFonts w:cs="Segoe UI"/>
              <w:lang w:val="en-GB"/>
            </w:rPr>
          </w:pPr>
        </w:p>
        <w:p w14:paraId="7A8BAD26" w14:textId="770142A4" w:rsidR="004101BF" w:rsidRPr="0032337D" w:rsidRDefault="004101BF" w:rsidP="004101BF">
          <w:pPr>
            <w:rPr>
              <w:rFonts w:cs="Segoe UI"/>
              <w:lang w:val="en-GB"/>
            </w:rPr>
          </w:pPr>
          <w:r w:rsidRPr="0032337D">
            <w:rPr>
              <w:rFonts w:cs="Segoe UI"/>
              <w:lang w:val="en-GB"/>
            </w:rPr>
            <w:t xml:space="preserve">In the static pool all the rated companies as of the end of the year </w:t>
          </w:r>
          <w:r w:rsidRPr="0032337D">
            <w:rPr>
              <w:rFonts w:cs="Segoe UI"/>
              <w:i/>
              <w:lang w:val="en-GB"/>
            </w:rPr>
            <w:t>t</w:t>
          </w:r>
          <w:r w:rsidRPr="0032337D">
            <w:rPr>
              <w:rFonts w:cs="Segoe UI"/>
              <w:lang w:val="en-GB"/>
            </w:rPr>
            <w:t xml:space="preserve"> are included (excluding the counterparties already in the default status) and the default events in year </w:t>
          </w:r>
          <w:r w:rsidRPr="0032337D">
            <w:rPr>
              <w:rFonts w:cs="Segoe UI"/>
              <w:i/>
              <w:lang w:val="en-GB"/>
            </w:rPr>
            <w:t>t+1</w:t>
          </w:r>
          <w:r w:rsidRPr="0032337D">
            <w:rPr>
              <w:rFonts w:cs="Segoe UI"/>
              <w:lang w:val="en-GB"/>
            </w:rPr>
            <w:t xml:space="preserve"> are considered.</w:t>
          </w:r>
        </w:p>
        <w:p w14:paraId="1FD2E70C" w14:textId="77777777" w:rsidR="004101BF" w:rsidRPr="0032337D" w:rsidRDefault="004101BF" w:rsidP="004101BF">
          <w:pPr>
            <w:rPr>
              <w:rFonts w:cs="Segoe UI"/>
              <w:lang w:val="en-GB"/>
            </w:rPr>
          </w:pPr>
          <w:r w:rsidRPr="0032337D">
            <w:rPr>
              <w:rFonts w:cs="Segoe UI"/>
              <w:lang w:val="en-GB"/>
            </w:rPr>
            <w:t xml:space="preserve">The annual default rate is computed as follows: </w:t>
          </w:r>
        </w:p>
        <w:p w14:paraId="78F66F67" w14:textId="77777777" w:rsidR="004101BF" w:rsidRPr="0032337D" w:rsidRDefault="004101BF" w:rsidP="004101BF">
          <w:pPr>
            <w:rPr>
              <w:rFonts w:cs="Segoe UI"/>
              <w:lang w:val="en-GB"/>
            </w:rPr>
          </w:pPr>
        </w:p>
        <w:p w14:paraId="211CBD87" w14:textId="77777777" w:rsidR="004101BF" w:rsidRPr="0032337D" w:rsidRDefault="00000000" w:rsidP="004101BF">
          <w:pPr>
            <w:rPr>
              <w:rFonts w:cs="Segoe UI"/>
              <w:lang w:val="en-GB"/>
            </w:rPr>
          </w:pPr>
          <m:oMathPara>
            <m:oMath>
              <m:sSub>
                <m:sSubPr>
                  <m:ctrlPr>
                    <w:rPr>
                      <w:rFonts w:ascii="Cambria Math" w:hAnsi="Cambria Math" w:cs="Segoe UI"/>
                      <w:i/>
                      <w:lang w:val="en-GB"/>
                    </w:rPr>
                  </m:ctrlPr>
                </m:sSubPr>
                <m:e>
                  <m:r>
                    <w:rPr>
                      <w:rFonts w:ascii="Cambria Math" w:hAnsi="Cambria Math" w:cs="Segoe UI"/>
                      <w:lang w:val="en-GB"/>
                    </w:rPr>
                    <m:t>DR</m:t>
                  </m:r>
                </m:e>
                <m:sub>
                  <m:r>
                    <w:rPr>
                      <w:rFonts w:ascii="Cambria Math" w:hAnsi="Cambria Math" w:cs="Segoe UI"/>
                      <w:lang w:val="en-GB"/>
                    </w:rPr>
                    <m:t>year</m:t>
                  </m:r>
                </m:sub>
              </m:sSub>
              <m:r>
                <w:rPr>
                  <w:rFonts w:ascii="Cambria Math" w:hAnsi="Cambria Math" w:cs="Segoe UI"/>
                  <w:lang w:val="en-GB"/>
                </w:rPr>
                <m:t>=</m:t>
              </m:r>
              <m:f>
                <m:fPr>
                  <m:ctrlPr>
                    <w:rPr>
                      <w:rFonts w:ascii="Cambria Math" w:hAnsi="Cambria Math" w:cs="Segoe UI"/>
                      <w:i/>
                      <w:lang w:val="en-GB"/>
                    </w:rPr>
                  </m:ctrlPr>
                </m:fPr>
                <m:num>
                  <m:sSub>
                    <m:sSubPr>
                      <m:ctrlPr>
                        <w:rPr>
                          <w:rFonts w:ascii="Cambria Math" w:hAnsi="Cambria Math" w:cs="Segoe UI"/>
                          <w:i/>
                          <w:lang w:val="en-GB"/>
                        </w:rPr>
                      </m:ctrlPr>
                    </m:sSubPr>
                    <m:e>
                      <m:r>
                        <w:rPr>
                          <w:rFonts w:ascii="Cambria Math" w:hAnsi="Cambria Math" w:cs="Segoe UI"/>
                          <w:lang w:val="en-GB"/>
                        </w:rPr>
                        <m:t>Default Event</m:t>
                      </m:r>
                    </m:e>
                    <m:sub>
                      <m:r>
                        <w:rPr>
                          <w:rFonts w:ascii="Cambria Math" w:hAnsi="Cambria Math" w:cs="Segoe UI"/>
                          <w:lang w:val="en-GB"/>
                        </w:rPr>
                        <m:t>year</m:t>
                      </m:r>
                    </m:sub>
                  </m:sSub>
                </m:num>
                <m:den>
                  <m:sSub>
                    <m:sSubPr>
                      <m:ctrlPr>
                        <w:rPr>
                          <w:rFonts w:ascii="Cambria Math" w:hAnsi="Cambria Math" w:cs="Segoe UI"/>
                          <w:i/>
                          <w:lang w:val="en-GB"/>
                        </w:rPr>
                      </m:ctrlPr>
                    </m:sSubPr>
                    <m:e>
                      <m:r>
                        <w:rPr>
                          <w:rFonts w:ascii="Cambria Math" w:hAnsi="Cambria Math" w:cs="Segoe UI"/>
                          <w:lang w:val="en-GB"/>
                        </w:rPr>
                        <m:t>Static Pool</m:t>
                      </m:r>
                    </m:e>
                    <m:sub>
                      <m:r>
                        <w:rPr>
                          <w:rFonts w:ascii="Cambria Math" w:hAnsi="Cambria Math" w:cs="Segoe UI"/>
                          <w:lang w:val="en-GB"/>
                        </w:rPr>
                        <m:t>31/12/year-1</m:t>
                      </m:r>
                    </m:sub>
                  </m:sSub>
                </m:den>
              </m:f>
            </m:oMath>
          </m:oMathPara>
        </w:p>
        <w:p w14:paraId="16087E06" w14:textId="77777777" w:rsidR="004101BF" w:rsidRPr="0032337D" w:rsidRDefault="004101BF" w:rsidP="004101BF">
          <w:pPr>
            <w:rPr>
              <w:rFonts w:cs="Segoe UI"/>
              <w:lang w:val="en-GB"/>
            </w:rPr>
          </w:pPr>
          <w:r w:rsidRPr="0032337D">
            <w:rPr>
              <w:rFonts w:cs="Segoe UI"/>
              <w:lang w:val="en-GB"/>
            </w:rPr>
            <w:t>where:</w:t>
          </w:r>
        </w:p>
        <w:p w14:paraId="5ED75CCE" w14:textId="77777777" w:rsidR="004101BF" w:rsidRPr="0032337D" w:rsidRDefault="004101BF" w:rsidP="004101BF">
          <w:pPr>
            <w:pStyle w:val="elencopuntato"/>
            <w:numPr>
              <w:ilvl w:val="0"/>
              <w:numId w:val="36"/>
            </w:numPr>
            <w:spacing w:before="0" w:after="0"/>
            <w:rPr>
              <w:rFonts w:cs="Segoe UI"/>
              <w:lang w:val="en-GB"/>
            </w:rPr>
          </w:pPr>
          <m:oMath>
            <m:r>
              <w:rPr>
                <w:rFonts w:ascii="Cambria Math" w:hAnsi="Cambria Math" w:cs="Segoe UI"/>
                <w:lang w:val="en-GB"/>
              </w:rPr>
              <m:t>year</m:t>
            </m:r>
          </m:oMath>
          <w:r w:rsidRPr="0032337D">
            <w:rPr>
              <w:rFonts w:cs="Segoe UI"/>
              <w:lang w:val="en-GB"/>
            </w:rPr>
            <w:t xml:space="preserve"> is the year of </w:t>
          </w:r>
          <w:proofErr w:type="gramStart"/>
          <w:r w:rsidRPr="0032337D">
            <w:rPr>
              <w:rFonts w:cs="Segoe UI"/>
              <w:lang w:val="en-GB"/>
            </w:rPr>
            <w:t>default;</w:t>
          </w:r>
          <w:proofErr w:type="gramEnd"/>
        </w:p>
        <w:p w14:paraId="0710469F" w14:textId="77777777" w:rsidR="004101BF" w:rsidRPr="0032337D" w:rsidRDefault="00000000" w:rsidP="004101BF">
          <w:pPr>
            <w:pStyle w:val="elencopuntato"/>
            <w:numPr>
              <w:ilvl w:val="0"/>
              <w:numId w:val="36"/>
            </w:numPr>
            <w:spacing w:before="0" w:after="0"/>
            <w:rPr>
              <w:rFonts w:cs="Segoe UI"/>
              <w:lang w:val="en-GB"/>
            </w:rPr>
          </w:pPr>
          <m:oMath>
            <m:sSub>
              <m:sSubPr>
                <m:ctrlPr>
                  <w:rPr>
                    <w:rFonts w:ascii="Cambria Math" w:hAnsi="Cambria Math" w:cs="Segoe UI"/>
                    <w:i/>
                    <w:lang w:val="en-GB"/>
                  </w:rPr>
                </m:ctrlPr>
              </m:sSubPr>
              <m:e>
                <m:r>
                  <w:rPr>
                    <w:rFonts w:ascii="Cambria Math" w:hAnsi="Cambria Math" w:cs="Segoe UI"/>
                    <w:lang w:val="en-GB"/>
                  </w:rPr>
                  <m:t>Default Event</m:t>
                </m:r>
              </m:e>
              <m:sub>
                <m:r>
                  <w:rPr>
                    <w:rFonts w:ascii="Cambria Math" w:hAnsi="Cambria Math" w:cs="Segoe UI"/>
                    <w:lang w:val="en-GB"/>
                  </w:rPr>
                  <m:t>year</m:t>
                </m:r>
              </m:sub>
            </m:sSub>
          </m:oMath>
          <w:r w:rsidR="004101BF" w:rsidRPr="0032337D">
            <w:rPr>
              <w:rFonts w:eastAsiaTheme="minorEastAsia" w:cs="Segoe UI"/>
              <w:lang w:val="en-GB"/>
            </w:rPr>
            <w:t xml:space="preserve"> </w:t>
          </w:r>
          <w:r w:rsidR="004101BF" w:rsidRPr="0032337D">
            <w:rPr>
              <w:rFonts w:cs="Segoe UI"/>
              <w:lang w:val="en-GB"/>
            </w:rPr>
            <w:t xml:space="preserve">is the total number of default events in year on static </w:t>
          </w:r>
          <w:proofErr w:type="gramStart"/>
          <w:r w:rsidR="004101BF" w:rsidRPr="0032337D">
            <w:rPr>
              <w:rFonts w:cs="Segoe UI"/>
              <w:lang w:val="en-GB"/>
            </w:rPr>
            <w:t>pool;</w:t>
          </w:r>
          <w:proofErr w:type="gramEnd"/>
        </w:p>
        <w:p w14:paraId="1671F7F0" w14:textId="77777777" w:rsidR="004101BF" w:rsidRPr="0032337D" w:rsidRDefault="00000000" w:rsidP="004101BF">
          <w:pPr>
            <w:pStyle w:val="elencopuntato"/>
            <w:numPr>
              <w:ilvl w:val="0"/>
              <w:numId w:val="36"/>
            </w:numPr>
            <w:spacing w:before="0" w:after="0"/>
            <w:rPr>
              <w:rFonts w:cs="Segoe UI"/>
              <w:lang w:val="en-GB"/>
            </w:rPr>
          </w:pPr>
          <m:oMath>
            <m:sSub>
              <m:sSubPr>
                <m:ctrlPr>
                  <w:rPr>
                    <w:rFonts w:ascii="Cambria Math" w:hAnsi="Cambria Math" w:cs="Segoe UI"/>
                    <w:i/>
                    <w:lang w:val="en-GB"/>
                  </w:rPr>
                </m:ctrlPr>
              </m:sSubPr>
              <m:e>
                <m:r>
                  <w:rPr>
                    <w:rFonts w:ascii="Cambria Math" w:hAnsi="Cambria Math" w:cs="Segoe UI"/>
                    <w:lang w:val="en-GB"/>
                  </w:rPr>
                  <m:t>Static Pool</m:t>
                </m:r>
              </m:e>
              <m:sub>
                <m:r>
                  <w:rPr>
                    <w:rFonts w:ascii="Cambria Math" w:hAnsi="Cambria Math" w:cs="Segoe UI"/>
                    <w:lang w:val="en-GB"/>
                  </w:rPr>
                  <m:t>31/12/year-1</m:t>
                </m:r>
              </m:sub>
            </m:sSub>
          </m:oMath>
          <w:r w:rsidR="004101BF" w:rsidRPr="0032337D">
            <w:rPr>
              <w:rFonts w:eastAsiaTheme="minorEastAsia" w:cs="Segoe UI"/>
              <w:lang w:val="en-GB"/>
            </w:rPr>
            <w:t xml:space="preserve"> </w:t>
          </w:r>
          <w:r w:rsidR="004101BF" w:rsidRPr="0032337D">
            <w:rPr>
              <w:rFonts w:cs="Segoe UI"/>
              <w:lang w:val="en-GB"/>
            </w:rPr>
            <w:t>is the total number of rated companies at the beginning of the year.</w:t>
          </w:r>
        </w:p>
        <w:p w14:paraId="42C606D5" w14:textId="77777777" w:rsidR="004101BF" w:rsidRPr="0032337D" w:rsidRDefault="004101BF" w:rsidP="004101BF">
          <w:pPr>
            <w:rPr>
              <w:rFonts w:cs="Segoe UI"/>
              <w:lang w:val="en-GB"/>
            </w:rPr>
          </w:pPr>
          <w:r w:rsidRPr="0032337D">
            <w:rPr>
              <w:rFonts w:cs="Segoe UI"/>
              <w:lang w:val="en-GB"/>
            </w:rPr>
            <w:t xml:space="preserve">The process for </w:t>
          </w:r>
          <w:r w:rsidRPr="0032337D">
            <w:rPr>
              <w:rFonts w:cs="Segoe UI"/>
              <w:i/>
              <w:lang w:val="en-GB"/>
            </w:rPr>
            <w:t>n-</w:t>
          </w:r>
          <w:r w:rsidRPr="0032337D">
            <w:rPr>
              <w:rFonts w:cs="Segoe UI"/>
              <w:lang w:val="en-GB"/>
            </w:rPr>
            <w:t xml:space="preserve">years cumulative default rates is the same: the number of default events occurred in the time window of </w:t>
          </w:r>
          <w:r w:rsidRPr="0032337D">
            <w:rPr>
              <w:rFonts w:cs="Segoe UI"/>
              <w:i/>
              <w:lang w:val="en-GB"/>
            </w:rPr>
            <w:t>n-</w:t>
          </w:r>
          <w:r w:rsidRPr="0032337D">
            <w:rPr>
              <w:rFonts w:cs="Segoe UI"/>
              <w:lang w:val="en-GB"/>
            </w:rPr>
            <w:t>years is computed always considering the first default event. Cerved Rating Agency keeps track of all the default events on the rated companies also after rating withdrawal, hence these events are considered in this study.</w:t>
          </w:r>
        </w:p>
        <w:p w14:paraId="47D190C3" w14:textId="1BDB0C2A" w:rsidR="004101BF" w:rsidRPr="0032337D" w:rsidRDefault="004101BF" w:rsidP="00521371">
          <w:pPr>
            <w:rPr>
              <w:rFonts w:cs="Segoe UI"/>
              <w:b/>
              <w:bCs/>
              <w:sz w:val="28"/>
              <w:szCs w:val="32"/>
              <w:lang w:val="en-GB"/>
            </w:rPr>
          </w:pPr>
          <w:r w:rsidRPr="0032337D">
            <w:rPr>
              <w:rFonts w:cs="Segoe UI"/>
              <w:lang w:val="en-GB"/>
            </w:rPr>
            <w:t xml:space="preserve">The default events considered in this research are not always absorbent (as for instance bankruptcy): a company can return to the performing status (having </w:t>
          </w:r>
          <w:proofErr w:type="spellStart"/>
          <w:r w:rsidRPr="0032337D">
            <w:rPr>
              <w:rFonts w:cs="Segoe UI"/>
              <w:lang w:val="en-GB"/>
            </w:rPr>
            <w:t>payed</w:t>
          </w:r>
          <w:proofErr w:type="spellEnd"/>
          <w:r w:rsidRPr="0032337D">
            <w:rPr>
              <w:rFonts w:cs="Segoe UI"/>
              <w:lang w:val="en-GB"/>
            </w:rPr>
            <w:t xml:space="preserve"> the debt and closed the default status) after a given </w:t>
          </w:r>
          <w:proofErr w:type="gramStart"/>
          <w:r w:rsidRPr="0032337D">
            <w:rPr>
              <w:rFonts w:cs="Segoe UI"/>
              <w:lang w:val="en-GB"/>
            </w:rPr>
            <w:t>period of time</w:t>
          </w:r>
          <w:proofErr w:type="gramEnd"/>
          <w:r w:rsidRPr="0032337D">
            <w:rPr>
              <w:rFonts w:cs="Segoe UI"/>
              <w:lang w:val="en-GB"/>
            </w:rPr>
            <w:t xml:space="preserve">. However, in this Default Study, if a default event has been observed in time </w:t>
          </w:r>
          <w:r w:rsidRPr="0032337D">
            <w:rPr>
              <w:rFonts w:cs="Segoe UI"/>
              <w:i/>
              <w:lang w:val="en-GB"/>
            </w:rPr>
            <w:t>T</w:t>
          </w:r>
          <w:r w:rsidRPr="0032337D">
            <w:rPr>
              <w:rFonts w:cs="Segoe UI"/>
              <w:lang w:val="en-GB"/>
            </w:rPr>
            <w:t xml:space="preserve">, the company is considered as defaulted at time </w:t>
          </w:r>
          <w:r w:rsidRPr="0032337D">
            <w:rPr>
              <w:rFonts w:cs="Segoe UI"/>
              <w:i/>
              <w:lang w:val="en-GB"/>
            </w:rPr>
            <w:t>T</w:t>
          </w:r>
          <w:r w:rsidRPr="0032337D">
            <w:rPr>
              <w:rFonts w:cs="Segoe UI"/>
              <w:lang w:val="en-GB"/>
            </w:rPr>
            <w:t xml:space="preserve"> and all the following years.</w:t>
          </w:r>
          <w:r w:rsidRPr="0032337D">
            <w:rPr>
              <w:rFonts w:cs="Segoe UI"/>
              <w:caps/>
              <w:lang w:val="en-GB"/>
            </w:rPr>
            <w:br w:type="page"/>
          </w:r>
        </w:p>
        <w:p w14:paraId="4DAB6FA4" w14:textId="77777777" w:rsidR="004101BF" w:rsidRPr="00FA752D" w:rsidRDefault="004101BF" w:rsidP="004101BF">
          <w:pPr>
            <w:pStyle w:val="Titolo2"/>
            <w:rPr>
              <w:lang w:val="en-GB"/>
            </w:rPr>
          </w:pPr>
          <w:bookmarkStart w:id="246" w:name="_Toc130806413"/>
          <w:bookmarkStart w:id="247" w:name="_Toc167131734"/>
          <w:r w:rsidRPr="00FA752D">
            <w:rPr>
              <w:lang w:val="en-GB"/>
            </w:rPr>
            <w:lastRenderedPageBreak/>
            <w:t>Annex 4: CAP curve and Accuracy Ratio (Gini Index)</w:t>
          </w:r>
          <w:bookmarkEnd w:id="246"/>
          <w:bookmarkEnd w:id="247"/>
        </w:p>
        <w:p w14:paraId="44E6C882" w14:textId="77777777" w:rsidR="004101BF" w:rsidRPr="0032337D" w:rsidRDefault="004101BF" w:rsidP="004101BF">
          <w:pPr>
            <w:rPr>
              <w:rFonts w:cs="Segoe UI"/>
              <w:lang w:val="en-GB"/>
            </w:rPr>
          </w:pPr>
          <w:r w:rsidRPr="0032337D">
            <w:rPr>
              <w:rFonts w:cs="Segoe UI"/>
              <w:lang w:val="en-GB"/>
            </w:rPr>
            <w:t>The Accuracy Ratio (or the Gini Index) is a summary statistical measure of the discriminatory power of a rating system originating from the Cumulative Accuracy Profile (CAP).</w:t>
          </w:r>
        </w:p>
        <w:p w14:paraId="779A4C13" w14:textId="77777777" w:rsidR="004101BF" w:rsidRPr="0032337D" w:rsidRDefault="004101BF" w:rsidP="004101BF">
          <w:pPr>
            <w:rPr>
              <w:rFonts w:cs="Segoe UI"/>
              <w:lang w:val="en-GB"/>
            </w:rPr>
          </w:pPr>
          <w:r w:rsidRPr="0032337D">
            <w:rPr>
              <w:rFonts w:cs="Segoe UI"/>
              <w:lang w:val="en-GB"/>
            </w:rPr>
            <w:t>The range of the Accuracy Ratio varies from zero to one. Zero represents the discriminatory power of a rating model with no capability to classify defaulted and non-defaulted entities (the so-called “random” model). A discriminatory power equal to 1 is the maximum theoretical limit for the so-called “perfect” or “optimal” model, being a rating model classifying all the defaulted entities in the worst rating classes and all non-defaulted entities in other rating classes.</w:t>
          </w:r>
        </w:p>
        <w:p w14:paraId="4EDD4EE7" w14:textId="77777777" w:rsidR="004101BF" w:rsidRPr="0032337D" w:rsidRDefault="004101BF" w:rsidP="004101BF">
          <w:pPr>
            <w:rPr>
              <w:rFonts w:cs="Segoe UI"/>
              <w:lang w:val="en-GB"/>
            </w:rPr>
          </w:pPr>
          <w:r w:rsidRPr="0032337D">
            <w:rPr>
              <w:rFonts w:cs="Segoe UI"/>
              <w:lang w:val="en-GB"/>
            </w:rPr>
            <w:t>A real rating model has an Accuracy Ratio between zero and one. The higher the value, the better its discriminatory power.</w:t>
          </w:r>
        </w:p>
        <w:p w14:paraId="0B0DB340" w14:textId="77777777" w:rsidR="004101BF" w:rsidRPr="0032337D" w:rsidRDefault="004101BF" w:rsidP="004101BF">
          <w:pPr>
            <w:rPr>
              <w:rFonts w:cs="Segoe UI"/>
              <w:lang w:val="en-GB"/>
            </w:rPr>
          </w:pPr>
          <w:r w:rsidRPr="0032337D">
            <w:rPr>
              <w:rFonts w:cs="Segoe UI"/>
              <w:lang w:val="en-GB"/>
            </w:rPr>
            <w:t>The results of Accuracy Ratio should be interpreted carefully, considering different rating systems applied on different portfolios. Its value depends on many parameters such as the default definition, the average default rates, the number of rated entities, the characteristics of the rated entities portfolio, the kind of model/rating system, the time horizon and other additional factors.</w:t>
          </w:r>
        </w:p>
        <w:p w14:paraId="1A345217" w14:textId="77777777" w:rsidR="004101BF" w:rsidRPr="0032337D" w:rsidRDefault="004101BF" w:rsidP="004101BF">
          <w:pPr>
            <w:rPr>
              <w:rFonts w:cs="Segoe UI"/>
              <w:lang w:val="en-GB"/>
            </w:rPr>
          </w:pPr>
          <w:r w:rsidRPr="0032337D">
            <w:rPr>
              <w:rFonts w:cs="Segoe UI"/>
              <w:lang w:val="en-GB"/>
            </w:rPr>
            <w:t>The graph below illustrates the CAP curve (corresponding to the rating model curve) and the Accuracy Ratio formula.</w:t>
          </w:r>
        </w:p>
        <w:p w14:paraId="643DEBA2" w14:textId="5A97B084" w:rsidR="004101BF" w:rsidRPr="0032337D" w:rsidRDefault="004101BF" w:rsidP="004101BF">
          <w:pPr>
            <w:pStyle w:val="Didascalia"/>
            <w:rPr>
              <w:rFonts w:ascii="Segoe UI" w:hAnsi="Segoe UI" w:cs="Segoe UI"/>
              <w:i/>
              <w:sz w:val="14"/>
              <w:lang w:val="en-GB"/>
            </w:rPr>
          </w:pPr>
          <w:bookmarkStart w:id="248" w:name="_Toc130806368"/>
          <w:bookmarkStart w:id="249" w:name="_Toc166675709"/>
          <w:bookmarkStart w:id="250" w:name="_Toc167131837"/>
          <w:r w:rsidRPr="0032337D">
            <w:rPr>
              <w:rFonts w:ascii="Segoe UI" w:hAnsi="Segoe UI" w:cs="Segoe UI"/>
              <w:i/>
              <w:sz w:val="14"/>
              <w:lang w:val="en-GB"/>
            </w:rPr>
            <w:t xml:space="preserve">Exhibit </w:t>
          </w:r>
          <w:r>
            <w:rPr>
              <w:rFonts w:ascii="Segoe UI" w:hAnsi="Segoe UI" w:cs="Segoe UI"/>
              <w:i/>
              <w:sz w:val="14"/>
              <w:lang w:val="en-GB"/>
            </w:rPr>
            <w:fldChar w:fldCharType="begin"/>
          </w:r>
          <w:r>
            <w:rPr>
              <w:rFonts w:ascii="Segoe UI" w:hAnsi="Segoe UI" w:cs="Segoe UI"/>
              <w:i/>
              <w:sz w:val="14"/>
              <w:lang w:val="en-GB"/>
            </w:rPr>
            <w:instrText xml:space="preserve"> SEQ Exhibit \* ARABIC </w:instrText>
          </w:r>
          <w:r>
            <w:rPr>
              <w:rFonts w:ascii="Segoe UI" w:hAnsi="Segoe UI" w:cs="Segoe UI"/>
              <w:i/>
              <w:sz w:val="14"/>
              <w:lang w:val="en-GB"/>
            </w:rPr>
            <w:fldChar w:fldCharType="separate"/>
          </w:r>
          <w:r w:rsidR="009857B6">
            <w:rPr>
              <w:rFonts w:ascii="Segoe UI" w:hAnsi="Segoe UI" w:cs="Segoe UI"/>
              <w:i/>
              <w:noProof/>
              <w:sz w:val="14"/>
              <w:lang w:val="en-GB"/>
            </w:rPr>
            <w:t>69</w:t>
          </w:r>
          <w:r>
            <w:rPr>
              <w:rFonts w:ascii="Segoe UI" w:hAnsi="Segoe UI" w:cs="Segoe UI"/>
              <w:i/>
              <w:sz w:val="14"/>
              <w:lang w:val="en-GB"/>
            </w:rPr>
            <w:fldChar w:fldCharType="end"/>
          </w:r>
          <w:r w:rsidRPr="0032337D">
            <w:rPr>
              <w:rFonts w:ascii="Segoe UI" w:hAnsi="Segoe UI" w:cs="Segoe UI"/>
              <w:i/>
              <w:sz w:val="14"/>
              <w:lang w:val="en-GB"/>
            </w:rPr>
            <w:t>: CAP curve and Accuracy Ratio (Gini index) formula</w:t>
          </w:r>
          <w:bookmarkEnd w:id="248"/>
          <w:bookmarkEnd w:id="249"/>
          <w:bookmarkEnd w:id="250"/>
        </w:p>
        <w:p w14:paraId="3685974B" w14:textId="77777777" w:rsidR="004101BF" w:rsidRPr="0032337D" w:rsidRDefault="004101BF" w:rsidP="004101BF">
          <w:pPr>
            <w:jc w:val="center"/>
            <w:rPr>
              <w:rFonts w:cs="Segoe UI"/>
              <w:lang w:val="en-GB"/>
            </w:rPr>
          </w:pPr>
          <w:r w:rsidRPr="0032337D">
            <w:rPr>
              <w:rFonts w:cs="Segoe UI"/>
              <w:noProof/>
              <w:lang w:eastAsia="it-IT"/>
            </w:rPr>
            <w:drawing>
              <wp:inline distT="0" distB="0" distL="0" distR="0" wp14:anchorId="70436824" wp14:editId="64FF2D21">
                <wp:extent cx="4594033" cy="2362809"/>
                <wp:effectExtent l="19050" t="19050" r="16510" b="19050"/>
                <wp:docPr id="1455560187" name="Immagine 1455560187" descr="Immagine che contiene diagramma, linea, testo, Diagram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560187" name="Immagine 1455560187" descr="Immagine che contiene diagramma, linea, testo, Diagramma&#10;&#10;Descrizione generata automaticamente"/>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608598" cy="2370300"/>
                        </a:xfrm>
                        <a:prstGeom prst="rect">
                          <a:avLst/>
                        </a:prstGeom>
                        <a:noFill/>
                        <a:ln>
                          <a:solidFill>
                            <a:schemeClr val="accent1"/>
                          </a:solidFill>
                        </a:ln>
                      </pic:spPr>
                    </pic:pic>
                  </a:graphicData>
                </a:graphic>
              </wp:inline>
            </w:drawing>
          </w:r>
        </w:p>
        <w:p w14:paraId="3E09F23C" w14:textId="77777777" w:rsidR="004101BF" w:rsidRPr="0032337D" w:rsidRDefault="004101BF" w:rsidP="004101BF">
          <w:pPr>
            <w:rPr>
              <w:rFonts w:cs="Segoe UI"/>
              <w:lang w:val="en-GB"/>
            </w:rPr>
          </w:pPr>
        </w:p>
        <w:p w14:paraId="1E9EC768" w14:textId="77777777" w:rsidR="004101BF" w:rsidRPr="0032337D" w:rsidRDefault="004101BF" w:rsidP="004101BF">
          <w:pPr>
            <w:rPr>
              <w:rFonts w:cs="Segoe UI"/>
              <w:lang w:val="en-GB"/>
            </w:rPr>
          </w:pPr>
          <w:r w:rsidRPr="0032337D">
            <w:rPr>
              <w:rFonts w:cs="Segoe UI"/>
              <w:lang w:val="en-GB"/>
            </w:rPr>
            <w:t>In this exhibit:</w:t>
          </w:r>
        </w:p>
        <w:p w14:paraId="4C54B1EE" w14:textId="77777777" w:rsidR="004101BF" w:rsidRPr="0032337D" w:rsidRDefault="004101BF" w:rsidP="004101BF">
          <w:pPr>
            <w:pStyle w:val="elencopuntato"/>
            <w:numPr>
              <w:ilvl w:val="0"/>
              <w:numId w:val="36"/>
            </w:numPr>
            <w:spacing w:before="0" w:after="0"/>
            <w:rPr>
              <w:rFonts w:cs="Segoe UI"/>
              <w:lang w:val="en-GB"/>
            </w:rPr>
          </w:pPr>
          <w:r w:rsidRPr="0032337D">
            <w:rPr>
              <w:rFonts w:cs="Segoe UI"/>
              <w:lang w:val="en-GB"/>
            </w:rPr>
            <w:t xml:space="preserve">X axis represents the proportion of debtor ordered from the highest to the lowest </w:t>
          </w:r>
          <w:proofErr w:type="gramStart"/>
          <w:r w:rsidRPr="0032337D">
            <w:rPr>
              <w:rFonts w:cs="Segoe UI"/>
              <w:lang w:val="en-GB"/>
            </w:rPr>
            <w:t>risk;</w:t>
          </w:r>
          <w:proofErr w:type="gramEnd"/>
        </w:p>
        <w:p w14:paraId="683AC66F" w14:textId="77777777" w:rsidR="004101BF" w:rsidRPr="0032337D" w:rsidRDefault="004101BF" w:rsidP="747A5B58">
          <w:pPr>
            <w:pStyle w:val="elencopuntato"/>
            <w:numPr>
              <w:ilvl w:val="0"/>
              <w:numId w:val="36"/>
            </w:numPr>
            <w:spacing w:before="0" w:after="0"/>
            <w:rPr>
              <w:rFonts w:cs="Segoe UI"/>
            </w:rPr>
          </w:pPr>
          <w:r w:rsidRPr="747A5B58">
            <w:rPr>
              <w:rFonts w:cs="Segoe UI"/>
            </w:rPr>
            <w:t>Y axis represents the proportion of defaulted debtors (on the amount of total defaults</w:t>
          </w:r>
          <w:proofErr w:type="gramStart"/>
          <w:r w:rsidRPr="747A5B58">
            <w:rPr>
              <w:rFonts w:cs="Segoe UI"/>
            </w:rPr>
            <w:t>);</w:t>
          </w:r>
          <w:proofErr w:type="gramEnd"/>
        </w:p>
        <w:p w14:paraId="040BE1E4" w14:textId="10440B86" w:rsidR="00327A17" w:rsidRPr="004101BF" w:rsidRDefault="004101BF" w:rsidP="00521371">
          <w:pPr>
            <w:spacing w:line="360" w:lineRule="auto"/>
            <w:rPr>
              <w:lang w:val="en-GB"/>
            </w:rPr>
          </w:pPr>
          <w:r w:rsidRPr="0032337D">
            <w:rPr>
              <w:rFonts w:cs="Segoe UI"/>
              <w:lang w:val="en-GB"/>
            </w:rPr>
            <w:t>the Accuracy Ratio is the summary measure computed as the ratio of B (area between rating model and random model) and A+B (area between optimal model and random model).</w:t>
          </w:r>
        </w:p>
        <w:p w14:paraId="1496F0D7" w14:textId="77777777" w:rsidR="00551597" w:rsidRPr="00551597" w:rsidRDefault="00551597" w:rsidP="00551597">
          <w:pPr>
            <w:pStyle w:val="Titolo1"/>
            <w:rPr>
              <w:lang w:val="en-GB"/>
            </w:rPr>
          </w:pPr>
          <w:bookmarkStart w:id="251" w:name="_Toc167131735"/>
          <w:r w:rsidRPr="00551597">
            <w:rPr>
              <w:lang w:val="en-GB"/>
            </w:rPr>
            <w:lastRenderedPageBreak/>
            <w:t>List of exhibits</w:t>
          </w:r>
          <w:bookmarkEnd w:id="251"/>
        </w:p>
        <w:p w14:paraId="2407244D" w14:textId="60DFEDAA" w:rsidR="00644EB8" w:rsidRPr="00915ADB" w:rsidRDefault="00E31974">
          <w:pPr>
            <w:pStyle w:val="Indicedellefigure"/>
            <w:rPr>
              <w:rFonts w:eastAsiaTheme="minorEastAsia"/>
              <w:color w:val="auto"/>
              <w:kern w:val="2"/>
              <w:lang w:val="it-IT" w:eastAsia="it-IT"/>
              <w14:ligatures w14:val="standardContextual"/>
            </w:rPr>
          </w:pPr>
          <w:r w:rsidRPr="002D3F8F">
            <w:rPr>
              <w:lang w:val="it-IT"/>
            </w:rPr>
            <w:fldChar w:fldCharType="begin"/>
          </w:r>
          <w:r w:rsidRPr="002D3F8F">
            <w:rPr>
              <w:lang w:val="it-IT"/>
            </w:rPr>
            <w:instrText xml:space="preserve"> TOC \h \z \c "Exhibit" </w:instrText>
          </w:r>
          <w:r w:rsidRPr="002D3F8F">
            <w:rPr>
              <w:lang w:val="it-IT"/>
            </w:rPr>
            <w:fldChar w:fldCharType="separate"/>
          </w:r>
          <w:hyperlink w:anchor="_Toc167131769" w:history="1">
            <w:r w:rsidR="00644EB8" w:rsidRPr="00915ADB">
              <w:rPr>
                <w:rStyle w:val="Collegamentoipertestuale"/>
                <w:rFonts w:cs="Segoe UI"/>
                <w:lang w:val="en-GB"/>
              </w:rPr>
              <w:t>Exhibit 1: European definition of Medium, Small and Micro companies</w:t>
            </w:r>
            <w:r w:rsidR="00644EB8" w:rsidRPr="00915ADB">
              <w:rPr>
                <w:webHidden/>
              </w:rPr>
              <w:tab/>
            </w:r>
            <w:r w:rsidR="00644EB8" w:rsidRPr="00915ADB">
              <w:rPr>
                <w:webHidden/>
              </w:rPr>
              <w:fldChar w:fldCharType="begin"/>
            </w:r>
            <w:r w:rsidR="00644EB8" w:rsidRPr="00915ADB">
              <w:rPr>
                <w:webHidden/>
              </w:rPr>
              <w:instrText xml:space="preserve"> PAGEREF _Toc167131769 \h </w:instrText>
            </w:r>
            <w:r w:rsidR="00644EB8" w:rsidRPr="00915ADB">
              <w:rPr>
                <w:webHidden/>
              </w:rPr>
            </w:r>
            <w:r w:rsidR="00644EB8" w:rsidRPr="00915ADB">
              <w:rPr>
                <w:webHidden/>
              </w:rPr>
              <w:fldChar w:fldCharType="separate"/>
            </w:r>
            <w:r w:rsidR="00644EB8" w:rsidRPr="00915ADB">
              <w:rPr>
                <w:webHidden/>
              </w:rPr>
              <w:t>6</w:t>
            </w:r>
            <w:r w:rsidR="00644EB8" w:rsidRPr="00915ADB">
              <w:rPr>
                <w:webHidden/>
              </w:rPr>
              <w:fldChar w:fldCharType="end"/>
            </w:r>
          </w:hyperlink>
        </w:p>
        <w:p w14:paraId="41086561" w14:textId="57C07CAD" w:rsidR="00644EB8" w:rsidRPr="00915ADB" w:rsidRDefault="00644EB8">
          <w:pPr>
            <w:pStyle w:val="Indicedellefigure"/>
            <w:rPr>
              <w:rFonts w:eastAsiaTheme="minorEastAsia"/>
              <w:color w:val="auto"/>
              <w:kern w:val="2"/>
              <w:lang w:val="it-IT" w:eastAsia="it-IT"/>
              <w14:ligatures w14:val="standardContextual"/>
            </w:rPr>
          </w:pPr>
          <w:hyperlink w:anchor="_Toc167131770" w:history="1">
            <w:r w:rsidRPr="00915ADB">
              <w:rPr>
                <w:rStyle w:val="Collegamentoipertestuale"/>
                <w:rFonts w:cs="Segoe UI"/>
                <w:lang w:val="en-GB"/>
              </w:rPr>
              <w:t>Exhibit 2: Composition of the portfolio’s rated entities portfolio 2008 – 2022</w:t>
            </w:r>
            <w:r w:rsidRPr="00915ADB">
              <w:rPr>
                <w:webHidden/>
              </w:rPr>
              <w:tab/>
            </w:r>
            <w:r w:rsidRPr="00915ADB">
              <w:rPr>
                <w:webHidden/>
              </w:rPr>
              <w:fldChar w:fldCharType="begin"/>
            </w:r>
            <w:r w:rsidRPr="00915ADB">
              <w:rPr>
                <w:webHidden/>
              </w:rPr>
              <w:instrText xml:space="preserve"> PAGEREF _Toc167131770 \h </w:instrText>
            </w:r>
            <w:r w:rsidRPr="00915ADB">
              <w:rPr>
                <w:webHidden/>
              </w:rPr>
            </w:r>
            <w:r w:rsidRPr="00915ADB">
              <w:rPr>
                <w:webHidden/>
              </w:rPr>
              <w:fldChar w:fldCharType="separate"/>
            </w:r>
            <w:r w:rsidRPr="00915ADB">
              <w:rPr>
                <w:webHidden/>
              </w:rPr>
              <w:t>6</w:t>
            </w:r>
            <w:r w:rsidRPr="00915ADB">
              <w:rPr>
                <w:webHidden/>
              </w:rPr>
              <w:fldChar w:fldCharType="end"/>
            </w:r>
          </w:hyperlink>
        </w:p>
        <w:p w14:paraId="7A26180C" w14:textId="4A6B5D61" w:rsidR="00644EB8" w:rsidRPr="00915ADB" w:rsidRDefault="00644EB8">
          <w:pPr>
            <w:pStyle w:val="Indicedellefigure"/>
            <w:rPr>
              <w:rFonts w:eastAsiaTheme="minorEastAsia"/>
              <w:color w:val="auto"/>
              <w:kern w:val="2"/>
              <w:lang w:val="it-IT" w:eastAsia="it-IT"/>
              <w14:ligatures w14:val="standardContextual"/>
            </w:rPr>
          </w:pPr>
          <w:hyperlink w:anchor="_Toc167131771" w:history="1">
            <w:r w:rsidRPr="00915ADB">
              <w:rPr>
                <w:rStyle w:val="Collegamentoipertestuale"/>
                <w:rFonts w:cs="Segoe UI"/>
                <w:lang w:val="en-GB"/>
              </w:rPr>
              <w:t>Exhibit 3: Breakdown of rated entities by size</w:t>
            </w:r>
            <w:r w:rsidRPr="00915ADB">
              <w:rPr>
                <w:webHidden/>
              </w:rPr>
              <w:tab/>
            </w:r>
            <w:r w:rsidRPr="00915ADB">
              <w:rPr>
                <w:webHidden/>
              </w:rPr>
              <w:fldChar w:fldCharType="begin"/>
            </w:r>
            <w:r w:rsidRPr="00915ADB">
              <w:rPr>
                <w:webHidden/>
              </w:rPr>
              <w:instrText xml:space="preserve"> PAGEREF _Toc167131771 \h </w:instrText>
            </w:r>
            <w:r w:rsidRPr="00915ADB">
              <w:rPr>
                <w:webHidden/>
              </w:rPr>
            </w:r>
            <w:r w:rsidRPr="00915ADB">
              <w:rPr>
                <w:webHidden/>
              </w:rPr>
              <w:fldChar w:fldCharType="separate"/>
            </w:r>
            <w:r w:rsidRPr="00915ADB">
              <w:rPr>
                <w:webHidden/>
              </w:rPr>
              <w:t>7</w:t>
            </w:r>
            <w:r w:rsidRPr="00915ADB">
              <w:rPr>
                <w:webHidden/>
              </w:rPr>
              <w:fldChar w:fldCharType="end"/>
            </w:r>
          </w:hyperlink>
        </w:p>
        <w:p w14:paraId="22756E16" w14:textId="003E4D1B" w:rsidR="00644EB8" w:rsidRPr="00915ADB" w:rsidRDefault="00644EB8">
          <w:pPr>
            <w:pStyle w:val="Indicedellefigure"/>
            <w:rPr>
              <w:rFonts w:eastAsiaTheme="minorEastAsia"/>
              <w:color w:val="auto"/>
              <w:kern w:val="2"/>
              <w:lang w:val="it-IT" w:eastAsia="it-IT"/>
              <w14:ligatures w14:val="standardContextual"/>
            </w:rPr>
          </w:pPr>
          <w:hyperlink w:anchor="_Toc167131772" w:history="1">
            <w:r w:rsidRPr="00915ADB">
              <w:rPr>
                <w:rStyle w:val="Collegamentoipertestuale"/>
                <w:rFonts w:cs="Segoe UI"/>
                <w:lang w:val="en-GB"/>
              </w:rPr>
              <w:t>Exhibit 4: Distribution of rated entities by legal form (table)</w:t>
            </w:r>
            <w:r w:rsidRPr="00915ADB">
              <w:rPr>
                <w:webHidden/>
              </w:rPr>
              <w:tab/>
            </w:r>
            <w:r w:rsidRPr="00915ADB">
              <w:rPr>
                <w:webHidden/>
              </w:rPr>
              <w:fldChar w:fldCharType="begin"/>
            </w:r>
            <w:r w:rsidRPr="00915ADB">
              <w:rPr>
                <w:webHidden/>
              </w:rPr>
              <w:instrText xml:space="preserve"> PAGEREF _Toc167131772 \h </w:instrText>
            </w:r>
            <w:r w:rsidRPr="00915ADB">
              <w:rPr>
                <w:webHidden/>
              </w:rPr>
            </w:r>
            <w:r w:rsidRPr="00915ADB">
              <w:rPr>
                <w:webHidden/>
              </w:rPr>
              <w:fldChar w:fldCharType="separate"/>
            </w:r>
            <w:r w:rsidRPr="00915ADB">
              <w:rPr>
                <w:webHidden/>
              </w:rPr>
              <w:t>8</w:t>
            </w:r>
            <w:r w:rsidRPr="00915ADB">
              <w:rPr>
                <w:webHidden/>
              </w:rPr>
              <w:fldChar w:fldCharType="end"/>
            </w:r>
          </w:hyperlink>
        </w:p>
        <w:p w14:paraId="0E0D00DC" w14:textId="3430671C" w:rsidR="00644EB8" w:rsidRPr="00915ADB" w:rsidRDefault="00644EB8">
          <w:pPr>
            <w:pStyle w:val="Indicedellefigure"/>
            <w:rPr>
              <w:rFonts w:eastAsiaTheme="minorEastAsia"/>
              <w:color w:val="auto"/>
              <w:kern w:val="2"/>
              <w:lang w:val="it-IT" w:eastAsia="it-IT"/>
              <w14:ligatures w14:val="standardContextual"/>
            </w:rPr>
          </w:pPr>
          <w:hyperlink w:anchor="_Toc167131773" w:history="1">
            <w:r w:rsidRPr="00915ADB">
              <w:rPr>
                <w:rStyle w:val="Collegamentoipertestuale"/>
                <w:rFonts w:cs="Segoe UI"/>
                <w:lang w:val="en-GB"/>
              </w:rPr>
              <w:t>Exhibit 5: Breakdown of rated entities by legal form (graph)</w:t>
            </w:r>
            <w:r w:rsidRPr="00915ADB">
              <w:rPr>
                <w:webHidden/>
              </w:rPr>
              <w:tab/>
            </w:r>
            <w:r w:rsidRPr="00915ADB">
              <w:rPr>
                <w:webHidden/>
              </w:rPr>
              <w:fldChar w:fldCharType="begin"/>
            </w:r>
            <w:r w:rsidRPr="00915ADB">
              <w:rPr>
                <w:webHidden/>
              </w:rPr>
              <w:instrText xml:space="preserve"> PAGEREF _Toc167131773 \h </w:instrText>
            </w:r>
            <w:r w:rsidRPr="00915ADB">
              <w:rPr>
                <w:webHidden/>
              </w:rPr>
            </w:r>
            <w:r w:rsidRPr="00915ADB">
              <w:rPr>
                <w:webHidden/>
              </w:rPr>
              <w:fldChar w:fldCharType="separate"/>
            </w:r>
            <w:r w:rsidRPr="00915ADB">
              <w:rPr>
                <w:webHidden/>
              </w:rPr>
              <w:t>9</w:t>
            </w:r>
            <w:r w:rsidRPr="00915ADB">
              <w:rPr>
                <w:webHidden/>
              </w:rPr>
              <w:fldChar w:fldCharType="end"/>
            </w:r>
          </w:hyperlink>
        </w:p>
        <w:p w14:paraId="23E6BA9C" w14:textId="6E3EAAD3" w:rsidR="00644EB8" w:rsidRPr="00915ADB" w:rsidRDefault="00644EB8">
          <w:pPr>
            <w:pStyle w:val="Indicedellefigure"/>
            <w:rPr>
              <w:rFonts w:eastAsiaTheme="minorEastAsia"/>
              <w:color w:val="auto"/>
              <w:kern w:val="2"/>
              <w:lang w:val="it-IT" w:eastAsia="it-IT"/>
              <w14:ligatures w14:val="standardContextual"/>
            </w:rPr>
          </w:pPr>
          <w:hyperlink w:anchor="_Toc167131774" w:history="1">
            <w:r w:rsidRPr="00915ADB">
              <w:rPr>
                <w:rStyle w:val="Collegamentoipertestuale"/>
                <w:rFonts w:cs="Segoe UI"/>
                <w:lang w:val="en-GB"/>
              </w:rPr>
              <w:t>Exhibit 6: Distribution of rated entities by industry – Number of ratings</w:t>
            </w:r>
            <w:r w:rsidRPr="00915ADB">
              <w:rPr>
                <w:webHidden/>
              </w:rPr>
              <w:tab/>
            </w:r>
            <w:r w:rsidRPr="00915ADB">
              <w:rPr>
                <w:webHidden/>
              </w:rPr>
              <w:fldChar w:fldCharType="begin"/>
            </w:r>
            <w:r w:rsidRPr="00915ADB">
              <w:rPr>
                <w:webHidden/>
              </w:rPr>
              <w:instrText xml:space="preserve"> PAGEREF _Toc167131774 \h </w:instrText>
            </w:r>
            <w:r w:rsidRPr="00915ADB">
              <w:rPr>
                <w:webHidden/>
              </w:rPr>
            </w:r>
            <w:r w:rsidRPr="00915ADB">
              <w:rPr>
                <w:webHidden/>
              </w:rPr>
              <w:fldChar w:fldCharType="separate"/>
            </w:r>
            <w:r w:rsidRPr="00915ADB">
              <w:rPr>
                <w:webHidden/>
              </w:rPr>
              <w:t>9</w:t>
            </w:r>
            <w:r w:rsidRPr="00915ADB">
              <w:rPr>
                <w:webHidden/>
              </w:rPr>
              <w:fldChar w:fldCharType="end"/>
            </w:r>
          </w:hyperlink>
        </w:p>
        <w:p w14:paraId="6591BF79" w14:textId="11FBAEC5" w:rsidR="00644EB8" w:rsidRPr="00915ADB" w:rsidRDefault="00644EB8">
          <w:pPr>
            <w:pStyle w:val="Indicedellefigure"/>
            <w:rPr>
              <w:rFonts w:eastAsiaTheme="minorEastAsia"/>
              <w:color w:val="auto"/>
              <w:kern w:val="2"/>
              <w:lang w:val="it-IT" w:eastAsia="it-IT"/>
              <w14:ligatures w14:val="standardContextual"/>
            </w:rPr>
          </w:pPr>
          <w:hyperlink w:anchor="_Toc167131775" w:history="1">
            <w:r w:rsidRPr="00915ADB">
              <w:rPr>
                <w:rStyle w:val="Collegamentoipertestuale"/>
                <w:rFonts w:cs="Segoe UI"/>
                <w:lang w:val="en-GB"/>
              </w:rPr>
              <w:t>Exhibit 7: Distribution of rated entities by industry – Percentage of ratings</w:t>
            </w:r>
            <w:r w:rsidRPr="00915ADB">
              <w:rPr>
                <w:webHidden/>
              </w:rPr>
              <w:tab/>
            </w:r>
            <w:r w:rsidRPr="00915ADB">
              <w:rPr>
                <w:webHidden/>
              </w:rPr>
              <w:fldChar w:fldCharType="begin"/>
            </w:r>
            <w:r w:rsidRPr="00915ADB">
              <w:rPr>
                <w:webHidden/>
              </w:rPr>
              <w:instrText xml:space="preserve"> PAGEREF _Toc167131775 \h </w:instrText>
            </w:r>
            <w:r w:rsidRPr="00915ADB">
              <w:rPr>
                <w:webHidden/>
              </w:rPr>
            </w:r>
            <w:r w:rsidRPr="00915ADB">
              <w:rPr>
                <w:webHidden/>
              </w:rPr>
              <w:fldChar w:fldCharType="separate"/>
            </w:r>
            <w:r w:rsidRPr="00915ADB">
              <w:rPr>
                <w:webHidden/>
              </w:rPr>
              <w:t>10</w:t>
            </w:r>
            <w:r w:rsidRPr="00915ADB">
              <w:rPr>
                <w:webHidden/>
              </w:rPr>
              <w:fldChar w:fldCharType="end"/>
            </w:r>
          </w:hyperlink>
        </w:p>
        <w:p w14:paraId="236B65C4" w14:textId="4EC8E162" w:rsidR="00644EB8" w:rsidRPr="00915ADB" w:rsidRDefault="00644EB8">
          <w:pPr>
            <w:pStyle w:val="Indicedellefigure"/>
            <w:rPr>
              <w:rFonts w:eastAsiaTheme="minorEastAsia"/>
              <w:color w:val="auto"/>
              <w:kern w:val="2"/>
              <w:lang w:val="it-IT" w:eastAsia="it-IT"/>
              <w14:ligatures w14:val="standardContextual"/>
            </w:rPr>
          </w:pPr>
          <w:hyperlink w:anchor="_Toc167131776" w:history="1">
            <w:r w:rsidRPr="00915ADB">
              <w:rPr>
                <w:rStyle w:val="Collegamentoipertestuale"/>
                <w:rFonts w:cs="Segoe UI"/>
                <w:lang w:val="en-GB"/>
              </w:rPr>
              <w:t>Exhibit 8: Distribution of rated entities by industry</w:t>
            </w:r>
            <w:r w:rsidRPr="00915ADB">
              <w:rPr>
                <w:webHidden/>
              </w:rPr>
              <w:tab/>
            </w:r>
            <w:r w:rsidRPr="00915ADB">
              <w:rPr>
                <w:webHidden/>
              </w:rPr>
              <w:fldChar w:fldCharType="begin"/>
            </w:r>
            <w:r w:rsidRPr="00915ADB">
              <w:rPr>
                <w:webHidden/>
              </w:rPr>
              <w:instrText xml:space="preserve"> PAGEREF _Toc167131776 \h </w:instrText>
            </w:r>
            <w:r w:rsidRPr="00915ADB">
              <w:rPr>
                <w:webHidden/>
              </w:rPr>
            </w:r>
            <w:r w:rsidRPr="00915ADB">
              <w:rPr>
                <w:webHidden/>
              </w:rPr>
              <w:fldChar w:fldCharType="separate"/>
            </w:r>
            <w:r w:rsidRPr="00915ADB">
              <w:rPr>
                <w:webHidden/>
              </w:rPr>
              <w:t>11</w:t>
            </w:r>
            <w:r w:rsidRPr="00915ADB">
              <w:rPr>
                <w:webHidden/>
              </w:rPr>
              <w:fldChar w:fldCharType="end"/>
            </w:r>
          </w:hyperlink>
        </w:p>
        <w:p w14:paraId="6A2BDDC0" w14:textId="624D2A43" w:rsidR="00644EB8" w:rsidRPr="00915ADB" w:rsidRDefault="00644EB8">
          <w:pPr>
            <w:pStyle w:val="Indicedellefigure"/>
            <w:rPr>
              <w:rFonts w:eastAsiaTheme="minorEastAsia"/>
              <w:color w:val="auto"/>
              <w:kern w:val="2"/>
              <w:lang w:val="it-IT" w:eastAsia="it-IT"/>
              <w14:ligatures w14:val="standardContextual"/>
            </w:rPr>
          </w:pPr>
          <w:hyperlink w:anchor="_Toc167131777" w:history="1">
            <w:r w:rsidRPr="00915ADB">
              <w:rPr>
                <w:rStyle w:val="Collegamentoipertestuale"/>
                <w:rFonts w:cs="Segoe UI"/>
                <w:lang w:val="en-GB"/>
              </w:rPr>
              <w:t>Exhibit 9: Distribution of average rating frequency</w:t>
            </w:r>
            <w:r w:rsidRPr="00915ADB">
              <w:rPr>
                <w:webHidden/>
              </w:rPr>
              <w:tab/>
            </w:r>
            <w:r w:rsidRPr="00915ADB">
              <w:rPr>
                <w:webHidden/>
              </w:rPr>
              <w:fldChar w:fldCharType="begin"/>
            </w:r>
            <w:r w:rsidRPr="00915ADB">
              <w:rPr>
                <w:webHidden/>
              </w:rPr>
              <w:instrText xml:space="preserve"> PAGEREF _Toc167131777 \h </w:instrText>
            </w:r>
            <w:r w:rsidRPr="00915ADB">
              <w:rPr>
                <w:webHidden/>
              </w:rPr>
            </w:r>
            <w:r w:rsidRPr="00915ADB">
              <w:rPr>
                <w:webHidden/>
              </w:rPr>
              <w:fldChar w:fldCharType="separate"/>
            </w:r>
            <w:r w:rsidRPr="00915ADB">
              <w:rPr>
                <w:webHidden/>
              </w:rPr>
              <w:t>11</w:t>
            </w:r>
            <w:r w:rsidRPr="00915ADB">
              <w:rPr>
                <w:webHidden/>
              </w:rPr>
              <w:fldChar w:fldCharType="end"/>
            </w:r>
          </w:hyperlink>
        </w:p>
        <w:p w14:paraId="2FE70EE1" w14:textId="6573383D" w:rsidR="00644EB8" w:rsidRPr="00915ADB" w:rsidRDefault="00644EB8">
          <w:pPr>
            <w:pStyle w:val="Indicedellefigure"/>
            <w:rPr>
              <w:rFonts w:eastAsiaTheme="minorEastAsia"/>
              <w:color w:val="auto"/>
              <w:kern w:val="2"/>
              <w:lang w:val="it-IT" w:eastAsia="it-IT"/>
              <w14:ligatures w14:val="standardContextual"/>
            </w:rPr>
          </w:pPr>
          <w:hyperlink w:anchor="_Toc167131778" w:history="1">
            <w:r w:rsidRPr="00915ADB">
              <w:rPr>
                <w:rStyle w:val="Collegamentoipertestuale"/>
                <w:rFonts w:cs="Segoe UI"/>
                <w:lang w:val="en-GB"/>
              </w:rPr>
              <w:t>Exhibit 10: Breakdown of rated entities by number of entities</w:t>
            </w:r>
            <w:r w:rsidRPr="00915ADB">
              <w:rPr>
                <w:webHidden/>
              </w:rPr>
              <w:tab/>
            </w:r>
            <w:r w:rsidRPr="00915ADB">
              <w:rPr>
                <w:webHidden/>
              </w:rPr>
              <w:fldChar w:fldCharType="begin"/>
            </w:r>
            <w:r w:rsidRPr="00915ADB">
              <w:rPr>
                <w:webHidden/>
              </w:rPr>
              <w:instrText xml:space="preserve"> PAGEREF _Toc167131778 \h </w:instrText>
            </w:r>
            <w:r w:rsidRPr="00915ADB">
              <w:rPr>
                <w:webHidden/>
              </w:rPr>
            </w:r>
            <w:r w:rsidRPr="00915ADB">
              <w:rPr>
                <w:webHidden/>
              </w:rPr>
              <w:fldChar w:fldCharType="separate"/>
            </w:r>
            <w:r w:rsidRPr="00915ADB">
              <w:rPr>
                <w:webHidden/>
              </w:rPr>
              <w:t>12</w:t>
            </w:r>
            <w:r w:rsidRPr="00915ADB">
              <w:rPr>
                <w:webHidden/>
              </w:rPr>
              <w:fldChar w:fldCharType="end"/>
            </w:r>
          </w:hyperlink>
        </w:p>
        <w:p w14:paraId="4E329871" w14:textId="383C4602" w:rsidR="00644EB8" w:rsidRPr="00915ADB" w:rsidRDefault="00644EB8">
          <w:pPr>
            <w:pStyle w:val="Indicedellefigure"/>
            <w:rPr>
              <w:rFonts w:eastAsiaTheme="minorEastAsia"/>
              <w:color w:val="auto"/>
              <w:kern w:val="2"/>
              <w:lang w:val="it-IT" w:eastAsia="it-IT"/>
              <w14:ligatures w14:val="standardContextual"/>
            </w:rPr>
          </w:pPr>
          <w:hyperlink w:anchor="_Toc167131779" w:history="1">
            <w:r w:rsidRPr="00915ADB">
              <w:rPr>
                <w:rStyle w:val="Collegamentoipertestuale"/>
                <w:rFonts w:cs="Segoe UI"/>
                <w:lang w:val="en-GB"/>
              </w:rPr>
              <w:t>Exhibit 11: Average rating distribution frequency by company size</w:t>
            </w:r>
            <w:r w:rsidRPr="00915ADB">
              <w:rPr>
                <w:webHidden/>
              </w:rPr>
              <w:tab/>
            </w:r>
            <w:r w:rsidRPr="00915ADB">
              <w:rPr>
                <w:webHidden/>
              </w:rPr>
              <w:fldChar w:fldCharType="begin"/>
            </w:r>
            <w:r w:rsidRPr="00915ADB">
              <w:rPr>
                <w:webHidden/>
              </w:rPr>
              <w:instrText xml:space="preserve"> PAGEREF _Toc167131779 \h </w:instrText>
            </w:r>
            <w:r w:rsidRPr="00915ADB">
              <w:rPr>
                <w:webHidden/>
              </w:rPr>
            </w:r>
            <w:r w:rsidRPr="00915ADB">
              <w:rPr>
                <w:webHidden/>
              </w:rPr>
              <w:fldChar w:fldCharType="separate"/>
            </w:r>
            <w:r w:rsidRPr="00915ADB">
              <w:rPr>
                <w:webHidden/>
              </w:rPr>
              <w:t>13</w:t>
            </w:r>
            <w:r w:rsidRPr="00915ADB">
              <w:rPr>
                <w:webHidden/>
              </w:rPr>
              <w:fldChar w:fldCharType="end"/>
            </w:r>
          </w:hyperlink>
        </w:p>
        <w:p w14:paraId="060F0491" w14:textId="02759262" w:rsidR="00644EB8" w:rsidRPr="00915ADB" w:rsidRDefault="00644EB8">
          <w:pPr>
            <w:pStyle w:val="Indicedellefigure"/>
            <w:rPr>
              <w:rFonts w:eastAsiaTheme="minorEastAsia"/>
              <w:color w:val="auto"/>
              <w:kern w:val="2"/>
              <w:lang w:val="it-IT" w:eastAsia="it-IT"/>
              <w14:ligatures w14:val="standardContextual"/>
            </w:rPr>
          </w:pPr>
          <w:hyperlink w:anchor="_Toc167131780" w:history="1">
            <w:r w:rsidRPr="00915ADB">
              <w:rPr>
                <w:rStyle w:val="Collegamentoipertestuale"/>
                <w:rFonts w:cs="Segoe UI"/>
                <w:lang w:val="en-GB"/>
              </w:rPr>
              <w:t>Exhibit 12: Default events on 1-year time horizon</w:t>
            </w:r>
            <w:r w:rsidRPr="00915ADB">
              <w:rPr>
                <w:webHidden/>
              </w:rPr>
              <w:tab/>
            </w:r>
            <w:r w:rsidRPr="00915ADB">
              <w:rPr>
                <w:webHidden/>
              </w:rPr>
              <w:fldChar w:fldCharType="begin"/>
            </w:r>
            <w:r w:rsidRPr="00915ADB">
              <w:rPr>
                <w:webHidden/>
              </w:rPr>
              <w:instrText xml:space="preserve"> PAGEREF _Toc167131780 \h </w:instrText>
            </w:r>
            <w:r w:rsidRPr="00915ADB">
              <w:rPr>
                <w:webHidden/>
              </w:rPr>
            </w:r>
            <w:r w:rsidRPr="00915ADB">
              <w:rPr>
                <w:webHidden/>
              </w:rPr>
              <w:fldChar w:fldCharType="separate"/>
            </w:r>
            <w:r w:rsidRPr="00915ADB">
              <w:rPr>
                <w:webHidden/>
              </w:rPr>
              <w:t>14</w:t>
            </w:r>
            <w:r w:rsidRPr="00915ADB">
              <w:rPr>
                <w:webHidden/>
              </w:rPr>
              <w:fldChar w:fldCharType="end"/>
            </w:r>
          </w:hyperlink>
        </w:p>
        <w:p w14:paraId="092ED62B" w14:textId="50CB3C42" w:rsidR="00644EB8" w:rsidRPr="00915ADB" w:rsidRDefault="00644EB8">
          <w:pPr>
            <w:pStyle w:val="Indicedellefigure"/>
            <w:rPr>
              <w:rFonts w:eastAsiaTheme="minorEastAsia"/>
              <w:color w:val="auto"/>
              <w:kern w:val="2"/>
              <w:lang w:val="it-IT" w:eastAsia="it-IT"/>
              <w14:ligatures w14:val="standardContextual"/>
            </w:rPr>
          </w:pPr>
          <w:hyperlink w:anchor="_Toc167131781" w:history="1">
            <w:r w:rsidRPr="00915ADB">
              <w:rPr>
                <w:rStyle w:val="Collegamentoipertestuale"/>
                <w:rFonts w:cs="Segoe UI"/>
                <w:lang w:val="en-GB"/>
              </w:rPr>
              <w:t>Exhibit 13: Average 1-year default rate</w:t>
            </w:r>
            <w:r w:rsidRPr="00915ADB">
              <w:rPr>
                <w:webHidden/>
              </w:rPr>
              <w:tab/>
            </w:r>
            <w:r w:rsidRPr="00915ADB">
              <w:rPr>
                <w:webHidden/>
              </w:rPr>
              <w:fldChar w:fldCharType="begin"/>
            </w:r>
            <w:r w:rsidRPr="00915ADB">
              <w:rPr>
                <w:webHidden/>
              </w:rPr>
              <w:instrText xml:space="preserve"> PAGEREF _Toc167131781 \h </w:instrText>
            </w:r>
            <w:r w:rsidRPr="00915ADB">
              <w:rPr>
                <w:webHidden/>
              </w:rPr>
            </w:r>
            <w:r w:rsidRPr="00915ADB">
              <w:rPr>
                <w:webHidden/>
              </w:rPr>
              <w:fldChar w:fldCharType="separate"/>
            </w:r>
            <w:r w:rsidRPr="00915ADB">
              <w:rPr>
                <w:webHidden/>
              </w:rPr>
              <w:t>15</w:t>
            </w:r>
            <w:r w:rsidRPr="00915ADB">
              <w:rPr>
                <w:webHidden/>
              </w:rPr>
              <w:fldChar w:fldCharType="end"/>
            </w:r>
          </w:hyperlink>
        </w:p>
        <w:p w14:paraId="64DAD888" w14:textId="1D050B84" w:rsidR="00644EB8" w:rsidRPr="00915ADB" w:rsidRDefault="00644EB8">
          <w:pPr>
            <w:pStyle w:val="Indicedellefigure"/>
            <w:rPr>
              <w:rFonts w:eastAsiaTheme="minorEastAsia"/>
              <w:color w:val="auto"/>
              <w:kern w:val="2"/>
              <w:lang w:val="it-IT" w:eastAsia="it-IT"/>
              <w14:ligatures w14:val="standardContextual"/>
            </w:rPr>
          </w:pPr>
          <w:hyperlink w:anchor="_Toc167131782" w:history="1">
            <w:r w:rsidRPr="00915ADB">
              <w:rPr>
                <w:rStyle w:val="Collegamentoipertestuale"/>
                <w:rFonts w:cs="Segoe UI"/>
                <w:lang w:val="en-GB"/>
              </w:rPr>
              <w:t>Exhibit 14: Average 1-year default rates by company size (table)</w:t>
            </w:r>
            <w:r w:rsidRPr="00915ADB">
              <w:rPr>
                <w:webHidden/>
              </w:rPr>
              <w:tab/>
            </w:r>
            <w:r w:rsidRPr="00915ADB">
              <w:rPr>
                <w:webHidden/>
              </w:rPr>
              <w:fldChar w:fldCharType="begin"/>
            </w:r>
            <w:r w:rsidRPr="00915ADB">
              <w:rPr>
                <w:webHidden/>
              </w:rPr>
              <w:instrText xml:space="preserve"> PAGEREF _Toc167131782 \h </w:instrText>
            </w:r>
            <w:r w:rsidRPr="00915ADB">
              <w:rPr>
                <w:webHidden/>
              </w:rPr>
            </w:r>
            <w:r w:rsidRPr="00915ADB">
              <w:rPr>
                <w:webHidden/>
              </w:rPr>
              <w:fldChar w:fldCharType="separate"/>
            </w:r>
            <w:r w:rsidRPr="00915ADB">
              <w:rPr>
                <w:webHidden/>
              </w:rPr>
              <w:t>15</w:t>
            </w:r>
            <w:r w:rsidRPr="00915ADB">
              <w:rPr>
                <w:webHidden/>
              </w:rPr>
              <w:fldChar w:fldCharType="end"/>
            </w:r>
          </w:hyperlink>
        </w:p>
        <w:p w14:paraId="3AB1B9FD" w14:textId="4D5544F0" w:rsidR="00644EB8" w:rsidRPr="00915ADB" w:rsidRDefault="00644EB8">
          <w:pPr>
            <w:pStyle w:val="Indicedellefigure"/>
            <w:rPr>
              <w:rFonts w:eastAsiaTheme="minorEastAsia"/>
              <w:color w:val="auto"/>
              <w:kern w:val="2"/>
              <w:lang w:val="it-IT" w:eastAsia="it-IT"/>
              <w14:ligatures w14:val="standardContextual"/>
            </w:rPr>
          </w:pPr>
          <w:hyperlink w:anchor="_Toc167131783" w:history="1">
            <w:r w:rsidRPr="00915ADB">
              <w:rPr>
                <w:rStyle w:val="Collegamentoipertestuale"/>
                <w:rFonts w:cs="Segoe UI"/>
                <w:lang w:val="en-GB"/>
              </w:rPr>
              <w:t>Exhibit 15: Average 1-year default rates by company size (graph)</w:t>
            </w:r>
            <w:r w:rsidRPr="00915ADB">
              <w:rPr>
                <w:webHidden/>
              </w:rPr>
              <w:tab/>
            </w:r>
            <w:r w:rsidRPr="00915ADB">
              <w:rPr>
                <w:webHidden/>
              </w:rPr>
              <w:fldChar w:fldCharType="begin"/>
            </w:r>
            <w:r w:rsidRPr="00915ADB">
              <w:rPr>
                <w:webHidden/>
              </w:rPr>
              <w:instrText xml:space="preserve"> PAGEREF _Toc167131783 \h </w:instrText>
            </w:r>
            <w:r w:rsidRPr="00915ADB">
              <w:rPr>
                <w:webHidden/>
              </w:rPr>
            </w:r>
            <w:r w:rsidRPr="00915ADB">
              <w:rPr>
                <w:webHidden/>
              </w:rPr>
              <w:fldChar w:fldCharType="separate"/>
            </w:r>
            <w:r w:rsidRPr="00915ADB">
              <w:rPr>
                <w:webHidden/>
              </w:rPr>
              <w:t>16</w:t>
            </w:r>
            <w:r w:rsidRPr="00915ADB">
              <w:rPr>
                <w:webHidden/>
              </w:rPr>
              <w:fldChar w:fldCharType="end"/>
            </w:r>
          </w:hyperlink>
        </w:p>
        <w:p w14:paraId="4F38FDEB" w14:textId="007A31F9" w:rsidR="00644EB8" w:rsidRPr="00915ADB" w:rsidRDefault="00644EB8">
          <w:pPr>
            <w:pStyle w:val="Indicedellefigure"/>
            <w:rPr>
              <w:rFonts w:eastAsiaTheme="minorEastAsia"/>
              <w:color w:val="auto"/>
              <w:kern w:val="2"/>
              <w:lang w:val="it-IT" w:eastAsia="it-IT"/>
              <w14:ligatures w14:val="standardContextual"/>
            </w:rPr>
          </w:pPr>
          <w:hyperlink w:anchor="_Toc167131784" w:history="1">
            <w:r w:rsidRPr="00915ADB">
              <w:rPr>
                <w:rStyle w:val="Collegamentoipertestuale"/>
                <w:rFonts w:cs="Segoe UI"/>
                <w:lang w:val="en-GB"/>
              </w:rPr>
              <w:t>Exhibit 16: Average 1-year default rates by geographical area</w:t>
            </w:r>
            <w:r w:rsidRPr="00915ADB">
              <w:rPr>
                <w:webHidden/>
              </w:rPr>
              <w:tab/>
            </w:r>
            <w:r w:rsidRPr="00915ADB">
              <w:rPr>
                <w:webHidden/>
              </w:rPr>
              <w:fldChar w:fldCharType="begin"/>
            </w:r>
            <w:r w:rsidRPr="00915ADB">
              <w:rPr>
                <w:webHidden/>
              </w:rPr>
              <w:instrText xml:space="preserve"> PAGEREF _Toc167131784 \h </w:instrText>
            </w:r>
            <w:r w:rsidRPr="00915ADB">
              <w:rPr>
                <w:webHidden/>
              </w:rPr>
            </w:r>
            <w:r w:rsidRPr="00915ADB">
              <w:rPr>
                <w:webHidden/>
              </w:rPr>
              <w:fldChar w:fldCharType="separate"/>
            </w:r>
            <w:r w:rsidRPr="00915ADB">
              <w:rPr>
                <w:webHidden/>
              </w:rPr>
              <w:t>16</w:t>
            </w:r>
            <w:r w:rsidRPr="00915ADB">
              <w:rPr>
                <w:webHidden/>
              </w:rPr>
              <w:fldChar w:fldCharType="end"/>
            </w:r>
          </w:hyperlink>
        </w:p>
        <w:p w14:paraId="5872067F" w14:textId="6401756E" w:rsidR="00644EB8" w:rsidRPr="00915ADB" w:rsidRDefault="00644EB8">
          <w:pPr>
            <w:pStyle w:val="Indicedellefigure"/>
            <w:rPr>
              <w:rFonts w:eastAsiaTheme="minorEastAsia"/>
              <w:color w:val="auto"/>
              <w:kern w:val="2"/>
              <w:lang w:val="it-IT" w:eastAsia="it-IT"/>
              <w14:ligatures w14:val="standardContextual"/>
            </w:rPr>
          </w:pPr>
          <w:hyperlink w:anchor="_Toc167131785" w:history="1">
            <w:r w:rsidRPr="00915ADB">
              <w:rPr>
                <w:rStyle w:val="Collegamentoipertestuale"/>
                <w:rFonts w:cs="Segoe UI"/>
                <w:lang w:val="en-GB"/>
              </w:rPr>
              <w:t>Exhibit 17: Regional map of average 1-year default rates</w:t>
            </w:r>
            <w:r w:rsidRPr="00915ADB">
              <w:rPr>
                <w:webHidden/>
              </w:rPr>
              <w:tab/>
            </w:r>
            <w:r w:rsidRPr="00915ADB">
              <w:rPr>
                <w:webHidden/>
              </w:rPr>
              <w:fldChar w:fldCharType="begin"/>
            </w:r>
            <w:r w:rsidRPr="00915ADB">
              <w:rPr>
                <w:webHidden/>
              </w:rPr>
              <w:instrText xml:space="preserve"> PAGEREF _Toc167131785 \h </w:instrText>
            </w:r>
            <w:r w:rsidRPr="00915ADB">
              <w:rPr>
                <w:webHidden/>
              </w:rPr>
            </w:r>
            <w:r w:rsidRPr="00915ADB">
              <w:rPr>
                <w:webHidden/>
              </w:rPr>
              <w:fldChar w:fldCharType="separate"/>
            </w:r>
            <w:r w:rsidRPr="00915ADB">
              <w:rPr>
                <w:webHidden/>
              </w:rPr>
              <w:t>17</w:t>
            </w:r>
            <w:r w:rsidRPr="00915ADB">
              <w:rPr>
                <w:webHidden/>
              </w:rPr>
              <w:fldChar w:fldCharType="end"/>
            </w:r>
          </w:hyperlink>
        </w:p>
        <w:p w14:paraId="29702615" w14:textId="456D84A3" w:rsidR="00644EB8" w:rsidRPr="00915ADB" w:rsidRDefault="00644EB8">
          <w:pPr>
            <w:pStyle w:val="Indicedellefigure"/>
            <w:rPr>
              <w:rFonts w:eastAsiaTheme="minorEastAsia"/>
              <w:color w:val="auto"/>
              <w:kern w:val="2"/>
              <w:lang w:val="it-IT" w:eastAsia="it-IT"/>
              <w14:ligatures w14:val="standardContextual"/>
            </w:rPr>
          </w:pPr>
          <w:hyperlink w:anchor="_Toc167131786" w:history="1">
            <w:r w:rsidRPr="00915ADB">
              <w:rPr>
                <w:rStyle w:val="Collegamentoipertestuale"/>
                <w:rFonts w:cs="Segoe UI"/>
                <w:lang w:val="en-GB"/>
              </w:rPr>
              <w:t>Exhibit 18: Breakdown of defaulted rated entities by risk categories (1-year default events)</w:t>
            </w:r>
            <w:r w:rsidRPr="00915ADB">
              <w:rPr>
                <w:webHidden/>
              </w:rPr>
              <w:tab/>
            </w:r>
            <w:r w:rsidRPr="00915ADB">
              <w:rPr>
                <w:webHidden/>
              </w:rPr>
              <w:fldChar w:fldCharType="begin"/>
            </w:r>
            <w:r w:rsidRPr="00915ADB">
              <w:rPr>
                <w:webHidden/>
              </w:rPr>
              <w:instrText xml:space="preserve"> PAGEREF _Toc167131786 \h </w:instrText>
            </w:r>
            <w:r w:rsidRPr="00915ADB">
              <w:rPr>
                <w:webHidden/>
              </w:rPr>
            </w:r>
            <w:r w:rsidRPr="00915ADB">
              <w:rPr>
                <w:webHidden/>
              </w:rPr>
              <w:fldChar w:fldCharType="separate"/>
            </w:r>
            <w:r w:rsidRPr="00915ADB">
              <w:rPr>
                <w:webHidden/>
              </w:rPr>
              <w:t>17</w:t>
            </w:r>
            <w:r w:rsidRPr="00915ADB">
              <w:rPr>
                <w:webHidden/>
              </w:rPr>
              <w:fldChar w:fldCharType="end"/>
            </w:r>
          </w:hyperlink>
        </w:p>
        <w:p w14:paraId="4E71B557" w14:textId="06286ACD" w:rsidR="00644EB8" w:rsidRPr="00915ADB" w:rsidRDefault="00644EB8">
          <w:pPr>
            <w:pStyle w:val="Indicedellefigure"/>
            <w:rPr>
              <w:rFonts w:eastAsiaTheme="minorEastAsia"/>
              <w:color w:val="auto"/>
              <w:kern w:val="2"/>
              <w:lang w:val="it-IT" w:eastAsia="it-IT"/>
              <w14:ligatures w14:val="standardContextual"/>
            </w:rPr>
          </w:pPr>
          <w:hyperlink w:anchor="_Toc167131787" w:history="1">
            <w:r w:rsidRPr="00915ADB">
              <w:rPr>
                <w:rStyle w:val="Collegamentoipertestuale"/>
                <w:rFonts w:cs="Segoe UI"/>
                <w:lang w:val="en-GB"/>
              </w:rPr>
              <w:t>Exhibit 19: Average 1-year default rates (Investment, Speculative and total portfolio)</w:t>
            </w:r>
            <w:r w:rsidRPr="00915ADB">
              <w:rPr>
                <w:webHidden/>
              </w:rPr>
              <w:tab/>
            </w:r>
            <w:r w:rsidRPr="00915ADB">
              <w:rPr>
                <w:webHidden/>
              </w:rPr>
              <w:fldChar w:fldCharType="begin"/>
            </w:r>
            <w:r w:rsidRPr="00915ADB">
              <w:rPr>
                <w:webHidden/>
              </w:rPr>
              <w:instrText xml:space="preserve"> PAGEREF _Toc167131787 \h </w:instrText>
            </w:r>
            <w:r w:rsidRPr="00915ADB">
              <w:rPr>
                <w:webHidden/>
              </w:rPr>
            </w:r>
            <w:r w:rsidRPr="00915ADB">
              <w:rPr>
                <w:webHidden/>
              </w:rPr>
              <w:fldChar w:fldCharType="separate"/>
            </w:r>
            <w:r w:rsidRPr="00915ADB">
              <w:rPr>
                <w:webHidden/>
              </w:rPr>
              <w:t>18</w:t>
            </w:r>
            <w:r w:rsidRPr="00915ADB">
              <w:rPr>
                <w:webHidden/>
              </w:rPr>
              <w:fldChar w:fldCharType="end"/>
            </w:r>
          </w:hyperlink>
        </w:p>
        <w:p w14:paraId="7B46AFE8" w14:textId="2E000C50" w:rsidR="00644EB8" w:rsidRPr="00915ADB" w:rsidRDefault="00644EB8">
          <w:pPr>
            <w:pStyle w:val="Indicedellefigure"/>
            <w:rPr>
              <w:rFonts w:eastAsiaTheme="minorEastAsia"/>
              <w:color w:val="auto"/>
              <w:kern w:val="2"/>
              <w:lang w:val="it-IT" w:eastAsia="it-IT"/>
              <w14:ligatures w14:val="standardContextual"/>
            </w:rPr>
          </w:pPr>
          <w:hyperlink w:anchor="_Toc167131788" w:history="1">
            <w:r w:rsidRPr="00915ADB">
              <w:rPr>
                <w:rStyle w:val="Collegamentoipertestuale"/>
                <w:rFonts w:cs="Segoe UI"/>
                <w:lang w:val="en-GB"/>
              </w:rPr>
              <w:t>Exhibit 20: Breakdown of defaulted entities by risk area</w:t>
            </w:r>
            <w:r w:rsidRPr="00915ADB">
              <w:rPr>
                <w:webHidden/>
              </w:rPr>
              <w:tab/>
            </w:r>
            <w:r w:rsidRPr="00915ADB">
              <w:rPr>
                <w:webHidden/>
              </w:rPr>
              <w:fldChar w:fldCharType="begin"/>
            </w:r>
            <w:r w:rsidRPr="00915ADB">
              <w:rPr>
                <w:webHidden/>
              </w:rPr>
              <w:instrText xml:space="preserve"> PAGEREF _Toc167131788 \h </w:instrText>
            </w:r>
            <w:r w:rsidRPr="00915ADB">
              <w:rPr>
                <w:webHidden/>
              </w:rPr>
            </w:r>
            <w:r w:rsidRPr="00915ADB">
              <w:rPr>
                <w:webHidden/>
              </w:rPr>
              <w:fldChar w:fldCharType="separate"/>
            </w:r>
            <w:r w:rsidRPr="00915ADB">
              <w:rPr>
                <w:webHidden/>
              </w:rPr>
              <w:t>19</w:t>
            </w:r>
            <w:r w:rsidRPr="00915ADB">
              <w:rPr>
                <w:webHidden/>
              </w:rPr>
              <w:fldChar w:fldCharType="end"/>
            </w:r>
          </w:hyperlink>
        </w:p>
        <w:p w14:paraId="61D7474C" w14:textId="57A48162" w:rsidR="00644EB8" w:rsidRPr="00915ADB" w:rsidRDefault="00644EB8">
          <w:pPr>
            <w:pStyle w:val="Indicedellefigure"/>
            <w:rPr>
              <w:rFonts w:eastAsiaTheme="minorEastAsia"/>
              <w:color w:val="auto"/>
              <w:kern w:val="2"/>
              <w:lang w:val="it-IT" w:eastAsia="it-IT"/>
              <w14:ligatures w14:val="standardContextual"/>
            </w:rPr>
          </w:pPr>
          <w:hyperlink w:anchor="_Toc167131789" w:history="1">
            <w:r w:rsidRPr="00915ADB">
              <w:rPr>
                <w:rStyle w:val="Collegamentoipertestuale"/>
                <w:rFonts w:cs="Segoe UI"/>
                <w:lang w:val="en-GB"/>
              </w:rPr>
              <w:t>Exhibit 21: Average default rates by risk area (1-year default rates)</w:t>
            </w:r>
            <w:r w:rsidRPr="00915ADB">
              <w:rPr>
                <w:webHidden/>
              </w:rPr>
              <w:tab/>
            </w:r>
            <w:r w:rsidRPr="00915ADB">
              <w:rPr>
                <w:webHidden/>
              </w:rPr>
              <w:fldChar w:fldCharType="begin"/>
            </w:r>
            <w:r w:rsidRPr="00915ADB">
              <w:rPr>
                <w:webHidden/>
              </w:rPr>
              <w:instrText xml:space="preserve"> PAGEREF _Toc167131789 \h </w:instrText>
            </w:r>
            <w:r w:rsidRPr="00915ADB">
              <w:rPr>
                <w:webHidden/>
              </w:rPr>
            </w:r>
            <w:r w:rsidRPr="00915ADB">
              <w:rPr>
                <w:webHidden/>
              </w:rPr>
              <w:fldChar w:fldCharType="separate"/>
            </w:r>
            <w:r w:rsidRPr="00915ADB">
              <w:rPr>
                <w:webHidden/>
              </w:rPr>
              <w:t>19</w:t>
            </w:r>
            <w:r w:rsidRPr="00915ADB">
              <w:rPr>
                <w:webHidden/>
              </w:rPr>
              <w:fldChar w:fldCharType="end"/>
            </w:r>
          </w:hyperlink>
        </w:p>
        <w:p w14:paraId="1AD71DBB" w14:textId="545D6E57" w:rsidR="00644EB8" w:rsidRPr="00915ADB" w:rsidRDefault="00644EB8">
          <w:pPr>
            <w:pStyle w:val="Indicedellefigure"/>
            <w:rPr>
              <w:rFonts w:eastAsiaTheme="minorEastAsia"/>
              <w:color w:val="auto"/>
              <w:kern w:val="2"/>
              <w:lang w:val="it-IT" w:eastAsia="it-IT"/>
              <w14:ligatures w14:val="standardContextual"/>
            </w:rPr>
          </w:pPr>
          <w:hyperlink w:anchor="_Toc167131790" w:history="1">
            <w:r w:rsidRPr="00915ADB">
              <w:rPr>
                <w:rStyle w:val="Collegamentoipertestuale"/>
                <w:rFonts w:cs="Segoe UI"/>
                <w:lang w:val="en-GB"/>
              </w:rPr>
              <w:t>Exhibit 22: Breakdown of average default rates by rating class detailed by static pool</w:t>
            </w:r>
            <w:r w:rsidRPr="00915ADB">
              <w:rPr>
                <w:webHidden/>
              </w:rPr>
              <w:tab/>
            </w:r>
            <w:r w:rsidRPr="00915ADB">
              <w:rPr>
                <w:webHidden/>
              </w:rPr>
              <w:fldChar w:fldCharType="begin"/>
            </w:r>
            <w:r w:rsidRPr="00915ADB">
              <w:rPr>
                <w:webHidden/>
              </w:rPr>
              <w:instrText xml:space="preserve"> PAGEREF _Toc167131790 \h </w:instrText>
            </w:r>
            <w:r w:rsidRPr="00915ADB">
              <w:rPr>
                <w:webHidden/>
              </w:rPr>
            </w:r>
            <w:r w:rsidRPr="00915ADB">
              <w:rPr>
                <w:webHidden/>
              </w:rPr>
              <w:fldChar w:fldCharType="separate"/>
            </w:r>
            <w:r w:rsidRPr="00915ADB">
              <w:rPr>
                <w:webHidden/>
              </w:rPr>
              <w:t>20</w:t>
            </w:r>
            <w:r w:rsidRPr="00915ADB">
              <w:rPr>
                <w:webHidden/>
              </w:rPr>
              <w:fldChar w:fldCharType="end"/>
            </w:r>
          </w:hyperlink>
        </w:p>
        <w:p w14:paraId="499C50B8" w14:textId="754EE104" w:rsidR="00644EB8" w:rsidRPr="00915ADB" w:rsidRDefault="00644EB8">
          <w:pPr>
            <w:pStyle w:val="Indicedellefigure"/>
            <w:rPr>
              <w:rFonts w:eastAsiaTheme="minorEastAsia"/>
              <w:color w:val="auto"/>
              <w:kern w:val="2"/>
              <w:lang w:val="it-IT" w:eastAsia="it-IT"/>
              <w14:ligatures w14:val="standardContextual"/>
            </w:rPr>
          </w:pPr>
          <w:hyperlink w:anchor="_Toc167131791" w:history="1">
            <w:r w:rsidRPr="00915ADB">
              <w:rPr>
                <w:rStyle w:val="Collegamentoipertestuale"/>
                <w:rFonts w:cs="Segoe UI"/>
                <w:lang w:val="en-GB"/>
              </w:rPr>
              <w:t>Exhibit 23: 1-year average Cumulative Accuracy Profile</w:t>
            </w:r>
            <w:r w:rsidRPr="00915ADB">
              <w:rPr>
                <w:webHidden/>
              </w:rPr>
              <w:tab/>
            </w:r>
            <w:r w:rsidRPr="00915ADB">
              <w:rPr>
                <w:webHidden/>
              </w:rPr>
              <w:fldChar w:fldCharType="begin"/>
            </w:r>
            <w:r w:rsidRPr="00915ADB">
              <w:rPr>
                <w:webHidden/>
              </w:rPr>
              <w:instrText xml:space="preserve"> PAGEREF _Toc167131791 \h </w:instrText>
            </w:r>
            <w:r w:rsidRPr="00915ADB">
              <w:rPr>
                <w:webHidden/>
              </w:rPr>
            </w:r>
            <w:r w:rsidRPr="00915ADB">
              <w:rPr>
                <w:webHidden/>
              </w:rPr>
              <w:fldChar w:fldCharType="separate"/>
            </w:r>
            <w:r w:rsidRPr="00915ADB">
              <w:rPr>
                <w:webHidden/>
              </w:rPr>
              <w:t>22</w:t>
            </w:r>
            <w:r w:rsidRPr="00915ADB">
              <w:rPr>
                <w:webHidden/>
              </w:rPr>
              <w:fldChar w:fldCharType="end"/>
            </w:r>
          </w:hyperlink>
        </w:p>
        <w:p w14:paraId="0CD18F1E" w14:textId="039457EE" w:rsidR="00644EB8" w:rsidRPr="00915ADB" w:rsidRDefault="00644EB8">
          <w:pPr>
            <w:pStyle w:val="Indicedellefigure"/>
            <w:rPr>
              <w:rFonts w:eastAsiaTheme="minorEastAsia"/>
              <w:color w:val="auto"/>
              <w:kern w:val="2"/>
              <w:lang w:val="it-IT" w:eastAsia="it-IT"/>
              <w14:ligatures w14:val="standardContextual"/>
            </w:rPr>
          </w:pPr>
          <w:hyperlink w:anchor="_Toc167131792" w:history="1">
            <w:r w:rsidRPr="00915ADB">
              <w:rPr>
                <w:rStyle w:val="Collegamentoipertestuale"/>
                <w:rFonts w:cs="Segoe UI"/>
                <w:lang w:val="en-GB"/>
              </w:rPr>
              <w:t>Exhibit 24: Trend of the 1-year Accuracy Ratio</w:t>
            </w:r>
            <w:r w:rsidRPr="00915ADB">
              <w:rPr>
                <w:webHidden/>
              </w:rPr>
              <w:tab/>
            </w:r>
            <w:r w:rsidRPr="00915ADB">
              <w:rPr>
                <w:webHidden/>
              </w:rPr>
              <w:fldChar w:fldCharType="begin"/>
            </w:r>
            <w:r w:rsidRPr="00915ADB">
              <w:rPr>
                <w:webHidden/>
              </w:rPr>
              <w:instrText xml:space="preserve"> PAGEREF _Toc167131792 \h </w:instrText>
            </w:r>
            <w:r w:rsidRPr="00915ADB">
              <w:rPr>
                <w:webHidden/>
              </w:rPr>
            </w:r>
            <w:r w:rsidRPr="00915ADB">
              <w:rPr>
                <w:webHidden/>
              </w:rPr>
              <w:fldChar w:fldCharType="separate"/>
            </w:r>
            <w:r w:rsidRPr="00915ADB">
              <w:rPr>
                <w:webHidden/>
              </w:rPr>
              <w:t>22</w:t>
            </w:r>
            <w:r w:rsidRPr="00915ADB">
              <w:rPr>
                <w:webHidden/>
              </w:rPr>
              <w:fldChar w:fldCharType="end"/>
            </w:r>
          </w:hyperlink>
        </w:p>
        <w:p w14:paraId="5E6C376E" w14:textId="4581B98E" w:rsidR="00644EB8" w:rsidRPr="00915ADB" w:rsidRDefault="00644EB8">
          <w:pPr>
            <w:pStyle w:val="Indicedellefigure"/>
            <w:rPr>
              <w:rFonts w:eastAsiaTheme="minorEastAsia"/>
              <w:color w:val="auto"/>
              <w:kern w:val="2"/>
              <w:lang w:val="it-IT" w:eastAsia="it-IT"/>
              <w14:ligatures w14:val="standardContextual"/>
            </w:rPr>
          </w:pPr>
          <w:hyperlink w:anchor="_Toc167131793" w:history="1">
            <w:r w:rsidRPr="00915ADB">
              <w:rPr>
                <w:rStyle w:val="Collegamentoipertestuale"/>
                <w:rFonts w:cs="Segoe UI"/>
                <w:lang w:val="en-GB"/>
              </w:rPr>
              <w:t>Exhibit 25: Cumulative default rates (table)</w:t>
            </w:r>
            <w:r w:rsidRPr="00915ADB">
              <w:rPr>
                <w:webHidden/>
              </w:rPr>
              <w:tab/>
            </w:r>
            <w:r w:rsidRPr="00915ADB">
              <w:rPr>
                <w:webHidden/>
              </w:rPr>
              <w:fldChar w:fldCharType="begin"/>
            </w:r>
            <w:r w:rsidRPr="00915ADB">
              <w:rPr>
                <w:webHidden/>
              </w:rPr>
              <w:instrText xml:space="preserve"> PAGEREF _Toc167131793 \h </w:instrText>
            </w:r>
            <w:r w:rsidRPr="00915ADB">
              <w:rPr>
                <w:webHidden/>
              </w:rPr>
            </w:r>
            <w:r w:rsidRPr="00915ADB">
              <w:rPr>
                <w:webHidden/>
              </w:rPr>
              <w:fldChar w:fldCharType="separate"/>
            </w:r>
            <w:r w:rsidRPr="00915ADB">
              <w:rPr>
                <w:webHidden/>
              </w:rPr>
              <w:t>23</w:t>
            </w:r>
            <w:r w:rsidRPr="00915ADB">
              <w:rPr>
                <w:webHidden/>
              </w:rPr>
              <w:fldChar w:fldCharType="end"/>
            </w:r>
          </w:hyperlink>
        </w:p>
        <w:p w14:paraId="78976660" w14:textId="2091AD19" w:rsidR="00644EB8" w:rsidRPr="00915ADB" w:rsidRDefault="00644EB8">
          <w:pPr>
            <w:pStyle w:val="Indicedellefigure"/>
            <w:rPr>
              <w:rFonts w:eastAsiaTheme="minorEastAsia"/>
              <w:color w:val="auto"/>
              <w:kern w:val="2"/>
              <w:lang w:val="it-IT" w:eastAsia="it-IT"/>
              <w14:ligatures w14:val="standardContextual"/>
            </w:rPr>
          </w:pPr>
          <w:hyperlink w:anchor="_Toc167131794" w:history="1">
            <w:r w:rsidRPr="00915ADB">
              <w:rPr>
                <w:rStyle w:val="Collegamentoipertestuale"/>
                <w:rFonts w:cs="Segoe UI"/>
                <w:lang w:val="en-GB"/>
              </w:rPr>
              <w:t>Exhibit 26: Cumulative default rates (graph)</w:t>
            </w:r>
            <w:r w:rsidRPr="00915ADB">
              <w:rPr>
                <w:webHidden/>
              </w:rPr>
              <w:tab/>
            </w:r>
            <w:r w:rsidRPr="00915ADB">
              <w:rPr>
                <w:webHidden/>
              </w:rPr>
              <w:fldChar w:fldCharType="begin"/>
            </w:r>
            <w:r w:rsidRPr="00915ADB">
              <w:rPr>
                <w:webHidden/>
              </w:rPr>
              <w:instrText xml:space="preserve"> PAGEREF _Toc167131794 \h </w:instrText>
            </w:r>
            <w:r w:rsidRPr="00915ADB">
              <w:rPr>
                <w:webHidden/>
              </w:rPr>
            </w:r>
            <w:r w:rsidRPr="00915ADB">
              <w:rPr>
                <w:webHidden/>
              </w:rPr>
              <w:fldChar w:fldCharType="separate"/>
            </w:r>
            <w:r w:rsidRPr="00915ADB">
              <w:rPr>
                <w:webHidden/>
              </w:rPr>
              <w:t>24</w:t>
            </w:r>
            <w:r w:rsidRPr="00915ADB">
              <w:rPr>
                <w:webHidden/>
              </w:rPr>
              <w:fldChar w:fldCharType="end"/>
            </w:r>
          </w:hyperlink>
        </w:p>
        <w:p w14:paraId="633F74E6" w14:textId="00941853" w:rsidR="00644EB8" w:rsidRPr="00915ADB" w:rsidRDefault="00644EB8">
          <w:pPr>
            <w:pStyle w:val="Indicedellefigure"/>
            <w:rPr>
              <w:rFonts w:eastAsiaTheme="minorEastAsia"/>
              <w:color w:val="auto"/>
              <w:kern w:val="2"/>
              <w:lang w:val="it-IT" w:eastAsia="it-IT"/>
              <w14:ligatures w14:val="standardContextual"/>
            </w:rPr>
          </w:pPr>
          <w:hyperlink w:anchor="_Toc167131795" w:history="1">
            <w:r w:rsidRPr="00915ADB">
              <w:rPr>
                <w:rStyle w:val="Collegamentoipertestuale"/>
                <w:rFonts w:cs="Segoe UI"/>
                <w:lang w:val="en-GB"/>
              </w:rPr>
              <w:t>Exhibit 27: Average cumulative default rates by risk category</w:t>
            </w:r>
            <w:r w:rsidRPr="00915ADB">
              <w:rPr>
                <w:webHidden/>
              </w:rPr>
              <w:tab/>
            </w:r>
            <w:r w:rsidRPr="00915ADB">
              <w:rPr>
                <w:webHidden/>
              </w:rPr>
              <w:fldChar w:fldCharType="begin"/>
            </w:r>
            <w:r w:rsidRPr="00915ADB">
              <w:rPr>
                <w:webHidden/>
              </w:rPr>
              <w:instrText xml:space="preserve"> PAGEREF _Toc167131795 \h </w:instrText>
            </w:r>
            <w:r w:rsidRPr="00915ADB">
              <w:rPr>
                <w:webHidden/>
              </w:rPr>
            </w:r>
            <w:r w:rsidRPr="00915ADB">
              <w:rPr>
                <w:webHidden/>
              </w:rPr>
              <w:fldChar w:fldCharType="separate"/>
            </w:r>
            <w:r w:rsidRPr="00915ADB">
              <w:rPr>
                <w:webHidden/>
              </w:rPr>
              <w:t>25</w:t>
            </w:r>
            <w:r w:rsidRPr="00915ADB">
              <w:rPr>
                <w:webHidden/>
              </w:rPr>
              <w:fldChar w:fldCharType="end"/>
            </w:r>
          </w:hyperlink>
        </w:p>
        <w:p w14:paraId="1474777F" w14:textId="5858AB78" w:rsidR="00644EB8" w:rsidRPr="00915ADB" w:rsidRDefault="00644EB8">
          <w:pPr>
            <w:pStyle w:val="Indicedellefigure"/>
            <w:rPr>
              <w:rFonts w:eastAsiaTheme="minorEastAsia"/>
              <w:color w:val="auto"/>
              <w:kern w:val="2"/>
              <w:lang w:val="it-IT" w:eastAsia="it-IT"/>
              <w14:ligatures w14:val="standardContextual"/>
            </w:rPr>
          </w:pPr>
          <w:hyperlink w:anchor="_Toc167131796" w:history="1">
            <w:r w:rsidRPr="00915ADB">
              <w:rPr>
                <w:rStyle w:val="Collegamentoipertestuale"/>
                <w:rFonts w:cs="Segoe UI"/>
                <w:lang w:val="en-GB"/>
              </w:rPr>
              <w:t>Exhibit 28: Cumulative default rates by rating category</w:t>
            </w:r>
            <w:r w:rsidRPr="00915ADB">
              <w:rPr>
                <w:webHidden/>
              </w:rPr>
              <w:tab/>
            </w:r>
            <w:r w:rsidRPr="00915ADB">
              <w:rPr>
                <w:webHidden/>
              </w:rPr>
              <w:fldChar w:fldCharType="begin"/>
            </w:r>
            <w:r w:rsidRPr="00915ADB">
              <w:rPr>
                <w:webHidden/>
              </w:rPr>
              <w:instrText xml:space="preserve"> PAGEREF _Toc167131796 \h </w:instrText>
            </w:r>
            <w:r w:rsidRPr="00915ADB">
              <w:rPr>
                <w:webHidden/>
              </w:rPr>
            </w:r>
            <w:r w:rsidRPr="00915ADB">
              <w:rPr>
                <w:webHidden/>
              </w:rPr>
              <w:fldChar w:fldCharType="separate"/>
            </w:r>
            <w:r w:rsidRPr="00915ADB">
              <w:rPr>
                <w:webHidden/>
              </w:rPr>
              <w:t>26</w:t>
            </w:r>
            <w:r w:rsidRPr="00915ADB">
              <w:rPr>
                <w:webHidden/>
              </w:rPr>
              <w:fldChar w:fldCharType="end"/>
            </w:r>
          </w:hyperlink>
        </w:p>
        <w:p w14:paraId="5318F1BE" w14:textId="5C8D035E" w:rsidR="00644EB8" w:rsidRPr="00915ADB" w:rsidRDefault="00644EB8">
          <w:pPr>
            <w:pStyle w:val="Indicedellefigure"/>
            <w:rPr>
              <w:rFonts w:eastAsiaTheme="minorEastAsia"/>
              <w:color w:val="auto"/>
              <w:kern w:val="2"/>
              <w:lang w:val="it-IT" w:eastAsia="it-IT"/>
              <w14:ligatures w14:val="standardContextual"/>
            </w:rPr>
          </w:pPr>
          <w:hyperlink w:anchor="_Toc167131797" w:history="1">
            <w:r w:rsidRPr="00915ADB">
              <w:rPr>
                <w:rStyle w:val="Collegamentoipertestuale"/>
                <w:rFonts w:cs="Segoe UI"/>
                <w:lang w:val="en-GB"/>
              </w:rPr>
              <w:t>Exhibit 29: Cumulative default rates by risk area</w:t>
            </w:r>
            <w:r w:rsidRPr="00915ADB">
              <w:rPr>
                <w:webHidden/>
              </w:rPr>
              <w:tab/>
            </w:r>
            <w:r w:rsidRPr="00915ADB">
              <w:rPr>
                <w:webHidden/>
              </w:rPr>
              <w:fldChar w:fldCharType="begin"/>
            </w:r>
            <w:r w:rsidRPr="00915ADB">
              <w:rPr>
                <w:webHidden/>
              </w:rPr>
              <w:instrText xml:space="preserve"> PAGEREF _Toc167131797 \h </w:instrText>
            </w:r>
            <w:r w:rsidRPr="00915ADB">
              <w:rPr>
                <w:webHidden/>
              </w:rPr>
            </w:r>
            <w:r w:rsidRPr="00915ADB">
              <w:rPr>
                <w:webHidden/>
              </w:rPr>
              <w:fldChar w:fldCharType="separate"/>
            </w:r>
            <w:r w:rsidRPr="00915ADB">
              <w:rPr>
                <w:webHidden/>
              </w:rPr>
              <w:t>26</w:t>
            </w:r>
            <w:r w:rsidRPr="00915ADB">
              <w:rPr>
                <w:webHidden/>
              </w:rPr>
              <w:fldChar w:fldCharType="end"/>
            </w:r>
          </w:hyperlink>
        </w:p>
        <w:p w14:paraId="7EFEDF1C" w14:textId="7D6E2AE6" w:rsidR="00644EB8" w:rsidRPr="00915ADB" w:rsidRDefault="00644EB8">
          <w:pPr>
            <w:pStyle w:val="Indicedellefigure"/>
            <w:rPr>
              <w:rFonts w:eastAsiaTheme="minorEastAsia"/>
              <w:color w:val="auto"/>
              <w:kern w:val="2"/>
              <w:lang w:val="it-IT" w:eastAsia="it-IT"/>
              <w14:ligatures w14:val="standardContextual"/>
            </w:rPr>
          </w:pPr>
          <w:hyperlink w:anchor="_Toc167131798" w:history="1">
            <w:r w:rsidRPr="00915ADB">
              <w:rPr>
                <w:rStyle w:val="Collegamentoipertestuale"/>
                <w:rFonts w:cs="Segoe UI"/>
                <w:lang w:val="en-GB"/>
              </w:rPr>
              <w:t>Exhibit 30: Static pool as of 31</w:t>
            </w:r>
            <w:r w:rsidRPr="00915ADB">
              <w:rPr>
                <w:rStyle w:val="Collegamentoipertestuale"/>
                <w:rFonts w:cs="Segoe UI"/>
                <w:vertAlign w:val="superscript"/>
                <w:lang w:val="en-GB"/>
              </w:rPr>
              <w:t>st</w:t>
            </w:r>
            <w:r w:rsidRPr="00915ADB">
              <w:rPr>
                <w:rStyle w:val="Collegamentoipertestuale"/>
                <w:rFonts w:cs="Segoe UI"/>
                <w:lang w:val="en-GB"/>
              </w:rPr>
              <w:t xml:space="preserve"> December 2008</w:t>
            </w:r>
            <w:r w:rsidRPr="00915ADB">
              <w:rPr>
                <w:webHidden/>
              </w:rPr>
              <w:tab/>
            </w:r>
            <w:r w:rsidRPr="00915ADB">
              <w:rPr>
                <w:webHidden/>
              </w:rPr>
              <w:fldChar w:fldCharType="begin"/>
            </w:r>
            <w:r w:rsidRPr="00915ADB">
              <w:rPr>
                <w:webHidden/>
              </w:rPr>
              <w:instrText xml:space="preserve"> PAGEREF _Toc167131798 \h </w:instrText>
            </w:r>
            <w:r w:rsidRPr="00915ADB">
              <w:rPr>
                <w:webHidden/>
              </w:rPr>
            </w:r>
            <w:r w:rsidRPr="00915ADB">
              <w:rPr>
                <w:webHidden/>
              </w:rPr>
              <w:fldChar w:fldCharType="separate"/>
            </w:r>
            <w:r w:rsidRPr="00915ADB">
              <w:rPr>
                <w:webHidden/>
              </w:rPr>
              <w:t>27</w:t>
            </w:r>
            <w:r w:rsidRPr="00915ADB">
              <w:rPr>
                <w:webHidden/>
              </w:rPr>
              <w:fldChar w:fldCharType="end"/>
            </w:r>
          </w:hyperlink>
        </w:p>
        <w:p w14:paraId="12C23441" w14:textId="4846F6C8" w:rsidR="00644EB8" w:rsidRPr="00915ADB" w:rsidRDefault="00644EB8">
          <w:pPr>
            <w:pStyle w:val="Indicedellefigure"/>
            <w:rPr>
              <w:rFonts w:eastAsiaTheme="minorEastAsia"/>
              <w:color w:val="auto"/>
              <w:kern w:val="2"/>
              <w:lang w:val="it-IT" w:eastAsia="it-IT"/>
              <w14:ligatures w14:val="standardContextual"/>
            </w:rPr>
          </w:pPr>
          <w:hyperlink w:anchor="_Toc167131799" w:history="1">
            <w:r w:rsidRPr="00915ADB">
              <w:rPr>
                <w:rStyle w:val="Collegamentoipertestuale"/>
                <w:rFonts w:cs="Segoe UI"/>
                <w:lang w:val="en-GB"/>
              </w:rPr>
              <w:t>Exhibit 31: Static pool as of 31</w:t>
            </w:r>
            <w:r w:rsidRPr="00915ADB">
              <w:rPr>
                <w:rStyle w:val="Collegamentoipertestuale"/>
                <w:rFonts w:cs="Segoe UI"/>
                <w:vertAlign w:val="superscript"/>
                <w:lang w:val="en-GB"/>
              </w:rPr>
              <w:t>st</w:t>
            </w:r>
            <w:r w:rsidRPr="00915ADB">
              <w:rPr>
                <w:rStyle w:val="Collegamentoipertestuale"/>
                <w:rFonts w:cs="Segoe UI"/>
                <w:lang w:val="en-GB"/>
              </w:rPr>
              <w:t xml:space="preserve"> December 2009</w:t>
            </w:r>
            <w:r w:rsidRPr="00915ADB">
              <w:rPr>
                <w:webHidden/>
              </w:rPr>
              <w:tab/>
            </w:r>
            <w:r w:rsidRPr="00915ADB">
              <w:rPr>
                <w:webHidden/>
              </w:rPr>
              <w:fldChar w:fldCharType="begin"/>
            </w:r>
            <w:r w:rsidRPr="00915ADB">
              <w:rPr>
                <w:webHidden/>
              </w:rPr>
              <w:instrText xml:space="preserve"> PAGEREF _Toc167131799 \h </w:instrText>
            </w:r>
            <w:r w:rsidRPr="00915ADB">
              <w:rPr>
                <w:webHidden/>
              </w:rPr>
            </w:r>
            <w:r w:rsidRPr="00915ADB">
              <w:rPr>
                <w:webHidden/>
              </w:rPr>
              <w:fldChar w:fldCharType="separate"/>
            </w:r>
            <w:r w:rsidRPr="00915ADB">
              <w:rPr>
                <w:webHidden/>
              </w:rPr>
              <w:t>28</w:t>
            </w:r>
            <w:r w:rsidRPr="00915ADB">
              <w:rPr>
                <w:webHidden/>
              </w:rPr>
              <w:fldChar w:fldCharType="end"/>
            </w:r>
          </w:hyperlink>
        </w:p>
        <w:p w14:paraId="3F5B577D" w14:textId="6F79A024" w:rsidR="00644EB8" w:rsidRPr="00915ADB" w:rsidRDefault="00644EB8">
          <w:pPr>
            <w:pStyle w:val="Indicedellefigure"/>
            <w:rPr>
              <w:rFonts w:eastAsiaTheme="minorEastAsia"/>
              <w:color w:val="auto"/>
              <w:kern w:val="2"/>
              <w:lang w:val="it-IT" w:eastAsia="it-IT"/>
              <w14:ligatures w14:val="standardContextual"/>
            </w:rPr>
          </w:pPr>
          <w:hyperlink w:anchor="_Toc167131800" w:history="1">
            <w:r w:rsidRPr="00915ADB">
              <w:rPr>
                <w:rStyle w:val="Collegamentoipertestuale"/>
                <w:rFonts w:cs="Segoe UI"/>
                <w:lang w:val="en-GB"/>
              </w:rPr>
              <w:t>Exhibit 32: Static pool as of 31</w:t>
            </w:r>
            <w:r w:rsidRPr="00915ADB">
              <w:rPr>
                <w:rStyle w:val="Collegamentoipertestuale"/>
                <w:rFonts w:cs="Segoe UI"/>
                <w:vertAlign w:val="superscript"/>
                <w:lang w:val="en-GB"/>
              </w:rPr>
              <w:t>st</w:t>
            </w:r>
            <w:r w:rsidRPr="00915ADB">
              <w:rPr>
                <w:rStyle w:val="Collegamentoipertestuale"/>
                <w:rFonts w:cs="Segoe UI"/>
                <w:lang w:val="en-GB"/>
              </w:rPr>
              <w:t xml:space="preserve"> December 2010</w:t>
            </w:r>
            <w:r w:rsidRPr="00915ADB">
              <w:rPr>
                <w:webHidden/>
              </w:rPr>
              <w:tab/>
            </w:r>
            <w:r w:rsidRPr="00915ADB">
              <w:rPr>
                <w:webHidden/>
              </w:rPr>
              <w:fldChar w:fldCharType="begin"/>
            </w:r>
            <w:r w:rsidRPr="00915ADB">
              <w:rPr>
                <w:webHidden/>
              </w:rPr>
              <w:instrText xml:space="preserve"> PAGEREF _Toc167131800 \h </w:instrText>
            </w:r>
            <w:r w:rsidRPr="00915ADB">
              <w:rPr>
                <w:webHidden/>
              </w:rPr>
            </w:r>
            <w:r w:rsidRPr="00915ADB">
              <w:rPr>
                <w:webHidden/>
              </w:rPr>
              <w:fldChar w:fldCharType="separate"/>
            </w:r>
            <w:r w:rsidRPr="00915ADB">
              <w:rPr>
                <w:webHidden/>
              </w:rPr>
              <w:t>28</w:t>
            </w:r>
            <w:r w:rsidRPr="00915ADB">
              <w:rPr>
                <w:webHidden/>
              </w:rPr>
              <w:fldChar w:fldCharType="end"/>
            </w:r>
          </w:hyperlink>
        </w:p>
        <w:p w14:paraId="2E3820E4" w14:textId="23ADE460" w:rsidR="00644EB8" w:rsidRPr="00915ADB" w:rsidRDefault="00644EB8">
          <w:pPr>
            <w:pStyle w:val="Indicedellefigure"/>
            <w:rPr>
              <w:rFonts w:eastAsiaTheme="minorEastAsia"/>
              <w:color w:val="auto"/>
              <w:kern w:val="2"/>
              <w:lang w:val="it-IT" w:eastAsia="it-IT"/>
              <w14:ligatures w14:val="standardContextual"/>
            </w:rPr>
          </w:pPr>
          <w:hyperlink w:anchor="_Toc167131801" w:history="1">
            <w:r w:rsidRPr="00915ADB">
              <w:rPr>
                <w:rStyle w:val="Collegamentoipertestuale"/>
                <w:rFonts w:cs="Segoe UI"/>
                <w:lang w:val="en-GB"/>
              </w:rPr>
              <w:t>Exhibit 33: Static pool as of 31</w:t>
            </w:r>
            <w:r w:rsidRPr="00915ADB">
              <w:rPr>
                <w:rStyle w:val="Collegamentoipertestuale"/>
                <w:rFonts w:cs="Segoe UI"/>
                <w:vertAlign w:val="superscript"/>
                <w:lang w:val="en-GB"/>
              </w:rPr>
              <w:t>st</w:t>
            </w:r>
            <w:r w:rsidRPr="00915ADB">
              <w:rPr>
                <w:rStyle w:val="Collegamentoipertestuale"/>
                <w:rFonts w:cs="Segoe UI"/>
                <w:lang w:val="en-GB"/>
              </w:rPr>
              <w:t xml:space="preserve"> December 2011</w:t>
            </w:r>
            <w:r w:rsidRPr="00915ADB">
              <w:rPr>
                <w:webHidden/>
              </w:rPr>
              <w:tab/>
            </w:r>
            <w:r w:rsidRPr="00915ADB">
              <w:rPr>
                <w:webHidden/>
              </w:rPr>
              <w:fldChar w:fldCharType="begin"/>
            </w:r>
            <w:r w:rsidRPr="00915ADB">
              <w:rPr>
                <w:webHidden/>
              </w:rPr>
              <w:instrText xml:space="preserve"> PAGEREF _Toc167131801 \h </w:instrText>
            </w:r>
            <w:r w:rsidRPr="00915ADB">
              <w:rPr>
                <w:webHidden/>
              </w:rPr>
            </w:r>
            <w:r w:rsidRPr="00915ADB">
              <w:rPr>
                <w:webHidden/>
              </w:rPr>
              <w:fldChar w:fldCharType="separate"/>
            </w:r>
            <w:r w:rsidRPr="00915ADB">
              <w:rPr>
                <w:webHidden/>
              </w:rPr>
              <w:t>29</w:t>
            </w:r>
            <w:r w:rsidRPr="00915ADB">
              <w:rPr>
                <w:webHidden/>
              </w:rPr>
              <w:fldChar w:fldCharType="end"/>
            </w:r>
          </w:hyperlink>
        </w:p>
        <w:p w14:paraId="3A52936F" w14:textId="12D37634" w:rsidR="00644EB8" w:rsidRPr="00915ADB" w:rsidRDefault="00644EB8">
          <w:pPr>
            <w:pStyle w:val="Indicedellefigure"/>
            <w:rPr>
              <w:rFonts w:eastAsiaTheme="minorEastAsia"/>
              <w:color w:val="auto"/>
              <w:kern w:val="2"/>
              <w:lang w:val="it-IT" w:eastAsia="it-IT"/>
              <w14:ligatures w14:val="standardContextual"/>
            </w:rPr>
          </w:pPr>
          <w:hyperlink w:anchor="_Toc167131802" w:history="1">
            <w:r w:rsidRPr="00915ADB">
              <w:rPr>
                <w:rStyle w:val="Collegamentoipertestuale"/>
                <w:rFonts w:cs="Segoe UI"/>
                <w:lang w:val="en-GB"/>
              </w:rPr>
              <w:t>Exhibit 34: Static pool as of 31</w:t>
            </w:r>
            <w:r w:rsidRPr="00915ADB">
              <w:rPr>
                <w:rStyle w:val="Collegamentoipertestuale"/>
                <w:rFonts w:cs="Segoe UI"/>
                <w:vertAlign w:val="superscript"/>
                <w:lang w:val="en-GB"/>
              </w:rPr>
              <w:t>st</w:t>
            </w:r>
            <w:r w:rsidRPr="00915ADB">
              <w:rPr>
                <w:rStyle w:val="Collegamentoipertestuale"/>
                <w:rFonts w:cs="Segoe UI"/>
                <w:lang w:val="en-GB"/>
              </w:rPr>
              <w:t xml:space="preserve"> December 2012</w:t>
            </w:r>
            <w:r w:rsidRPr="00915ADB">
              <w:rPr>
                <w:webHidden/>
              </w:rPr>
              <w:tab/>
            </w:r>
            <w:r w:rsidRPr="00915ADB">
              <w:rPr>
                <w:webHidden/>
              </w:rPr>
              <w:fldChar w:fldCharType="begin"/>
            </w:r>
            <w:r w:rsidRPr="00915ADB">
              <w:rPr>
                <w:webHidden/>
              </w:rPr>
              <w:instrText xml:space="preserve"> PAGEREF _Toc167131802 \h </w:instrText>
            </w:r>
            <w:r w:rsidRPr="00915ADB">
              <w:rPr>
                <w:webHidden/>
              </w:rPr>
            </w:r>
            <w:r w:rsidRPr="00915ADB">
              <w:rPr>
                <w:webHidden/>
              </w:rPr>
              <w:fldChar w:fldCharType="separate"/>
            </w:r>
            <w:r w:rsidRPr="00915ADB">
              <w:rPr>
                <w:webHidden/>
              </w:rPr>
              <w:t>29</w:t>
            </w:r>
            <w:r w:rsidRPr="00915ADB">
              <w:rPr>
                <w:webHidden/>
              </w:rPr>
              <w:fldChar w:fldCharType="end"/>
            </w:r>
          </w:hyperlink>
        </w:p>
        <w:p w14:paraId="0CEEE38B" w14:textId="0D434ECE" w:rsidR="00644EB8" w:rsidRPr="00915ADB" w:rsidRDefault="00644EB8">
          <w:pPr>
            <w:pStyle w:val="Indicedellefigure"/>
            <w:rPr>
              <w:rFonts w:eastAsiaTheme="minorEastAsia"/>
              <w:color w:val="auto"/>
              <w:kern w:val="2"/>
              <w:lang w:val="it-IT" w:eastAsia="it-IT"/>
              <w14:ligatures w14:val="standardContextual"/>
            </w:rPr>
          </w:pPr>
          <w:hyperlink w:anchor="_Toc167131803" w:history="1">
            <w:r w:rsidRPr="00915ADB">
              <w:rPr>
                <w:rStyle w:val="Collegamentoipertestuale"/>
                <w:rFonts w:cs="Segoe UI"/>
                <w:lang w:val="en-GB"/>
              </w:rPr>
              <w:t>Exhibit 35: Static pool as of 31</w:t>
            </w:r>
            <w:r w:rsidRPr="00915ADB">
              <w:rPr>
                <w:rStyle w:val="Collegamentoipertestuale"/>
                <w:rFonts w:cs="Segoe UI"/>
                <w:vertAlign w:val="superscript"/>
                <w:lang w:val="en-GB"/>
              </w:rPr>
              <w:t>st</w:t>
            </w:r>
            <w:r w:rsidRPr="00915ADB">
              <w:rPr>
                <w:rStyle w:val="Collegamentoipertestuale"/>
                <w:rFonts w:cs="Segoe UI"/>
                <w:lang w:val="en-GB"/>
              </w:rPr>
              <w:t xml:space="preserve"> December 2013</w:t>
            </w:r>
            <w:r w:rsidRPr="00915ADB">
              <w:rPr>
                <w:webHidden/>
              </w:rPr>
              <w:tab/>
            </w:r>
            <w:r w:rsidRPr="00915ADB">
              <w:rPr>
                <w:webHidden/>
              </w:rPr>
              <w:fldChar w:fldCharType="begin"/>
            </w:r>
            <w:r w:rsidRPr="00915ADB">
              <w:rPr>
                <w:webHidden/>
              </w:rPr>
              <w:instrText xml:space="preserve"> PAGEREF _Toc167131803 \h </w:instrText>
            </w:r>
            <w:r w:rsidRPr="00915ADB">
              <w:rPr>
                <w:webHidden/>
              </w:rPr>
            </w:r>
            <w:r w:rsidRPr="00915ADB">
              <w:rPr>
                <w:webHidden/>
              </w:rPr>
              <w:fldChar w:fldCharType="separate"/>
            </w:r>
            <w:r w:rsidRPr="00915ADB">
              <w:rPr>
                <w:webHidden/>
              </w:rPr>
              <w:t>30</w:t>
            </w:r>
            <w:r w:rsidRPr="00915ADB">
              <w:rPr>
                <w:webHidden/>
              </w:rPr>
              <w:fldChar w:fldCharType="end"/>
            </w:r>
          </w:hyperlink>
        </w:p>
        <w:p w14:paraId="439BF348" w14:textId="4A744728" w:rsidR="00644EB8" w:rsidRPr="00915ADB" w:rsidRDefault="00644EB8">
          <w:pPr>
            <w:pStyle w:val="Indicedellefigure"/>
            <w:rPr>
              <w:rFonts w:eastAsiaTheme="minorEastAsia"/>
              <w:color w:val="auto"/>
              <w:kern w:val="2"/>
              <w:lang w:val="it-IT" w:eastAsia="it-IT"/>
              <w14:ligatures w14:val="standardContextual"/>
            </w:rPr>
          </w:pPr>
          <w:hyperlink w:anchor="_Toc167131804" w:history="1">
            <w:r w:rsidRPr="00915ADB">
              <w:rPr>
                <w:rStyle w:val="Collegamentoipertestuale"/>
                <w:rFonts w:cs="Segoe UI"/>
                <w:lang w:val="en-GB"/>
              </w:rPr>
              <w:t>Exhibit 36: Static pool as of 31</w:t>
            </w:r>
            <w:r w:rsidRPr="00915ADB">
              <w:rPr>
                <w:rStyle w:val="Collegamentoipertestuale"/>
                <w:rFonts w:cs="Segoe UI"/>
                <w:vertAlign w:val="superscript"/>
                <w:lang w:val="en-GB"/>
              </w:rPr>
              <w:t>st</w:t>
            </w:r>
            <w:r w:rsidRPr="00915ADB">
              <w:rPr>
                <w:rStyle w:val="Collegamentoipertestuale"/>
                <w:rFonts w:cs="Segoe UI"/>
                <w:lang w:val="en-GB"/>
              </w:rPr>
              <w:t xml:space="preserve"> December 2014</w:t>
            </w:r>
            <w:r w:rsidRPr="00915ADB">
              <w:rPr>
                <w:webHidden/>
              </w:rPr>
              <w:tab/>
            </w:r>
            <w:r w:rsidRPr="00915ADB">
              <w:rPr>
                <w:webHidden/>
              </w:rPr>
              <w:fldChar w:fldCharType="begin"/>
            </w:r>
            <w:r w:rsidRPr="00915ADB">
              <w:rPr>
                <w:webHidden/>
              </w:rPr>
              <w:instrText xml:space="preserve"> PAGEREF _Toc167131804 \h </w:instrText>
            </w:r>
            <w:r w:rsidRPr="00915ADB">
              <w:rPr>
                <w:webHidden/>
              </w:rPr>
            </w:r>
            <w:r w:rsidRPr="00915ADB">
              <w:rPr>
                <w:webHidden/>
              </w:rPr>
              <w:fldChar w:fldCharType="separate"/>
            </w:r>
            <w:r w:rsidRPr="00915ADB">
              <w:rPr>
                <w:webHidden/>
              </w:rPr>
              <w:t>30</w:t>
            </w:r>
            <w:r w:rsidRPr="00915ADB">
              <w:rPr>
                <w:webHidden/>
              </w:rPr>
              <w:fldChar w:fldCharType="end"/>
            </w:r>
          </w:hyperlink>
        </w:p>
        <w:p w14:paraId="50D0FC4E" w14:textId="56A029C5" w:rsidR="00644EB8" w:rsidRPr="00915ADB" w:rsidRDefault="00644EB8">
          <w:pPr>
            <w:pStyle w:val="Indicedellefigure"/>
            <w:rPr>
              <w:rFonts w:eastAsiaTheme="minorEastAsia"/>
              <w:color w:val="auto"/>
              <w:kern w:val="2"/>
              <w:lang w:val="it-IT" w:eastAsia="it-IT"/>
              <w14:ligatures w14:val="standardContextual"/>
            </w:rPr>
          </w:pPr>
          <w:hyperlink w:anchor="_Toc167131805" w:history="1">
            <w:r w:rsidRPr="00915ADB">
              <w:rPr>
                <w:rStyle w:val="Collegamentoipertestuale"/>
                <w:rFonts w:cs="Segoe UI"/>
                <w:lang w:val="en-GB"/>
              </w:rPr>
              <w:t>Exhibit 37: Static pool as of 31</w:t>
            </w:r>
            <w:r w:rsidRPr="00915ADB">
              <w:rPr>
                <w:rStyle w:val="Collegamentoipertestuale"/>
                <w:rFonts w:cs="Segoe UI"/>
                <w:vertAlign w:val="superscript"/>
                <w:lang w:val="en-GB"/>
              </w:rPr>
              <w:t>st</w:t>
            </w:r>
            <w:r w:rsidRPr="00915ADB">
              <w:rPr>
                <w:rStyle w:val="Collegamentoipertestuale"/>
                <w:rFonts w:cs="Segoe UI"/>
                <w:lang w:val="en-GB"/>
              </w:rPr>
              <w:t xml:space="preserve"> December 2015</w:t>
            </w:r>
            <w:r w:rsidRPr="00915ADB">
              <w:rPr>
                <w:webHidden/>
              </w:rPr>
              <w:tab/>
            </w:r>
            <w:r w:rsidRPr="00915ADB">
              <w:rPr>
                <w:webHidden/>
              </w:rPr>
              <w:fldChar w:fldCharType="begin"/>
            </w:r>
            <w:r w:rsidRPr="00915ADB">
              <w:rPr>
                <w:webHidden/>
              </w:rPr>
              <w:instrText xml:space="preserve"> PAGEREF _Toc167131805 \h </w:instrText>
            </w:r>
            <w:r w:rsidRPr="00915ADB">
              <w:rPr>
                <w:webHidden/>
              </w:rPr>
            </w:r>
            <w:r w:rsidRPr="00915ADB">
              <w:rPr>
                <w:webHidden/>
              </w:rPr>
              <w:fldChar w:fldCharType="separate"/>
            </w:r>
            <w:r w:rsidRPr="00915ADB">
              <w:rPr>
                <w:webHidden/>
              </w:rPr>
              <w:t>31</w:t>
            </w:r>
            <w:r w:rsidRPr="00915ADB">
              <w:rPr>
                <w:webHidden/>
              </w:rPr>
              <w:fldChar w:fldCharType="end"/>
            </w:r>
          </w:hyperlink>
        </w:p>
        <w:p w14:paraId="7C6C0C6E" w14:textId="0C3062F9" w:rsidR="00644EB8" w:rsidRPr="00915ADB" w:rsidRDefault="00644EB8">
          <w:pPr>
            <w:pStyle w:val="Indicedellefigure"/>
            <w:rPr>
              <w:rFonts w:eastAsiaTheme="minorEastAsia"/>
              <w:color w:val="auto"/>
              <w:kern w:val="2"/>
              <w:lang w:val="it-IT" w:eastAsia="it-IT"/>
              <w14:ligatures w14:val="standardContextual"/>
            </w:rPr>
          </w:pPr>
          <w:hyperlink w:anchor="_Toc167131806" w:history="1">
            <w:r w:rsidRPr="00915ADB">
              <w:rPr>
                <w:rStyle w:val="Collegamentoipertestuale"/>
                <w:rFonts w:cs="Segoe UI"/>
                <w:lang w:val="en-GB"/>
              </w:rPr>
              <w:t>Exhibit 38: Static pool as of 31</w:t>
            </w:r>
            <w:r w:rsidRPr="00915ADB">
              <w:rPr>
                <w:rStyle w:val="Collegamentoipertestuale"/>
                <w:rFonts w:cs="Segoe UI"/>
                <w:vertAlign w:val="superscript"/>
                <w:lang w:val="en-GB"/>
              </w:rPr>
              <w:t>st</w:t>
            </w:r>
            <w:r w:rsidRPr="00915ADB">
              <w:rPr>
                <w:rStyle w:val="Collegamentoipertestuale"/>
                <w:rFonts w:cs="Segoe UI"/>
                <w:lang w:val="en-GB"/>
              </w:rPr>
              <w:t xml:space="preserve"> December 2016</w:t>
            </w:r>
            <w:r w:rsidRPr="00915ADB">
              <w:rPr>
                <w:webHidden/>
              </w:rPr>
              <w:tab/>
            </w:r>
            <w:r w:rsidRPr="00915ADB">
              <w:rPr>
                <w:webHidden/>
              </w:rPr>
              <w:fldChar w:fldCharType="begin"/>
            </w:r>
            <w:r w:rsidRPr="00915ADB">
              <w:rPr>
                <w:webHidden/>
              </w:rPr>
              <w:instrText xml:space="preserve"> PAGEREF _Toc167131806 \h </w:instrText>
            </w:r>
            <w:r w:rsidRPr="00915ADB">
              <w:rPr>
                <w:webHidden/>
              </w:rPr>
            </w:r>
            <w:r w:rsidRPr="00915ADB">
              <w:rPr>
                <w:webHidden/>
              </w:rPr>
              <w:fldChar w:fldCharType="separate"/>
            </w:r>
            <w:r w:rsidRPr="00915ADB">
              <w:rPr>
                <w:webHidden/>
              </w:rPr>
              <w:t>31</w:t>
            </w:r>
            <w:r w:rsidRPr="00915ADB">
              <w:rPr>
                <w:webHidden/>
              </w:rPr>
              <w:fldChar w:fldCharType="end"/>
            </w:r>
          </w:hyperlink>
        </w:p>
        <w:p w14:paraId="5825DED5" w14:textId="24B19DAA" w:rsidR="00644EB8" w:rsidRPr="00915ADB" w:rsidRDefault="00644EB8">
          <w:pPr>
            <w:pStyle w:val="Indicedellefigure"/>
            <w:rPr>
              <w:rFonts w:eastAsiaTheme="minorEastAsia"/>
              <w:color w:val="auto"/>
              <w:kern w:val="2"/>
              <w:lang w:val="it-IT" w:eastAsia="it-IT"/>
              <w14:ligatures w14:val="standardContextual"/>
            </w:rPr>
          </w:pPr>
          <w:hyperlink w:anchor="_Toc167131807" w:history="1">
            <w:r w:rsidRPr="00915ADB">
              <w:rPr>
                <w:rStyle w:val="Collegamentoipertestuale"/>
                <w:rFonts w:cs="Segoe UI"/>
                <w:lang w:val="en-GB"/>
              </w:rPr>
              <w:t>Exhibit 39: Static pool as of 31</w:t>
            </w:r>
            <w:r w:rsidRPr="00915ADB">
              <w:rPr>
                <w:rStyle w:val="Collegamentoipertestuale"/>
                <w:rFonts w:cs="Segoe UI"/>
                <w:vertAlign w:val="superscript"/>
                <w:lang w:val="en-GB"/>
              </w:rPr>
              <w:t>st</w:t>
            </w:r>
            <w:r w:rsidRPr="00915ADB">
              <w:rPr>
                <w:rStyle w:val="Collegamentoipertestuale"/>
                <w:rFonts w:cs="Segoe UI"/>
                <w:lang w:val="en-GB"/>
              </w:rPr>
              <w:t xml:space="preserve"> December 2017</w:t>
            </w:r>
            <w:r w:rsidRPr="00915ADB">
              <w:rPr>
                <w:webHidden/>
              </w:rPr>
              <w:tab/>
            </w:r>
            <w:r w:rsidRPr="00915ADB">
              <w:rPr>
                <w:webHidden/>
              </w:rPr>
              <w:fldChar w:fldCharType="begin"/>
            </w:r>
            <w:r w:rsidRPr="00915ADB">
              <w:rPr>
                <w:webHidden/>
              </w:rPr>
              <w:instrText xml:space="preserve"> PAGEREF _Toc167131807 \h </w:instrText>
            </w:r>
            <w:r w:rsidRPr="00915ADB">
              <w:rPr>
                <w:webHidden/>
              </w:rPr>
            </w:r>
            <w:r w:rsidRPr="00915ADB">
              <w:rPr>
                <w:webHidden/>
              </w:rPr>
              <w:fldChar w:fldCharType="separate"/>
            </w:r>
            <w:r w:rsidRPr="00915ADB">
              <w:rPr>
                <w:webHidden/>
              </w:rPr>
              <w:t>32</w:t>
            </w:r>
            <w:r w:rsidRPr="00915ADB">
              <w:rPr>
                <w:webHidden/>
              </w:rPr>
              <w:fldChar w:fldCharType="end"/>
            </w:r>
          </w:hyperlink>
        </w:p>
        <w:p w14:paraId="3FE2696C" w14:textId="0D70F2A5" w:rsidR="00644EB8" w:rsidRPr="00915ADB" w:rsidRDefault="00644EB8">
          <w:pPr>
            <w:pStyle w:val="Indicedellefigure"/>
            <w:rPr>
              <w:rFonts w:eastAsiaTheme="minorEastAsia"/>
              <w:color w:val="auto"/>
              <w:kern w:val="2"/>
              <w:lang w:val="it-IT" w:eastAsia="it-IT"/>
              <w14:ligatures w14:val="standardContextual"/>
            </w:rPr>
          </w:pPr>
          <w:hyperlink w:anchor="_Toc167131808" w:history="1">
            <w:r w:rsidRPr="00915ADB">
              <w:rPr>
                <w:rStyle w:val="Collegamentoipertestuale"/>
                <w:rFonts w:cs="Segoe UI"/>
                <w:lang w:val="en-GB"/>
              </w:rPr>
              <w:t>Exhibit 40: Static pool as of 31</w:t>
            </w:r>
            <w:r w:rsidRPr="00915ADB">
              <w:rPr>
                <w:rStyle w:val="Collegamentoipertestuale"/>
                <w:rFonts w:cs="Segoe UI"/>
                <w:vertAlign w:val="superscript"/>
                <w:lang w:val="en-GB"/>
              </w:rPr>
              <w:t>st</w:t>
            </w:r>
            <w:r w:rsidRPr="00915ADB">
              <w:rPr>
                <w:rStyle w:val="Collegamentoipertestuale"/>
                <w:rFonts w:cs="Segoe UI"/>
                <w:lang w:val="en-GB"/>
              </w:rPr>
              <w:t xml:space="preserve"> December 2018</w:t>
            </w:r>
            <w:r w:rsidRPr="00915ADB">
              <w:rPr>
                <w:webHidden/>
              </w:rPr>
              <w:tab/>
            </w:r>
            <w:r w:rsidRPr="00915ADB">
              <w:rPr>
                <w:webHidden/>
              </w:rPr>
              <w:fldChar w:fldCharType="begin"/>
            </w:r>
            <w:r w:rsidRPr="00915ADB">
              <w:rPr>
                <w:webHidden/>
              </w:rPr>
              <w:instrText xml:space="preserve"> PAGEREF _Toc167131808 \h </w:instrText>
            </w:r>
            <w:r w:rsidRPr="00915ADB">
              <w:rPr>
                <w:webHidden/>
              </w:rPr>
            </w:r>
            <w:r w:rsidRPr="00915ADB">
              <w:rPr>
                <w:webHidden/>
              </w:rPr>
              <w:fldChar w:fldCharType="separate"/>
            </w:r>
            <w:r w:rsidRPr="00915ADB">
              <w:rPr>
                <w:webHidden/>
              </w:rPr>
              <w:t>32</w:t>
            </w:r>
            <w:r w:rsidRPr="00915ADB">
              <w:rPr>
                <w:webHidden/>
              </w:rPr>
              <w:fldChar w:fldCharType="end"/>
            </w:r>
          </w:hyperlink>
        </w:p>
        <w:p w14:paraId="6BF3181E" w14:textId="4736A91D" w:rsidR="00644EB8" w:rsidRPr="00915ADB" w:rsidRDefault="00644EB8">
          <w:pPr>
            <w:pStyle w:val="Indicedellefigure"/>
            <w:rPr>
              <w:rFonts w:eastAsiaTheme="minorEastAsia"/>
              <w:color w:val="auto"/>
              <w:kern w:val="2"/>
              <w:lang w:val="it-IT" w:eastAsia="it-IT"/>
              <w14:ligatures w14:val="standardContextual"/>
            </w:rPr>
          </w:pPr>
          <w:hyperlink w:anchor="_Toc167131809" w:history="1">
            <w:r w:rsidRPr="00915ADB">
              <w:rPr>
                <w:rStyle w:val="Collegamentoipertestuale"/>
                <w:rFonts w:cs="Segoe UI"/>
                <w:lang w:val="en-GB"/>
              </w:rPr>
              <w:t>Exhibit 41: Static pool as of 31</w:t>
            </w:r>
            <w:r w:rsidRPr="00915ADB">
              <w:rPr>
                <w:rStyle w:val="Collegamentoipertestuale"/>
                <w:rFonts w:cs="Segoe UI"/>
                <w:vertAlign w:val="superscript"/>
                <w:lang w:val="en-GB"/>
              </w:rPr>
              <w:t>st</w:t>
            </w:r>
            <w:r w:rsidRPr="00915ADB">
              <w:rPr>
                <w:rStyle w:val="Collegamentoipertestuale"/>
                <w:rFonts w:cs="Segoe UI"/>
                <w:lang w:val="en-GB"/>
              </w:rPr>
              <w:t xml:space="preserve"> December 2019</w:t>
            </w:r>
            <w:r w:rsidRPr="00915ADB">
              <w:rPr>
                <w:webHidden/>
              </w:rPr>
              <w:tab/>
            </w:r>
            <w:r w:rsidRPr="00915ADB">
              <w:rPr>
                <w:webHidden/>
              </w:rPr>
              <w:fldChar w:fldCharType="begin"/>
            </w:r>
            <w:r w:rsidRPr="00915ADB">
              <w:rPr>
                <w:webHidden/>
              </w:rPr>
              <w:instrText xml:space="preserve"> PAGEREF _Toc167131809 \h </w:instrText>
            </w:r>
            <w:r w:rsidRPr="00915ADB">
              <w:rPr>
                <w:webHidden/>
              </w:rPr>
            </w:r>
            <w:r w:rsidRPr="00915ADB">
              <w:rPr>
                <w:webHidden/>
              </w:rPr>
              <w:fldChar w:fldCharType="separate"/>
            </w:r>
            <w:r w:rsidRPr="00915ADB">
              <w:rPr>
                <w:webHidden/>
              </w:rPr>
              <w:t>33</w:t>
            </w:r>
            <w:r w:rsidRPr="00915ADB">
              <w:rPr>
                <w:webHidden/>
              </w:rPr>
              <w:fldChar w:fldCharType="end"/>
            </w:r>
          </w:hyperlink>
        </w:p>
        <w:p w14:paraId="67F12677" w14:textId="054A95AC" w:rsidR="00644EB8" w:rsidRPr="00915ADB" w:rsidRDefault="00644EB8">
          <w:pPr>
            <w:pStyle w:val="Indicedellefigure"/>
            <w:rPr>
              <w:rFonts w:eastAsiaTheme="minorEastAsia"/>
              <w:color w:val="auto"/>
              <w:kern w:val="2"/>
              <w:lang w:val="it-IT" w:eastAsia="it-IT"/>
              <w14:ligatures w14:val="standardContextual"/>
            </w:rPr>
          </w:pPr>
          <w:hyperlink w:anchor="_Toc167131810" w:history="1">
            <w:r w:rsidRPr="00915ADB">
              <w:rPr>
                <w:rStyle w:val="Collegamentoipertestuale"/>
                <w:rFonts w:cs="Segoe UI"/>
                <w:lang w:val="en-GB"/>
              </w:rPr>
              <w:t>Exhibit 42: Static pool as of 31</w:t>
            </w:r>
            <w:r w:rsidRPr="00915ADB">
              <w:rPr>
                <w:rStyle w:val="Collegamentoipertestuale"/>
                <w:rFonts w:cs="Segoe UI"/>
                <w:vertAlign w:val="superscript"/>
                <w:lang w:val="en-GB"/>
              </w:rPr>
              <w:t>st</w:t>
            </w:r>
            <w:r w:rsidRPr="00915ADB">
              <w:rPr>
                <w:rStyle w:val="Collegamentoipertestuale"/>
                <w:rFonts w:cs="Segoe UI"/>
                <w:lang w:val="en-GB"/>
              </w:rPr>
              <w:t xml:space="preserve"> December 2020</w:t>
            </w:r>
            <w:r w:rsidRPr="00915ADB">
              <w:rPr>
                <w:webHidden/>
              </w:rPr>
              <w:tab/>
            </w:r>
            <w:r w:rsidRPr="00915ADB">
              <w:rPr>
                <w:webHidden/>
              </w:rPr>
              <w:fldChar w:fldCharType="begin"/>
            </w:r>
            <w:r w:rsidRPr="00915ADB">
              <w:rPr>
                <w:webHidden/>
              </w:rPr>
              <w:instrText xml:space="preserve"> PAGEREF _Toc167131810 \h </w:instrText>
            </w:r>
            <w:r w:rsidRPr="00915ADB">
              <w:rPr>
                <w:webHidden/>
              </w:rPr>
            </w:r>
            <w:r w:rsidRPr="00915ADB">
              <w:rPr>
                <w:webHidden/>
              </w:rPr>
              <w:fldChar w:fldCharType="separate"/>
            </w:r>
            <w:r w:rsidRPr="00915ADB">
              <w:rPr>
                <w:webHidden/>
              </w:rPr>
              <w:t>33</w:t>
            </w:r>
            <w:r w:rsidRPr="00915ADB">
              <w:rPr>
                <w:webHidden/>
              </w:rPr>
              <w:fldChar w:fldCharType="end"/>
            </w:r>
          </w:hyperlink>
        </w:p>
        <w:p w14:paraId="295D8EE7" w14:textId="71B03C66" w:rsidR="00644EB8" w:rsidRPr="00915ADB" w:rsidRDefault="00644EB8">
          <w:pPr>
            <w:pStyle w:val="Indicedellefigure"/>
            <w:rPr>
              <w:rFonts w:eastAsiaTheme="minorEastAsia"/>
              <w:color w:val="auto"/>
              <w:kern w:val="2"/>
              <w:lang w:val="it-IT" w:eastAsia="it-IT"/>
              <w14:ligatures w14:val="standardContextual"/>
            </w:rPr>
          </w:pPr>
          <w:hyperlink w:anchor="_Toc167131811" w:history="1">
            <w:r w:rsidRPr="00915ADB">
              <w:rPr>
                <w:rStyle w:val="Collegamentoipertestuale"/>
                <w:rFonts w:cs="Segoe UI"/>
                <w:lang w:val="en-GB"/>
              </w:rPr>
              <w:t>Exhibit 43: Static pool as of 31</w:t>
            </w:r>
            <w:r w:rsidRPr="00915ADB">
              <w:rPr>
                <w:rStyle w:val="Collegamentoipertestuale"/>
                <w:rFonts w:cs="Segoe UI"/>
                <w:vertAlign w:val="superscript"/>
                <w:lang w:val="en-GB"/>
              </w:rPr>
              <w:t>st</w:t>
            </w:r>
            <w:r w:rsidRPr="00915ADB">
              <w:rPr>
                <w:rStyle w:val="Collegamentoipertestuale"/>
                <w:rFonts w:cs="Segoe UI"/>
                <w:lang w:val="en-GB"/>
              </w:rPr>
              <w:t xml:space="preserve"> December 2021</w:t>
            </w:r>
            <w:r w:rsidRPr="00915ADB">
              <w:rPr>
                <w:webHidden/>
              </w:rPr>
              <w:tab/>
            </w:r>
            <w:r w:rsidRPr="00915ADB">
              <w:rPr>
                <w:webHidden/>
              </w:rPr>
              <w:fldChar w:fldCharType="begin"/>
            </w:r>
            <w:r w:rsidRPr="00915ADB">
              <w:rPr>
                <w:webHidden/>
              </w:rPr>
              <w:instrText xml:space="preserve"> PAGEREF _Toc167131811 \h </w:instrText>
            </w:r>
            <w:r w:rsidRPr="00915ADB">
              <w:rPr>
                <w:webHidden/>
              </w:rPr>
            </w:r>
            <w:r w:rsidRPr="00915ADB">
              <w:rPr>
                <w:webHidden/>
              </w:rPr>
              <w:fldChar w:fldCharType="separate"/>
            </w:r>
            <w:r w:rsidRPr="00915ADB">
              <w:rPr>
                <w:webHidden/>
              </w:rPr>
              <w:t>34</w:t>
            </w:r>
            <w:r w:rsidRPr="00915ADB">
              <w:rPr>
                <w:webHidden/>
              </w:rPr>
              <w:fldChar w:fldCharType="end"/>
            </w:r>
          </w:hyperlink>
        </w:p>
        <w:p w14:paraId="05400E6F" w14:textId="063F1284" w:rsidR="00644EB8" w:rsidRPr="00915ADB" w:rsidRDefault="00644EB8">
          <w:pPr>
            <w:pStyle w:val="Indicedellefigure"/>
            <w:rPr>
              <w:rFonts w:eastAsiaTheme="minorEastAsia"/>
              <w:color w:val="auto"/>
              <w:kern w:val="2"/>
              <w:lang w:val="it-IT" w:eastAsia="it-IT"/>
              <w14:ligatures w14:val="standardContextual"/>
            </w:rPr>
          </w:pPr>
          <w:hyperlink w:anchor="_Toc167131812" w:history="1">
            <w:r w:rsidRPr="00915ADB">
              <w:rPr>
                <w:rStyle w:val="Collegamentoipertestuale"/>
                <w:rFonts w:cs="Segoe UI"/>
                <w:lang w:val="en-GB"/>
              </w:rPr>
              <w:t>Exhibit 44: Static pool as of 31</w:t>
            </w:r>
            <w:r w:rsidRPr="00915ADB">
              <w:rPr>
                <w:rStyle w:val="Collegamentoipertestuale"/>
                <w:rFonts w:cs="Segoe UI"/>
                <w:vertAlign w:val="superscript"/>
                <w:lang w:val="en-GB"/>
              </w:rPr>
              <w:t>st</w:t>
            </w:r>
            <w:r w:rsidRPr="00915ADB">
              <w:rPr>
                <w:rStyle w:val="Collegamentoipertestuale"/>
                <w:rFonts w:cs="Segoe UI"/>
                <w:lang w:val="en-GB"/>
              </w:rPr>
              <w:t xml:space="preserve"> December 2022</w:t>
            </w:r>
            <w:r w:rsidRPr="00915ADB">
              <w:rPr>
                <w:webHidden/>
              </w:rPr>
              <w:tab/>
            </w:r>
            <w:r w:rsidRPr="00915ADB">
              <w:rPr>
                <w:webHidden/>
              </w:rPr>
              <w:fldChar w:fldCharType="begin"/>
            </w:r>
            <w:r w:rsidRPr="00915ADB">
              <w:rPr>
                <w:webHidden/>
              </w:rPr>
              <w:instrText xml:space="preserve"> PAGEREF _Toc167131812 \h </w:instrText>
            </w:r>
            <w:r w:rsidRPr="00915ADB">
              <w:rPr>
                <w:webHidden/>
              </w:rPr>
            </w:r>
            <w:r w:rsidRPr="00915ADB">
              <w:rPr>
                <w:webHidden/>
              </w:rPr>
              <w:fldChar w:fldCharType="separate"/>
            </w:r>
            <w:r w:rsidRPr="00915ADB">
              <w:rPr>
                <w:webHidden/>
              </w:rPr>
              <w:t>34</w:t>
            </w:r>
            <w:r w:rsidRPr="00915ADB">
              <w:rPr>
                <w:webHidden/>
              </w:rPr>
              <w:fldChar w:fldCharType="end"/>
            </w:r>
          </w:hyperlink>
        </w:p>
        <w:p w14:paraId="05767BFD" w14:textId="0D7CC759" w:rsidR="00644EB8" w:rsidRPr="00915ADB" w:rsidRDefault="00644EB8">
          <w:pPr>
            <w:pStyle w:val="Indicedellefigure"/>
            <w:rPr>
              <w:rFonts w:eastAsiaTheme="minorEastAsia"/>
              <w:color w:val="auto"/>
              <w:kern w:val="2"/>
              <w:lang w:val="it-IT" w:eastAsia="it-IT"/>
              <w14:ligatures w14:val="standardContextual"/>
            </w:rPr>
          </w:pPr>
          <w:hyperlink w:anchor="_Toc167131813" w:history="1">
            <w:r w:rsidRPr="00915ADB">
              <w:rPr>
                <w:rStyle w:val="Collegamentoipertestuale"/>
                <w:rFonts w:cs="Segoe UI"/>
                <w:lang w:val="en-GB"/>
              </w:rPr>
              <w:t>Exhibit 45: 1-Y default rates</w:t>
            </w:r>
            <w:r w:rsidRPr="00915ADB">
              <w:rPr>
                <w:webHidden/>
              </w:rPr>
              <w:tab/>
            </w:r>
            <w:r w:rsidRPr="00915ADB">
              <w:rPr>
                <w:webHidden/>
              </w:rPr>
              <w:fldChar w:fldCharType="begin"/>
            </w:r>
            <w:r w:rsidRPr="00915ADB">
              <w:rPr>
                <w:webHidden/>
              </w:rPr>
              <w:instrText xml:space="preserve"> PAGEREF _Toc167131813 \h </w:instrText>
            </w:r>
            <w:r w:rsidRPr="00915ADB">
              <w:rPr>
                <w:webHidden/>
              </w:rPr>
            </w:r>
            <w:r w:rsidRPr="00915ADB">
              <w:rPr>
                <w:webHidden/>
              </w:rPr>
              <w:fldChar w:fldCharType="separate"/>
            </w:r>
            <w:r w:rsidRPr="00915ADB">
              <w:rPr>
                <w:webHidden/>
              </w:rPr>
              <w:t>35</w:t>
            </w:r>
            <w:r w:rsidRPr="00915ADB">
              <w:rPr>
                <w:webHidden/>
              </w:rPr>
              <w:fldChar w:fldCharType="end"/>
            </w:r>
          </w:hyperlink>
        </w:p>
        <w:p w14:paraId="2D7F4D36" w14:textId="6EE40ED3" w:rsidR="00644EB8" w:rsidRPr="00915ADB" w:rsidRDefault="00644EB8">
          <w:pPr>
            <w:pStyle w:val="Indicedellefigure"/>
            <w:rPr>
              <w:rFonts w:eastAsiaTheme="minorEastAsia"/>
              <w:color w:val="auto"/>
              <w:kern w:val="2"/>
              <w:lang w:val="it-IT" w:eastAsia="it-IT"/>
              <w14:ligatures w14:val="standardContextual"/>
            </w:rPr>
          </w:pPr>
          <w:hyperlink w:anchor="_Toc167131814" w:history="1">
            <w:r w:rsidRPr="00915ADB">
              <w:rPr>
                <w:rStyle w:val="Collegamentoipertestuale"/>
                <w:rFonts w:cs="Segoe UI"/>
                <w:lang w:val="en-GB"/>
              </w:rPr>
              <w:t>Exhibit 46: 2-Y default rates</w:t>
            </w:r>
            <w:r w:rsidRPr="00915ADB">
              <w:rPr>
                <w:webHidden/>
              </w:rPr>
              <w:tab/>
            </w:r>
            <w:r w:rsidRPr="00915ADB">
              <w:rPr>
                <w:webHidden/>
              </w:rPr>
              <w:fldChar w:fldCharType="begin"/>
            </w:r>
            <w:r w:rsidRPr="00915ADB">
              <w:rPr>
                <w:webHidden/>
              </w:rPr>
              <w:instrText xml:space="preserve"> PAGEREF _Toc167131814 \h </w:instrText>
            </w:r>
            <w:r w:rsidRPr="00915ADB">
              <w:rPr>
                <w:webHidden/>
              </w:rPr>
            </w:r>
            <w:r w:rsidRPr="00915ADB">
              <w:rPr>
                <w:webHidden/>
              </w:rPr>
              <w:fldChar w:fldCharType="separate"/>
            </w:r>
            <w:r w:rsidRPr="00915ADB">
              <w:rPr>
                <w:webHidden/>
              </w:rPr>
              <w:t>36</w:t>
            </w:r>
            <w:r w:rsidRPr="00915ADB">
              <w:rPr>
                <w:webHidden/>
              </w:rPr>
              <w:fldChar w:fldCharType="end"/>
            </w:r>
          </w:hyperlink>
        </w:p>
        <w:p w14:paraId="07C1E238" w14:textId="51595CD3" w:rsidR="00644EB8" w:rsidRPr="00915ADB" w:rsidRDefault="00644EB8">
          <w:pPr>
            <w:pStyle w:val="Indicedellefigure"/>
            <w:rPr>
              <w:rFonts w:eastAsiaTheme="minorEastAsia"/>
              <w:color w:val="auto"/>
              <w:kern w:val="2"/>
              <w:lang w:val="it-IT" w:eastAsia="it-IT"/>
              <w14:ligatures w14:val="standardContextual"/>
            </w:rPr>
          </w:pPr>
          <w:hyperlink w:anchor="_Toc167131815" w:history="1">
            <w:r w:rsidRPr="00915ADB">
              <w:rPr>
                <w:rStyle w:val="Collegamentoipertestuale"/>
                <w:rFonts w:cs="Segoe UI"/>
                <w:lang w:val="en-GB"/>
              </w:rPr>
              <w:t>Exhibit 47: 3-Y default rates</w:t>
            </w:r>
            <w:r w:rsidRPr="00915ADB">
              <w:rPr>
                <w:webHidden/>
              </w:rPr>
              <w:tab/>
            </w:r>
            <w:r w:rsidRPr="00915ADB">
              <w:rPr>
                <w:webHidden/>
              </w:rPr>
              <w:fldChar w:fldCharType="begin"/>
            </w:r>
            <w:r w:rsidRPr="00915ADB">
              <w:rPr>
                <w:webHidden/>
              </w:rPr>
              <w:instrText xml:space="preserve"> PAGEREF _Toc167131815 \h </w:instrText>
            </w:r>
            <w:r w:rsidRPr="00915ADB">
              <w:rPr>
                <w:webHidden/>
              </w:rPr>
            </w:r>
            <w:r w:rsidRPr="00915ADB">
              <w:rPr>
                <w:webHidden/>
              </w:rPr>
              <w:fldChar w:fldCharType="separate"/>
            </w:r>
            <w:r w:rsidRPr="00915ADB">
              <w:rPr>
                <w:webHidden/>
              </w:rPr>
              <w:t>36</w:t>
            </w:r>
            <w:r w:rsidRPr="00915ADB">
              <w:rPr>
                <w:webHidden/>
              </w:rPr>
              <w:fldChar w:fldCharType="end"/>
            </w:r>
          </w:hyperlink>
        </w:p>
        <w:p w14:paraId="34102A67" w14:textId="42A1F0A4" w:rsidR="00644EB8" w:rsidRPr="00915ADB" w:rsidRDefault="00644EB8">
          <w:pPr>
            <w:pStyle w:val="Indicedellefigure"/>
            <w:rPr>
              <w:rFonts w:eastAsiaTheme="minorEastAsia"/>
              <w:color w:val="auto"/>
              <w:kern w:val="2"/>
              <w:lang w:val="it-IT" w:eastAsia="it-IT"/>
              <w14:ligatures w14:val="standardContextual"/>
            </w:rPr>
          </w:pPr>
          <w:hyperlink w:anchor="_Toc167131816" w:history="1">
            <w:r w:rsidRPr="00915ADB">
              <w:rPr>
                <w:rStyle w:val="Collegamentoipertestuale"/>
                <w:rFonts w:cs="Segoe UI"/>
                <w:lang w:val="en-GB"/>
              </w:rPr>
              <w:t>Exhibit 48: 4-Y default rates</w:t>
            </w:r>
            <w:r w:rsidRPr="00915ADB">
              <w:rPr>
                <w:webHidden/>
              </w:rPr>
              <w:tab/>
            </w:r>
            <w:r w:rsidRPr="00915ADB">
              <w:rPr>
                <w:webHidden/>
              </w:rPr>
              <w:fldChar w:fldCharType="begin"/>
            </w:r>
            <w:r w:rsidRPr="00915ADB">
              <w:rPr>
                <w:webHidden/>
              </w:rPr>
              <w:instrText xml:space="preserve"> PAGEREF _Toc167131816 \h </w:instrText>
            </w:r>
            <w:r w:rsidRPr="00915ADB">
              <w:rPr>
                <w:webHidden/>
              </w:rPr>
            </w:r>
            <w:r w:rsidRPr="00915ADB">
              <w:rPr>
                <w:webHidden/>
              </w:rPr>
              <w:fldChar w:fldCharType="separate"/>
            </w:r>
            <w:r w:rsidRPr="00915ADB">
              <w:rPr>
                <w:webHidden/>
              </w:rPr>
              <w:t>37</w:t>
            </w:r>
            <w:r w:rsidRPr="00915ADB">
              <w:rPr>
                <w:webHidden/>
              </w:rPr>
              <w:fldChar w:fldCharType="end"/>
            </w:r>
          </w:hyperlink>
        </w:p>
        <w:p w14:paraId="6B3783C3" w14:textId="5585C8EF" w:rsidR="00644EB8" w:rsidRPr="00915ADB" w:rsidRDefault="00644EB8">
          <w:pPr>
            <w:pStyle w:val="Indicedellefigure"/>
            <w:rPr>
              <w:rFonts w:eastAsiaTheme="minorEastAsia"/>
              <w:color w:val="auto"/>
              <w:kern w:val="2"/>
              <w:lang w:val="it-IT" w:eastAsia="it-IT"/>
              <w14:ligatures w14:val="standardContextual"/>
            </w:rPr>
          </w:pPr>
          <w:hyperlink w:anchor="_Toc167131817" w:history="1">
            <w:r w:rsidRPr="00915ADB">
              <w:rPr>
                <w:rStyle w:val="Collegamentoipertestuale"/>
                <w:rFonts w:cs="Segoe UI"/>
                <w:lang w:val="en-GB"/>
              </w:rPr>
              <w:t>Exhibit 49: 5-Y default rates</w:t>
            </w:r>
            <w:r w:rsidRPr="00915ADB">
              <w:rPr>
                <w:webHidden/>
              </w:rPr>
              <w:tab/>
            </w:r>
            <w:r w:rsidRPr="00915ADB">
              <w:rPr>
                <w:webHidden/>
              </w:rPr>
              <w:fldChar w:fldCharType="begin"/>
            </w:r>
            <w:r w:rsidRPr="00915ADB">
              <w:rPr>
                <w:webHidden/>
              </w:rPr>
              <w:instrText xml:space="preserve"> PAGEREF _Toc167131817 \h </w:instrText>
            </w:r>
            <w:r w:rsidRPr="00915ADB">
              <w:rPr>
                <w:webHidden/>
              </w:rPr>
            </w:r>
            <w:r w:rsidRPr="00915ADB">
              <w:rPr>
                <w:webHidden/>
              </w:rPr>
              <w:fldChar w:fldCharType="separate"/>
            </w:r>
            <w:r w:rsidRPr="00915ADB">
              <w:rPr>
                <w:webHidden/>
              </w:rPr>
              <w:t>37</w:t>
            </w:r>
            <w:r w:rsidRPr="00915ADB">
              <w:rPr>
                <w:webHidden/>
              </w:rPr>
              <w:fldChar w:fldCharType="end"/>
            </w:r>
          </w:hyperlink>
        </w:p>
        <w:p w14:paraId="4BC6C195" w14:textId="06410D8E" w:rsidR="00644EB8" w:rsidRPr="00915ADB" w:rsidRDefault="00644EB8">
          <w:pPr>
            <w:pStyle w:val="Indicedellefigure"/>
            <w:rPr>
              <w:rFonts w:eastAsiaTheme="minorEastAsia"/>
              <w:color w:val="auto"/>
              <w:kern w:val="2"/>
              <w:lang w:val="it-IT" w:eastAsia="it-IT"/>
              <w14:ligatures w14:val="standardContextual"/>
            </w:rPr>
          </w:pPr>
          <w:hyperlink w:anchor="_Toc167131818" w:history="1">
            <w:r w:rsidRPr="00915ADB">
              <w:rPr>
                <w:rStyle w:val="Collegamentoipertestuale"/>
                <w:rFonts w:cs="Segoe UI"/>
                <w:lang w:val="en-GB"/>
              </w:rPr>
              <w:t>Exhibit 50: Average Accuracy Ratio by time horizon (1-y to 5-y, default period from 2009 to 2023)</w:t>
            </w:r>
            <w:r w:rsidRPr="00915ADB">
              <w:rPr>
                <w:webHidden/>
              </w:rPr>
              <w:tab/>
            </w:r>
            <w:r w:rsidRPr="00915ADB">
              <w:rPr>
                <w:webHidden/>
              </w:rPr>
              <w:fldChar w:fldCharType="begin"/>
            </w:r>
            <w:r w:rsidRPr="00915ADB">
              <w:rPr>
                <w:webHidden/>
              </w:rPr>
              <w:instrText xml:space="preserve"> PAGEREF _Toc167131818 \h </w:instrText>
            </w:r>
            <w:r w:rsidRPr="00915ADB">
              <w:rPr>
                <w:webHidden/>
              </w:rPr>
            </w:r>
            <w:r w:rsidRPr="00915ADB">
              <w:rPr>
                <w:webHidden/>
              </w:rPr>
              <w:fldChar w:fldCharType="separate"/>
            </w:r>
            <w:r w:rsidRPr="00915ADB">
              <w:rPr>
                <w:webHidden/>
              </w:rPr>
              <w:t>38</w:t>
            </w:r>
            <w:r w:rsidRPr="00915ADB">
              <w:rPr>
                <w:webHidden/>
              </w:rPr>
              <w:fldChar w:fldCharType="end"/>
            </w:r>
          </w:hyperlink>
        </w:p>
        <w:p w14:paraId="22FD40C8" w14:textId="3CB1BC52" w:rsidR="00644EB8" w:rsidRPr="00915ADB" w:rsidRDefault="00644EB8">
          <w:pPr>
            <w:pStyle w:val="Indicedellefigure"/>
            <w:rPr>
              <w:rFonts w:eastAsiaTheme="minorEastAsia"/>
              <w:color w:val="auto"/>
              <w:kern w:val="2"/>
              <w:lang w:val="it-IT" w:eastAsia="it-IT"/>
              <w14:ligatures w14:val="standardContextual"/>
            </w:rPr>
          </w:pPr>
          <w:hyperlink w:anchor="_Toc167131819" w:history="1">
            <w:r w:rsidRPr="00915ADB">
              <w:rPr>
                <w:rStyle w:val="Collegamentoipertestuale"/>
                <w:rFonts w:cs="Segoe UI"/>
                <w:lang w:val="en-GB"/>
              </w:rPr>
              <w:t>Exhibit 51: Comparison between Cumulative Accuracy Profiles for 1-3-5 years</w:t>
            </w:r>
            <w:r w:rsidRPr="00915ADB">
              <w:rPr>
                <w:webHidden/>
              </w:rPr>
              <w:tab/>
            </w:r>
            <w:r w:rsidRPr="00915ADB">
              <w:rPr>
                <w:webHidden/>
              </w:rPr>
              <w:fldChar w:fldCharType="begin"/>
            </w:r>
            <w:r w:rsidRPr="00915ADB">
              <w:rPr>
                <w:webHidden/>
              </w:rPr>
              <w:instrText xml:space="preserve"> PAGEREF _Toc167131819 \h </w:instrText>
            </w:r>
            <w:r w:rsidRPr="00915ADB">
              <w:rPr>
                <w:webHidden/>
              </w:rPr>
            </w:r>
            <w:r w:rsidRPr="00915ADB">
              <w:rPr>
                <w:webHidden/>
              </w:rPr>
              <w:fldChar w:fldCharType="separate"/>
            </w:r>
            <w:r w:rsidRPr="00915ADB">
              <w:rPr>
                <w:webHidden/>
              </w:rPr>
              <w:t>38</w:t>
            </w:r>
            <w:r w:rsidRPr="00915ADB">
              <w:rPr>
                <w:webHidden/>
              </w:rPr>
              <w:fldChar w:fldCharType="end"/>
            </w:r>
          </w:hyperlink>
        </w:p>
        <w:p w14:paraId="68AAEF5A" w14:textId="58AF7CB0" w:rsidR="00644EB8" w:rsidRPr="00915ADB" w:rsidRDefault="00644EB8">
          <w:pPr>
            <w:pStyle w:val="Indicedellefigure"/>
            <w:rPr>
              <w:rFonts w:eastAsiaTheme="minorEastAsia"/>
              <w:color w:val="auto"/>
              <w:kern w:val="2"/>
              <w:lang w:val="it-IT" w:eastAsia="it-IT"/>
              <w14:ligatures w14:val="standardContextual"/>
            </w:rPr>
          </w:pPr>
          <w:hyperlink w:anchor="_Toc167131820" w:history="1">
            <w:r w:rsidRPr="00915ADB">
              <w:rPr>
                <w:rStyle w:val="Collegamentoipertestuale"/>
                <w:rFonts w:cs="Segoe UI"/>
                <w:lang w:val="en-GB"/>
              </w:rPr>
              <w:t>Exhibit 52: Accuracy Ratio by static pool (1-year to 5-year)</w:t>
            </w:r>
            <w:r w:rsidRPr="00915ADB">
              <w:rPr>
                <w:webHidden/>
              </w:rPr>
              <w:tab/>
            </w:r>
            <w:r w:rsidRPr="00915ADB">
              <w:rPr>
                <w:webHidden/>
              </w:rPr>
              <w:fldChar w:fldCharType="begin"/>
            </w:r>
            <w:r w:rsidRPr="00915ADB">
              <w:rPr>
                <w:webHidden/>
              </w:rPr>
              <w:instrText xml:space="preserve"> PAGEREF _Toc167131820 \h </w:instrText>
            </w:r>
            <w:r w:rsidRPr="00915ADB">
              <w:rPr>
                <w:webHidden/>
              </w:rPr>
            </w:r>
            <w:r w:rsidRPr="00915ADB">
              <w:rPr>
                <w:webHidden/>
              </w:rPr>
              <w:fldChar w:fldCharType="separate"/>
            </w:r>
            <w:r w:rsidRPr="00915ADB">
              <w:rPr>
                <w:webHidden/>
              </w:rPr>
              <w:t>39</w:t>
            </w:r>
            <w:r w:rsidRPr="00915ADB">
              <w:rPr>
                <w:webHidden/>
              </w:rPr>
              <w:fldChar w:fldCharType="end"/>
            </w:r>
          </w:hyperlink>
        </w:p>
        <w:p w14:paraId="00AD4077" w14:textId="31FB0F1A" w:rsidR="00644EB8" w:rsidRPr="00915ADB" w:rsidRDefault="00644EB8">
          <w:pPr>
            <w:pStyle w:val="Indicedellefigure"/>
            <w:rPr>
              <w:rFonts w:eastAsiaTheme="minorEastAsia"/>
              <w:color w:val="auto"/>
              <w:kern w:val="2"/>
              <w:lang w:val="it-IT" w:eastAsia="it-IT"/>
              <w14:ligatures w14:val="standardContextual"/>
            </w:rPr>
          </w:pPr>
          <w:hyperlink w:anchor="_Toc167131821" w:history="1">
            <w:r w:rsidRPr="00915ADB">
              <w:rPr>
                <w:rStyle w:val="Collegamentoipertestuale"/>
                <w:rFonts w:cs="Segoe UI"/>
                <w:lang w:val="en-GB"/>
              </w:rPr>
              <w:t>Exhibit 53: Breakdown of Small and Medium rated entities (percentage of share within SME segment)</w:t>
            </w:r>
            <w:r w:rsidRPr="00915ADB">
              <w:rPr>
                <w:webHidden/>
              </w:rPr>
              <w:tab/>
            </w:r>
            <w:r w:rsidRPr="00915ADB">
              <w:rPr>
                <w:webHidden/>
              </w:rPr>
              <w:fldChar w:fldCharType="begin"/>
            </w:r>
            <w:r w:rsidRPr="00915ADB">
              <w:rPr>
                <w:webHidden/>
              </w:rPr>
              <w:instrText xml:space="preserve"> PAGEREF _Toc167131821 \h </w:instrText>
            </w:r>
            <w:r w:rsidRPr="00915ADB">
              <w:rPr>
                <w:webHidden/>
              </w:rPr>
            </w:r>
            <w:r w:rsidRPr="00915ADB">
              <w:rPr>
                <w:webHidden/>
              </w:rPr>
              <w:fldChar w:fldCharType="separate"/>
            </w:r>
            <w:r w:rsidRPr="00915ADB">
              <w:rPr>
                <w:webHidden/>
              </w:rPr>
              <w:t>40</w:t>
            </w:r>
            <w:r w:rsidRPr="00915ADB">
              <w:rPr>
                <w:webHidden/>
              </w:rPr>
              <w:fldChar w:fldCharType="end"/>
            </w:r>
          </w:hyperlink>
        </w:p>
        <w:p w14:paraId="118ED6DF" w14:textId="20169E11" w:rsidR="00644EB8" w:rsidRPr="00915ADB" w:rsidRDefault="00644EB8">
          <w:pPr>
            <w:pStyle w:val="Indicedellefigure"/>
            <w:rPr>
              <w:rFonts w:eastAsiaTheme="minorEastAsia"/>
              <w:color w:val="auto"/>
              <w:kern w:val="2"/>
              <w:lang w:val="it-IT" w:eastAsia="it-IT"/>
              <w14:ligatures w14:val="standardContextual"/>
            </w:rPr>
          </w:pPr>
          <w:hyperlink w:anchor="_Toc167131822" w:history="1">
            <w:r w:rsidRPr="00915ADB">
              <w:rPr>
                <w:rStyle w:val="Collegamentoipertestuale"/>
                <w:rFonts w:cs="Segoe UI"/>
                <w:lang w:val="en-GB"/>
              </w:rPr>
              <w:t>Exhibit 54: Rating distribution of Small and Medium rated entities on pools from 2008 to 2022</w:t>
            </w:r>
            <w:r w:rsidRPr="00915ADB">
              <w:rPr>
                <w:webHidden/>
              </w:rPr>
              <w:tab/>
            </w:r>
            <w:r w:rsidRPr="00915ADB">
              <w:rPr>
                <w:webHidden/>
              </w:rPr>
              <w:fldChar w:fldCharType="begin"/>
            </w:r>
            <w:r w:rsidRPr="00915ADB">
              <w:rPr>
                <w:webHidden/>
              </w:rPr>
              <w:instrText xml:space="preserve"> PAGEREF _Toc167131822 \h </w:instrText>
            </w:r>
            <w:r w:rsidRPr="00915ADB">
              <w:rPr>
                <w:webHidden/>
              </w:rPr>
            </w:r>
            <w:r w:rsidRPr="00915ADB">
              <w:rPr>
                <w:webHidden/>
              </w:rPr>
              <w:fldChar w:fldCharType="separate"/>
            </w:r>
            <w:r w:rsidRPr="00915ADB">
              <w:rPr>
                <w:webHidden/>
              </w:rPr>
              <w:t>41</w:t>
            </w:r>
            <w:r w:rsidRPr="00915ADB">
              <w:rPr>
                <w:webHidden/>
              </w:rPr>
              <w:fldChar w:fldCharType="end"/>
            </w:r>
          </w:hyperlink>
        </w:p>
        <w:p w14:paraId="2FD5E0FC" w14:textId="2A770756" w:rsidR="00644EB8" w:rsidRPr="00915ADB" w:rsidRDefault="00644EB8">
          <w:pPr>
            <w:pStyle w:val="Indicedellefigure"/>
            <w:rPr>
              <w:rFonts w:eastAsiaTheme="minorEastAsia"/>
              <w:color w:val="auto"/>
              <w:kern w:val="2"/>
              <w:lang w:val="it-IT" w:eastAsia="it-IT"/>
              <w14:ligatures w14:val="standardContextual"/>
            </w:rPr>
          </w:pPr>
          <w:hyperlink w:anchor="_Toc167131823" w:history="1">
            <w:r w:rsidRPr="00915ADB">
              <w:rPr>
                <w:rStyle w:val="Collegamentoipertestuale"/>
                <w:rFonts w:cs="Segoe UI"/>
                <w:lang w:val="en-GB"/>
              </w:rPr>
              <w:t>Exhibit 55: Distribution of SME by area of risk: details by size</w:t>
            </w:r>
            <w:r w:rsidRPr="00915ADB">
              <w:rPr>
                <w:webHidden/>
              </w:rPr>
              <w:tab/>
            </w:r>
            <w:r w:rsidRPr="00915ADB">
              <w:rPr>
                <w:webHidden/>
              </w:rPr>
              <w:fldChar w:fldCharType="begin"/>
            </w:r>
            <w:r w:rsidRPr="00915ADB">
              <w:rPr>
                <w:webHidden/>
              </w:rPr>
              <w:instrText xml:space="preserve"> PAGEREF _Toc167131823 \h </w:instrText>
            </w:r>
            <w:r w:rsidRPr="00915ADB">
              <w:rPr>
                <w:webHidden/>
              </w:rPr>
            </w:r>
            <w:r w:rsidRPr="00915ADB">
              <w:rPr>
                <w:webHidden/>
              </w:rPr>
              <w:fldChar w:fldCharType="separate"/>
            </w:r>
            <w:r w:rsidRPr="00915ADB">
              <w:rPr>
                <w:webHidden/>
              </w:rPr>
              <w:t>41</w:t>
            </w:r>
            <w:r w:rsidRPr="00915ADB">
              <w:rPr>
                <w:webHidden/>
              </w:rPr>
              <w:fldChar w:fldCharType="end"/>
            </w:r>
          </w:hyperlink>
        </w:p>
        <w:p w14:paraId="3B24FCD3" w14:textId="637DA1BB" w:rsidR="00644EB8" w:rsidRPr="00915ADB" w:rsidRDefault="00644EB8">
          <w:pPr>
            <w:pStyle w:val="Indicedellefigure"/>
            <w:rPr>
              <w:rFonts w:eastAsiaTheme="minorEastAsia"/>
              <w:color w:val="auto"/>
              <w:kern w:val="2"/>
              <w:lang w:val="it-IT" w:eastAsia="it-IT"/>
              <w14:ligatures w14:val="standardContextual"/>
            </w:rPr>
          </w:pPr>
          <w:hyperlink w:anchor="_Toc167131824" w:history="1">
            <w:r w:rsidRPr="00915ADB">
              <w:rPr>
                <w:rStyle w:val="Collegamentoipertestuale"/>
                <w:rFonts w:cs="Segoe UI"/>
                <w:lang w:val="en-GB"/>
              </w:rPr>
              <w:t>Exhibit 56: Breakdown of SME defaulted rated entities by risk categories (1-year default events)</w:t>
            </w:r>
            <w:r w:rsidRPr="00915ADB">
              <w:rPr>
                <w:webHidden/>
              </w:rPr>
              <w:tab/>
            </w:r>
            <w:r w:rsidRPr="00915ADB">
              <w:rPr>
                <w:webHidden/>
              </w:rPr>
              <w:fldChar w:fldCharType="begin"/>
            </w:r>
            <w:r w:rsidRPr="00915ADB">
              <w:rPr>
                <w:webHidden/>
              </w:rPr>
              <w:instrText xml:space="preserve"> PAGEREF _Toc167131824 \h </w:instrText>
            </w:r>
            <w:r w:rsidRPr="00915ADB">
              <w:rPr>
                <w:webHidden/>
              </w:rPr>
            </w:r>
            <w:r w:rsidRPr="00915ADB">
              <w:rPr>
                <w:webHidden/>
              </w:rPr>
              <w:fldChar w:fldCharType="separate"/>
            </w:r>
            <w:r w:rsidRPr="00915ADB">
              <w:rPr>
                <w:webHidden/>
              </w:rPr>
              <w:t>42</w:t>
            </w:r>
            <w:r w:rsidRPr="00915ADB">
              <w:rPr>
                <w:webHidden/>
              </w:rPr>
              <w:fldChar w:fldCharType="end"/>
            </w:r>
          </w:hyperlink>
        </w:p>
        <w:p w14:paraId="1504019C" w14:textId="4915EE2D" w:rsidR="00644EB8" w:rsidRPr="00915ADB" w:rsidRDefault="00644EB8">
          <w:pPr>
            <w:pStyle w:val="Indicedellefigure"/>
            <w:rPr>
              <w:rFonts w:eastAsiaTheme="minorEastAsia"/>
              <w:color w:val="auto"/>
              <w:kern w:val="2"/>
              <w:lang w:val="it-IT" w:eastAsia="it-IT"/>
              <w14:ligatures w14:val="standardContextual"/>
            </w:rPr>
          </w:pPr>
          <w:hyperlink w:anchor="_Toc167131825" w:history="1">
            <w:r w:rsidRPr="00915ADB">
              <w:rPr>
                <w:rStyle w:val="Collegamentoipertestuale"/>
                <w:rFonts w:cs="Segoe UI"/>
                <w:lang w:val="en-GB"/>
              </w:rPr>
              <w:t>Exhibit 57: Average 1-year SME default rates by rating grade</w:t>
            </w:r>
            <w:r w:rsidRPr="00915ADB">
              <w:rPr>
                <w:webHidden/>
              </w:rPr>
              <w:tab/>
            </w:r>
            <w:r w:rsidRPr="00915ADB">
              <w:rPr>
                <w:webHidden/>
              </w:rPr>
              <w:fldChar w:fldCharType="begin"/>
            </w:r>
            <w:r w:rsidRPr="00915ADB">
              <w:rPr>
                <w:webHidden/>
              </w:rPr>
              <w:instrText xml:space="preserve"> PAGEREF _Toc167131825 \h </w:instrText>
            </w:r>
            <w:r w:rsidRPr="00915ADB">
              <w:rPr>
                <w:webHidden/>
              </w:rPr>
            </w:r>
            <w:r w:rsidRPr="00915ADB">
              <w:rPr>
                <w:webHidden/>
              </w:rPr>
              <w:fldChar w:fldCharType="separate"/>
            </w:r>
            <w:r w:rsidRPr="00915ADB">
              <w:rPr>
                <w:webHidden/>
              </w:rPr>
              <w:t>43</w:t>
            </w:r>
            <w:r w:rsidRPr="00915ADB">
              <w:rPr>
                <w:webHidden/>
              </w:rPr>
              <w:fldChar w:fldCharType="end"/>
            </w:r>
          </w:hyperlink>
        </w:p>
        <w:p w14:paraId="55BE7C76" w14:textId="079A76A9" w:rsidR="00644EB8" w:rsidRPr="00915ADB" w:rsidRDefault="00644EB8">
          <w:pPr>
            <w:pStyle w:val="Indicedellefigure"/>
            <w:rPr>
              <w:rFonts w:eastAsiaTheme="minorEastAsia"/>
              <w:color w:val="auto"/>
              <w:kern w:val="2"/>
              <w:lang w:val="it-IT" w:eastAsia="it-IT"/>
              <w14:ligatures w14:val="standardContextual"/>
            </w:rPr>
          </w:pPr>
          <w:hyperlink w:anchor="_Toc167131826" w:history="1">
            <w:r w:rsidRPr="00915ADB">
              <w:rPr>
                <w:rStyle w:val="Collegamentoipertestuale"/>
                <w:rFonts w:cs="Segoe UI"/>
                <w:lang w:val="en-GB"/>
              </w:rPr>
              <w:t>Exhibit 58: Average SME default rates by risk area</w:t>
            </w:r>
            <w:r w:rsidRPr="00915ADB">
              <w:rPr>
                <w:webHidden/>
              </w:rPr>
              <w:tab/>
            </w:r>
            <w:r w:rsidRPr="00915ADB">
              <w:rPr>
                <w:webHidden/>
              </w:rPr>
              <w:fldChar w:fldCharType="begin"/>
            </w:r>
            <w:r w:rsidRPr="00915ADB">
              <w:rPr>
                <w:webHidden/>
              </w:rPr>
              <w:instrText xml:space="preserve"> PAGEREF _Toc167131826 \h </w:instrText>
            </w:r>
            <w:r w:rsidRPr="00915ADB">
              <w:rPr>
                <w:webHidden/>
              </w:rPr>
            </w:r>
            <w:r w:rsidRPr="00915ADB">
              <w:rPr>
                <w:webHidden/>
              </w:rPr>
              <w:fldChar w:fldCharType="separate"/>
            </w:r>
            <w:r w:rsidRPr="00915ADB">
              <w:rPr>
                <w:webHidden/>
              </w:rPr>
              <w:t>43</w:t>
            </w:r>
            <w:r w:rsidRPr="00915ADB">
              <w:rPr>
                <w:webHidden/>
              </w:rPr>
              <w:fldChar w:fldCharType="end"/>
            </w:r>
          </w:hyperlink>
        </w:p>
        <w:p w14:paraId="07B99CF4" w14:textId="413FDE48" w:rsidR="00644EB8" w:rsidRPr="00915ADB" w:rsidRDefault="00644EB8">
          <w:pPr>
            <w:pStyle w:val="Indicedellefigure"/>
            <w:rPr>
              <w:rFonts w:eastAsiaTheme="minorEastAsia"/>
              <w:color w:val="auto"/>
              <w:kern w:val="2"/>
              <w:lang w:val="it-IT" w:eastAsia="it-IT"/>
              <w14:ligatures w14:val="standardContextual"/>
            </w:rPr>
          </w:pPr>
          <w:hyperlink w:anchor="_Toc167131827" w:history="1">
            <w:r w:rsidRPr="00915ADB">
              <w:rPr>
                <w:rStyle w:val="Collegamentoipertestuale"/>
                <w:rFonts w:cs="Segoe UI"/>
                <w:lang w:val="en-GB"/>
              </w:rPr>
              <w:t>Exhibit 59: Breakdown of SME defaulted rated entities by risk area</w:t>
            </w:r>
            <w:r w:rsidRPr="00915ADB">
              <w:rPr>
                <w:webHidden/>
              </w:rPr>
              <w:tab/>
            </w:r>
            <w:r w:rsidRPr="00915ADB">
              <w:rPr>
                <w:webHidden/>
              </w:rPr>
              <w:fldChar w:fldCharType="begin"/>
            </w:r>
            <w:r w:rsidRPr="00915ADB">
              <w:rPr>
                <w:webHidden/>
              </w:rPr>
              <w:instrText xml:space="preserve"> PAGEREF _Toc167131827 \h </w:instrText>
            </w:r>
            <w:r w:rsidRPr="00915ADB">
              <w:rPr>
                <w:webHidden/>
              </w:rPr>
            </w:r>
            <w:r w:rsidRPr="00915ADB">
              <w:rPr>
                <w:webHidden/>
              </w:rPr>
              <w:fldChar w:fldCharType="separate"/>
            </w:r>
            <w:r w:rsidRPr="00915ADB">
              <w:rPr>
                <w:webHidden/>
              </w:rPr>
              <w:t>44</w:t>
            </w:r>
            <w:r w:rsidRPr="00915ADB">
              <w:rPr>
                <w:webHidden/>
              </w:rPr>
              <w:fldChar w:fldCharType="end"/>
            </w:r>
          </w:hyperlink>
        </w:p>
        <w:p w14:paraId="76C6E732" w14:textId="1179EC9B" w:rsidR="00644EB8" w:rsidRPr="00915ADB" w:rsidRDefault="00644EB8">
          <w:pPr>
            <w:pStyle w:val="Indicedellefigure"/>
            <w:rPr>
              <w:rFonts w:eastAsiaTheme="minorEastAsia"/>
              <w:color w:val="auto"/>
              <w:kern w:val="2"/>
              <w:lang w:val="it-IT" w:eastAsia="it-IT"/>
              <w14:ligatures w14:val="standardContextual"/>
            </w:rPr>
          </w:pPr>
          <w:hyperlink w:anchor="_Toc167131828" w:history="1">
            <w:r w:rsidRPr="00915ADB">
              <w:rPr>
                <w:rStyle w:val="Collegamentoipertestuale"/>
                <w:rFonts w:cs="Segoe UI"/>
                <w:lang w:val="en-GB"/>
              </w:rPr>
              <w:t>Exhibit 60: Cumulative SME default rates</w:t>
            </w:r>
            <w:r w:rsidRPr="00915ADB">
              <w:rPr>
                <w:webHidden/>
              </w:rPr>
              <w:tab/>
            </w:r>
            <w:r w:rsidRPr="00915ADB">
              <w:rPr>
                <w:webHidden/>
              </w:rPr>
              <w:fldChar w:fldCharType="begin"/>
            </w:r>
            <w:r w:rsidRPr="00915ADB">
              <w:rPr>
                <w:webHidden/>
              </w:rPr>
              <w:instrText xml:space="preserve"> PAGEREF _Toc167131828 \h </w:instrText>
            </w:r>
            <w:r w:rsidRPr="00915ADB">
              <w:rPr>
                <w:webHidden/>
              </w:rPr>
            </w:r>
            <w:r w:rsidRPr="00915ADB">
              <w:rPr>
                <w:webHidden/>
              </w:rPr>
              <w:fldChar w:fldCharType="separate"/>
            </w:r>
            <w:r w:rsidRPr="00915ADB">
              <w:rPr>
                <w:webHidden/>
              </w:rPr>
              <w:t>45</w:t>
            </w:r>
            <w:r w:rsidRPr="00915ADB">
              <w:rPr>
                <w:webHidden/>
              </w:rPr>
              <w:fldChar w:fldCharType="end"/>
            </w:r>
          </w:hyperlink>
        </w:p>
        <w:p w14:paraId="47A06FF6" w14:textId="6068D100" w:rsidR="00644EB8" w:rsidRPr="00915ADB" w:rsidRDefault="00644EB8">
          <w:pPr>
            <w:pStyle w:val="Indicedellefigure"/>
            <w:rPr>
              <w:rFonts w:eastAsiaTheme="minorEastAsia"/>
              <w:color w:val="auto"/>
              <w:kern w:val="2"/>
              <w:lang w:val="it-IT" w:eastAsia="it-IT"/>
              <w14:ligatures w14:val="standardContextual"/>
            </w:rPr>
          </w:pPr>
          <w:hyperlink w:anchor="_Toc167131829" w:history="1">
            <w:r w:rsidRPr="00915ADB">
              <w:rPr>
                <w:rStyle w:val="Collegamentoipertestuale"/>
                <w:rFonts w:cs="Segoe UI"/>
                <w:lang w:val="en-GB"/>
              </w:rPr>
              <w:t>Exhibit 61: Average SME Accuracy Ratio by time horizon (1-y to 5-y, default period from 2009 to 2023</w:t>
            </w:r>
            <w:r w:rsidRPr="00915ADB">
              <w:rPr>
                <w:webHidden/>
              </w:rPr>
              <w:tab/>
            </w:r>
            <w:r w:rsidRPr="00915ADB">
              <w:rPr>
                <w:webHidden/>
              </w:rPr>
              <w:fldChar w:fldCharType="begin"/>
            </w:r>
            <w:r w:rsidRPr="00915ADB">
              <w:rPr>
                <w:webHidden/>
              </w:rPr>
              <w:instrText xml:space="preserve"> PAGEREF _Toc167131829 \h </w:instrText>
            </w:r>
            <w:r w:rsidRPr="00915ADB">
              <w:rPr>
                <w:webHidden/>
              </w:rPr>
            </w:r>
            <w:r w:rsidRPr="00915ADB">
              <w:rPr>
                <w:webHidden/>
              </w:rPr>
              <w:fldChar w:fldCharType="separate"/>
            </w:r>
            <w:r w:rsidRPr="00915ADB">
              <w:rPr>
                <w:webHidden/>
              </w:rPr>
              <w:t>45</w:t>
            </w:r>
            <w:r w:rsidRPr="00915ADB">
              <w:rPr>
                <w:webHidden/>
              </w:rPr>
              <w:fldChar w:fldCharType="end"/>
            </w:r>
          </w:hyperlink>
        </w:p>
        <w:p w14:paraId="70F40183" w14:textId="6A28E332" w:rsidR="00644EB8" w:rsidRPr="00915ADB" w:rsidRDefault="00644EB8">
          <w:pPr>
            <w:pStyle w:val="Indicedellefigure"/>
            <w:rPr>
              <w:rFonts w:eastAsiaTheme="minorEastAsia"/>
              <w:color w:val="auto"/>
              <w:kern w:val="2"/>
              <w:lang w:val="it-IT" w:eastAsia="it-IT"/>
              <w14:ligatures w14:val="standardContextual"/>
            </w:rPr>
          </w:pPr>
          <w:hyperlink w:anchor="_Toc167131830" w:history="1">
            <w:r w:rsidRPr="00915ADB">
              <w:rPr>
                <w:rStyle w:val="Collegamentoipertestuale"/>
                <w:rFonts w:cs="Segoe UI"/>
                <w:lang w:val="en-GB"/>
              </w:rPr>
              <w:t>Exhibit 62: SME Accuracy Ratio by static pool (1-year to 5-year)</w:t>
            </w:r>
            <w:r w:rsidRPr="00915ADB">
              <w:rPr>
                <w:webHidden/>
              </w:rPr>
              <w:tab/>
            </w:r>
            <w:r w:rsidRPr="00915ADB">
              <w:rPr>
                <w:webHidden/>
              </w:rPr>
              <w:fldChar w:fldCharType="begin"/>
            </w:r>
            <w:r w:rsidRPr="00915ADB">
              <w:rPr>
                <w:webHidden/>
              </w:rPr>
              <w:instrText xml:space="preserve"> PAGEREF _Toc167131830 \h </w:instrText>
            </w:r>
            <w:r w:rsidRPr="00915ADB">
              <w:rPr>
                <w:webHidden/>
              </w:rPr>
            </w:r>
            <w:r w:rsidRPr="00915ADB">
              <w:rPr>
                <w:webHidden/>
              </w:rPr>
              <w:fldChar w:fldCharType="separate"/>
            </w:r>
            <w:r w:rsidRPr="00915ADB">
              <w:rPr>
                <w:webHidden/>
              </w:rPr>
              <w:t>46</w:t>
            </w:r>
            <w:r w:rsidRPr="00915ADB">
              <w:rPr>
                <w:webHidden/>
              </w:rPr>
              <w:fldChar w:fldCharType="end"/>
            </w:r>
          </w:hyperlink>
        </w:p>
        <w:p w14:paraId="5BEAF3ED" w14:textId="2739EB34" w:rsidR="00644EB8" w:rsidRPr="00915ADB" w:rsidRDefault="00644EB8">
          <w:pPr>
            <w:pStyle w:val="Indicedellefigure"/>
            <w:rPr>
              <w:rFonts w:eastAsiaTheme="minorEastAsia"/>
              <w:color w:val="auto"/>
              <w:kern w:val="2"/>
              <w:lang w:val="it-IT" w:eastAsia="it-IT"/>
              <w14:ligatures w14:val="standardContextual"/>
            </w:rPr>
          </w:pPr>
          <w:hyperlink w:anchor="_Toc167131831" w:history="1">
            <w:r w:rsidRPr="00915ADB">
              <w:rPr>
                <w:rStyle w:val="Collegamentoipertestuale"/>
                <w:rFonts w:cs="Segoe UI"/>
                <w:lang w:val="en-GB"/>
              </w:rPr>
              <w:t>Exhibit 63: 1-Y transition matrix</w:t>
            </w:r>
            <w:r w:rsidRPr="00915ADB">
              <w:rPr>
                <w:webHidden/>
              </w:rPr>
              <w:tab/>
            </w:r>
            <w:r w:rsidRPr="00915ADB">
              <w:rPr>
                <w:webHidden/>
              </w:rPr>
              <w:fldChar w:fldCharType="begin"/>
            </w:r>
            <w:r w:rsidRPr="00915ADB">
              <w:rPr>
                <w:webHidden/>
              </w:rPr>
              <w:instrText xml:space="preserve"> PAGEREF _Toc167131831 \h </w:instrText>
            </w:r>
            <w:r w:rsidRPr="00915ADB">
              <w:rPr>
                <w:webHidden/>
              </w:rPr>
            </w:r>
            <w:r w:rsidRPr="00915ADB">
              <w:rPr>
                <w:webHidden/>
              </w:rPr>
              <w:fldChar w:fldCharType="separate"/>
            </w:r>
            <w:r w:rsidRPr="00915ADB">
              <w:rPr>
                <w:webHidden/>
              </w:rPr>
              <w:t>47</w:t>
            </w:r>
            <w:r w:rsidRPr="00915ADB">
              <w:rPr>
                <w:webHidden/>
              </w:rPr>
              <w:fldChar w:fldCharType="end"/>
            </w:r>
          </w:hyperlink>
        </w:p>
        <w:p w14:paraId="5F9CB652" w14:textId="6799945D" w:rsidR="00644EB8" w:rsidRPr="00915ADB" w:rsidRDefault="00644EB8">
          <w:pPr>
            <w:pStyle w:val="Indicedellefigure"/>
            <w:rPr>
              <w:rFonts w:eastAsiaTheme="minorEastAsia"/>
              <w:color w:val="auto"/>
              <w:kern w:val="2"/>
              <w:lang w:val="it-IT" w:eastAsia="it-IT"/>
              <w14:ligatures w14:val="standardContextual"/>
            </w:rPr>
          </w:pPr>
          <w:hyperlink w:anchor="_Toc167131832" w:history="1">
            <w:r w:rsidRPr="00915ADB">
              <w:rPr>
                <w:rStyle w:val="Collegamentoipertestuale"/>
                <w:rFonts w:cs="Segoe UI"/>
                <w:lang w:val="en-GB"/>
              </w:rPr>
              <w:t>Exhibit 64: Breakdown of occurred migrations</w:t>
            </w:r>
            <w:r w:rsidRPr="00915ADB">
              <w:rPr>
                <w:webHidden/>
              </w:rPr>
              <w:tab/>
            </w:r>
            <w:r w:rsidRPr="00915ADB">
              <w:rPr>
                <w:webHidden/>
              </w:rPr>
              <w:fldChar w:fldCharType="begin"/>
            </w:r>
            <w:r w:rsidRPr="00915ADB">
              <w:rPr>
                <w:webHidden/>
              </w:rPr>
              <w:instrText xml:space="preserve"> PAGEREF _Toc167131832 \h </w:instrText>
            </w:r>
            <w:r w:rsidRPr="00915ADB">
              <w:rPr>
                <w:webHidden/>
              </w:rPr>
            </w:r>
            <w:r w:rsidRPr="00915ADB">
              <w:rPr>
                <w:webHidden/>
              </w:rPr>
              <w:fldChar w:fldCharType="separate"/>
            </w:r>
            <w:r w:rsidRPr="00915ADB">
              <w:rPr>
                <w:webHidden/>
              </w:rPr>
              <w:t>48</w:t>
            </w:r>
            <w:r w:rsidRPr="00915ADB">
              <w:rPr>
                <w:webHidden/>
              </w:rPr>
              <w:fldChar w:fldCharType="end"/>
            </w:r>
          </w:hyperlink>
        </w:p>
        <w:p w14:paraId="1A0B3EDC" w14:textId="004C5756" w:rsidR="00644EB8" w:rsidRPr="00915ADB" w:rsidRDefault="00644EB8">
          <w:pPr>
            <w:pStyle w:val="Indicedellefigure"/>
            <w:rPr>
              <w:rFonts w:eastAsiaTheme="minorEastAsia"/>
              <w:color w:val="auto"/>
              <w:kern w:val="2"/>
              <w:lang w:val="it-IT" w:eastAsia="it-IT"/>
              <w14:ligatures w14:val="standardContextual"/>
            </w:rPr>
          </w:pPr>
          <w:hyperlink w:anchor="_Toc167131833" w:history="1">
            <w:r w:rsidRPr="00915ADB">
              <w:rPr>
                <w:rStyle w:val="Collegamentoipertestuale"/>
                <w:rFonts w:cs="Segoe UI"/>
                <w:lang w:val="en-GB"/>
              </w:rPr>
              <w:t>Exhibit 65: 1-Y transition matrix on the tridiagonal</w:t>
            </w:r>
            <w:r w:rsidRPr="00915ADB">
              <w:rPr>
                <w:webHidden/>
              </w:rPr>
              <w:tab/>
            </w:r>
            <w:r w:rsidRPr="00915ADB">
              <w:rPr>
                <w:webHidden/>
              </w:rPr>
              <w:fldChar w:fldCharType="begin"/>
            </w:r>
            <w:r w:rsidRPr="00915ADB">
              <w:rPr>
                <w:webHidden/>
              </w:rPr>
              <w:instrText xml:space="preserve"> PAGEREF _Toc167131833 \h </w:instrText>
            </w:r>
            <w:r w:rsidRPr="00915ADB">
              <w:rPr>
                <w:webHidden/>
              </w:rPr>
            </w:r>
            <w:r w:rsidRPr="00915ADB">
              <w:rPr>
                <w:webHidden/>
              </w:rPr>
              <w:fldChar w:fldCharType="separate"/>
            </w:r>
            <w:r w:rsidRPr="00915ADB">
              <w:rPr>
                <w:webHidden/>
              </w:rPr>
              <w:t>48</w:t>
            </w:r>
            <w:r w:rsidRPr="00915ADB">
              <w:rPr>
                <w:webHidden/>
              </w:rPr>
              <w:fldChar w:fldCharType="end"/>
            </w:r>
          </w:hyperlink>
        </w:p>
        <w:p w14:paraId="3C7733F2" w14:textId="635FEECE" w:rsidR="00644EB8" w:rsidRPr="00915ADB" w:rsidRDefault="00644EB8">
          <w:pPr>
            <w:pStyle w:val="Indicedellefigure"/>
            <w:rPr>
              <w:rFonts w:eastAsiaTheme="minorEastAsia"/>
              <w:color w:val="auto"/>
              <w:kern w:val="2"/>
              <w:lang w:val="it-IT" w:eastAsia="it-IT"/>
              <w14:ligatures w14:val="standardContextual"/>
            </w:rPr>
          </w:pPr>
          <w:hyperlink w:anchor="_Toc167131834" w:history="1">
            <w:r w:rsidRPr="00915ADB">
              <w:rPr>
                <w:rStyle w:val="Collegamentoipertestuale"/>
                <w:rFonts w:cs="Segoe UI"/>
                <w:lang w:val="en-GB"/>
              </w:rPr>
              <w:t>Exhibit 66: Rating evolutions in last five years</w:t>
            </w:r>
            <w:r w:rsidRPr="00915ADB">
              <w:rPr>
                <w:webHidden/>
              </w:rPr>
              <w:tab/>
            </w:r>
            <w:r w:rsidRPr="00915ADB">
              <w:rPr>
                <w:webHidden/>
              </w:rPr>
              <w:fldChar w:fldCharType="begin"/>
            </w:r>
            <w:r w:rsidRPr="00915ADB">
              <w:rPr>
                <w:webHidden/>
              </w:rPr>
              <w:instrText xml:space="preserve"> PAGEREF _Toc167131834 \h </w:instrText>
            </w:r>
            <w:r w:rsidRPr="00915ADB">
              <w:rPr>
                <w:webHidden/>
              </w:rPr>
            </w:r>
            <w:r w:rsidRPr="00915ADB">
              <w:rPr>
                <w:webHidden/>
              </w:rPr>
              <w:fldChar w:fldCharType="separate"/>
            </w:r>
            <w:r w:rsidRPr="00915ADB">
              <w:rPr>
                <w:webHidden/>
              </w:rPr>
              <w:t>49</w:t>
            </w:r>
            <w:r w:rsidRPr="00915ADB">
              <w:rPr>
                <w:webHidden/>
              </w:rPr>
              <w:fldChar w:fldCharType="end"/>
            </w:r>
          </w:hyperlink>
        </w:p>
        <w:p w14:paraId="4410A354" w14:textId="07B78686" w:rsidR="00644EB8" w:rsidRPr="00915ADB" w:rsidRDefault="00644EB8">
          <w:pPr>
            <w:pStyle w:val="Indicedellefigure"/>
            <w:rPr>
              <w:rFonts w:eastAsiaTheme="minorEastAsia"/>
              <w:color w:val="auto"/>
              <w:kern w:val="2"/>
              <w:lang w:val="it-IT" w:eastAsia="it-IT"/>
              <w14:ligatures w14:val="standardContextual"/>
            </w:rPr>
          </w:pPr>
          <w:hyperlink w:anchor="_Toc167131835" w:history="1">
            <w:r w:rsidRPr="00915ADB">
              <w:rPr>
                <w:rStyle w:val="Collegamentoipertestuale"/>
                <w:rFonts w:cs="Segoe UI"/>
                <w:lang w:val="en-GB"/>
              </w:rPr>
              <w:t>Exhibit 67: Cerved Rating Agency rating scale</w:t>
            </w:r>
            <w:r w:rsidRPr="00915ADB">
              <w:rPr>
                <w:webHidden/>
              </w:rPr>
              <w:tab/>
            </w:r>
            <w:r w:rsidRPr="00915ADB">
              <w:rPr>
                <w:webHidden/>
              </w:rPr>
              <w:fldChar w:fldCharType="begin"/>
            </w:r>
            <w:r w:rsidRPr="00915ADB">
              <w:rPr>
                <w:webHidden/>
              </w:rPr>
              <w:instrText xml:space="preserve"> PAGEREF _Toc167131835 \h </w:instrText>
            </w:r>
            <w:r w:rsidRPr="00915ADB">
              <w:rPr>
                <w:webHidden/>
              </w:rPr>
            </w:r>
            <w:r w:rsidRPr="00915ADB">
              <w:rPr>
                <w:webHidden/>
              </w:rPr>
              <w:fldChar w:fldCharType="separate"/>
            </w:r>
            <w:r w:rsidRPr="00915ADB">
              <w:rPr>
                <w:webHidden/>
              </w:rPr>
              <w:t>50</w:t>
            </w:r>
            <w:r w:rsidRPr="00915ADB">
              <w:rPr>
                <w:webHidden/>
              </w:rPr>
              <w:fldChar w:fldCharType="end"/>
            </w:r>
          </w:hyperlink>
        </w:p>
        <w:p w14:paraId="4D56B43E" w14:textId="033A72BC" w:rsidR="00644EB8" w:rsidRPr="00915ADB" w:rsidRDefault="00644EB8">
          <w:pPr>
            <w:pStyle w:val="Indicedellefigure"/>
            <w:rPr>
              <w:rFonts w:eastAsiaTheme="minorEastAsia"/>
              <w:color w:val="auto"/>
              <w:kern w:val="2"/>
              <w:lang w:val="it-IT" w:eastAsia="it-IT"/>
              <w14:ligatures w14:val="standardContextual"/>
            </w:rPr>
          </w:pPr>
          <w:hyperlink w:anchor="_Toc167131836" w:history="1">
            <w:r w:rsidRPr="00915ADB">
              <w:rPr>
                <w:rStyle w:val="Collegamentoipertestuale"/>
                <w:rFonts w:cs="Segoe UI"/>
                <w:lang w:val="en-GB"/>
              </w:rPr>
              <w:t>Exhibit 68: Static pool approach explanatory scheme</w:t>
            </w:r>
            <w:r w:rsidRPr="00915ADB">
              <w:rPr>
                <w:webHidden/>
              </w:rPr>
              <w:tab/>
            </w:r>
            <w:r w:rsidRPr="00915ADB">
              <w:rPr>
                <w:webHidden/>
              </w:rPr>
              <w:fldChar w:fldCharType="begin"/>
            </w:r>
            <w:r w:rsidRPr="00915ADB">
              <w:rPr>
                <w:webHidden/>
              </w:rPr>
              <w:instrText xml:space="preserve"> PAGEREF _Toc167131836 \h </w:instrText>
            </w:r>
            <w:r w:rsidRPr="00915ADB">
              <w:rPr>
                <w:webHidden/>
              </w:rPr>
            </w:r>
            <w:r w:rsidRPr="00915ADB">
              <w:rPr>
                <w:webHidden/>
              </w:rPr>
              <w:fldChar w:fldCharType="separate"/>
            </w:r>
            <w:r w:rsidRPr="00915ADB">
              <w:rPr>
                <w:webHidden/>
              </w:rPr>
              <w:t>52</w:t>
            </w:r>
            <w:r w:rsidRPr="00915ADB">
              <w:rPr>
                <w:webHidden/>
              </w:rPr>
              <w:fldChar w:fldCharType="end"/>
            </w:r>
          </w:hyperlink>
        </w:p>
        <w:p w14:paraId="124D897D" w14:textId="0D1D63A3" w:rsidR="00644EB8" w:rsidRDefault="00644EB8">
          <w:pPr>
            <w:pStyle w:val="Indicedellefigure"/>
            <w:rPr>
              <w:rFonts w:asciiTheme="minorHAnsi" w:eastAsiaTheme="minorEastAsia" w:hAnsiTheme="minorHAnsi"/>
              <w:color w:val="auto"/>
              <w:kern w:val="2"/>
              <w:sz w:val="24"/>
              <w:szCs w:val="24"/>
              <w:lang w:val="it-IT" w:eastAsia="it-IT"/>
              <w14:ligatures w14:val="standardContextual"/>
            </w:rPr>
          </w:pPr>
          <w:hyperlink w:anchor="_Toc167131837" w:history="1">
            <w:r w:rsidRPr="00915ADB">
              <w:rPr>
                <w:rStyle w:val="Collegamentoipertestuale"/>
                <w:rFonts w:cs="Segoe UI"/>
                <w:lang w:val="en-GB"/>
              </w:rPr>
              <w:t>Exhibit 69: CAP curve and Accuracy Ratio (Gini index) formula</w:t>
            </w:r>
            <w:r w:rsidRPr="00915ADB">
              <w:rPr>
                <w:webHidden/>
              </w:rPr>
              <w:tab/>
            </w:r>
            <w:r w:rsidRPr="00915ADB">
              <w:rPr>
                <w:webHidden/>
              </w:rPr>
              <w:fldChar w:fldCharType="begin"/>
            </w:r>
            <w:r w:rsidRPr="00915ADB">
              <w:rPr>
                <w:webHidden/>
              </w:rPr>
              <w:instrText xml:space="preserve"> PAGEREF _Toc167131837 \h </w:instrText>
            </w:r>
            <w:r w:rsidRPr="00915ADB">
              <w:rPr>
                <w:webHidden/>
              </w:rPr>
            </w:r>
            <w:r w:rsidRPr="00915ADB">
              <w:rPr>
                <w:webHidden/>
              </w:rPr>
              <w:fldChar w:fldCharType="separate"/>
            </w:r>
            <w:r w:rsidRPr="00915ADB">
              <w:rPr>
                <w:webHidden/>
              </w:rPr>
              <w:t>53</w:t>
            </w:r>
            <w:r w:rsidRPr="00915ADB">
              <w:rPr>
                <w:webHidden/>
              </w:rPr>
              <w:fldChar w:fldCharType="end"/>
            </w:r>
          </w:hyperlink>
        </w:p>
        <w:p w14:paraId="3E71981A" w14:textId="43A04784" w:rsidR="00947BE5" w:rsidRPr="00043D26" w:rsidRDefault="00E31974" w:rsidP="002D3F8F">
          <w:pPr>
            <w:pStyle w:val="Indicedellefigure"/>
            <w:tabs>
              <w:tab w:val="clear" w:pos="8448"/>
              <w:tab w:val="right" w:leader="dot" w:pos="8647"/>
            </w:tabs>
            <w:rPr>
              <w:lang w:val="it-IT"/>
            </w:rPr>
          </w:pPr>
          <w:r w:rsidRPr="002D3F8F">
            <w:rPr>
              <w:lang w:val="it-IT"/>
            </w:rPr>
            <w:fldChar w:fldCharType="end"/>
          </w:r>
        </w:p>
      </w:sdtContent>
    </w:sdt>
    <w:p w14:paraId="37DB899C" w14:textId="77777777" w:rsidR="00D33671" w:rsidRPr="00043D26" w:rsidRDefault="00D33671" w:rsidP="00017D4B">
      <w:pPr>
        <w:rPr>
          <w:lang w:val="it-IT"/>
        </w:rPr>
        <w:sectPr w:rsidR="00D33671" w:rsidRPr="00043D26" w:rsidSect="00FE7714">
          <w:headerReference w:type="default" r:id="rId47"/>
          <w:footerReference w:type="default" r:id="rId48"/>
          <w:pgSz w:w="11906" w:h="16838" w:code="9"/>
          <w:pgMar w:top="2268" w:right="707" w:bottom="1588" w:left="851" w:header="709" w:footer="567" w:gutter="0"/>
          <w:cols w:space="708"/>
          <w:docGrid w:linePitch="360"/>
        </w:sectPr>
      </w:pPr>
    </w:p>
    <w:p w14:paraId="7C3AE4AF" w14:textId="77777777" w:rsidR="00017D4B" w:rsidRDefault="00D33671" w:rsidP="00CB5DB4">
      <w:r>
        <w:rPr>
          <w:noProof/>
        </w:rPr>
        <w:lastRenderedPageBreak/>
        <mc:AlternateContent>
          <mc:Choice Requires="wps">
            <w:drawing>
              <wp:anchor distT="0" distB="0" distL="114300" distR="114300" simplePos="0" relativeHeight="251658240" behindDoc="0" locked="0" layoutInCell="1" allowOverlap="1" wp14:anchorId="289FAA3E" wp14:editId="1052C626">
                <wp:simplePos x="0" y="0"/>
                <wp:positionH relativeFrom="page">
                  <wp:align>right</wp:align>
                </wp:positionH>
                <wp:positionV relativeFrom="page">
                  <wp:align>top</wp:align>
                </wp:positionV>
                <wp:extent cx="7558560" cy="1069164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8560" cy="10691640"/>
                        </a:xfrm>
                        <a:prstGeom prst="rect">
                          <a:avLst/>
                        </a:prstGeom>
                        <a:noFill/>
                      </wps:spPr>
                      <wps:txbx>
                        <w:txbxContent>
                          <w:sdt>
                            <w:sdtPr>
                              <w:alias w:val="Form.ChooseBrand.WordBackPage"/>
                              <w:tag w:val="{&quot;templafy&quot;:{&quot;id&quot;:&quot;859a700c-f70b-46d0-a2b1-0194b9eb2e66&quot;}}"/>
                              <w:id w:val="-947617664"/>
                              <w:picture/>
                            </w:sdtPr>
                            <w:sdtContent>
                              <w:p w14:paraId="13FDC920" w14:textId="77777777" w:rsidR="00D33671" w:rsidRDefault="00CE039B" w:rsidP="003652A2">
                                <w:pPr>
                                  <w:spacing w:before="0"/>
                                </w:pPr>
                                <w:r>
                                  <w:rPr>
                                    <w:noProof/>
                                  </w:rPr>
                                  <w:drawing>
                                    <wp:inline distT="0" distB="0" distL="0" distR="0" wp14:anchorId="06AF6615" wp14:editId="11EBDE44">
                                      <wp:extent cx="7587865" cy="10728000"/>
                                      <wp:effectExtent l="0" t="0" r="0" b="0"/>
                                      <wp:docPr id="1368538713" name="Picture 5"/>
                                      <wp:cNvGraphicFramePr/>
                                      <a:graphic xmlns:a="http://schemas.openxmlformats.org/drawingml/2006/main">
                                        <a:graphicData uri="http://schemas.openxmlformats.org/drawingml/2006/picture">
                                          <pic:pic xmlns:pic="http://schemas.openxmlformats.org/drawingml/2006/picture">
                                            <pic:nvPicPr>
                                              <pic:cNvPr id="1368538713" name="Picture 5"/>
                                              <pic:cNvPicPr/>
                                            </pic:nvPicPr>
                                            <pic:blipFill>
                                              <a:blip r:embed="rId49">
                                                <a:extLst>
                                                  <a:ext uri="{28A0092B-C50C-407E-A947-70E740481C1C}">
                                                    <a14:useLocalDpi xmlns:a14="http://schemas.microsoft.com/office/drawing/2010/main" val="0"/>
                                                  </a:ext>
                                                </a:extLst>
                                              </a:blip>
                                              <a:stretch>
                                                <a:fillRect/>
                                              </a:stretch>
                                            </pic:blipFill>
                                            <pic:spPr>
                                              <a:xfrm>
                                                <a:off x="0" y="0"/>
                                                <a:ext cx="7587865" cy="10728000"/>
                                              </a:xfrm>
                                              <a:prstGeom prst="rect">
                                                <a:avLst/>
                                              </a:prstGeom>
                                            </pic:spPr>
                                          </pic:pic>
                                        </a:graphicData>
                                      </a:graphic>
                                    </wp:inline>
                                  </w:drawing>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shape w14:anchorId="289FAA3E" id="Text Box 24" o:spid="_x0000_s1034" type="#_x0000_t202" style="position:absolute;left:0;text-align:left;margin-left:543.95pt;margin-top:0;width:595.15pt;height:841.85pt;z-index:251658240;visibility:visible;mso-wrap-style:square;mso-width-percent:1000;mso-height-percent:1000;mso-wrap-distance-left:9pt;mso-wrap-distance-top:0;mso-wrap-distance-right:9pt;mso-wrap-distance-bottom:0;mso-position-horizontal:right;mso-position-horizontal-relative:page;mso-position-vertical:top;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" filled="f" stroked="f">
                <v:textbox inset="0,0,0,0">
                  <w:txbxContent>
                    <w:sdt>
                      <w:sdtPr>
                        <w:alias w:val="Form.ChooseBrand.WordBackPage"/>
                        <w:tag w:val="{&quot;templafy&quot;:{&quot;id&quot;:&quot;859a700c-f70b-46d0-a2b1-0194b9eb2e66&quot;}}"/>
                        <w:id w:val="-947617664"/>
                        <w:picture/>
                      </w:sdtPr>
                      <w:sdtEndPr/>
                      <w:sdtContent>
                        <w:p w14:paraId="13FDC920" w14:textId="77777777" w:rsidR="00D33671" w:rsidRDefault="00CE039B" w:rsidP="003652A2">
                          <w:pPr>
                            <w:spacing w:before="0"/>
                          </w:pPr>
                          <w:r>
                            <w:rPr>
                              <w:noProof/>
                            </w:rPr>
                            <w:drawing>
                              <wp:inline distT="0" distB="0" distL="0" distR="0" wp14:anchorId="06AF6615" wp14:editId="11EBDE44">
                                <wp:extent cx="7587865" cy="10728000"/>
                                <wp:effectExtent l="0" t="0" r="0" b="0"/>
                                <wp:docPr id="1368538713" name="Picture 5"/>
                                <wp:cNvGraphicFramePr/>
                                <a:graphic xmlns:a="http://schemas.openxmlformats.org/drawingml/2006/main">
                                  <a:graphicData uri="http://schemas.openxmlformats.org/drawingml/2006/picture">
                                    <pic:pic xmlns:pic="http://schemas.openxmlformats.org/drawingml/2006/picture">
                                      <pic:nvPicPr>
                                        <pic:cNvPr id="1368538713" name="Picture 5"/>
                                        <pic:cNvPicPr/>
                                      </pic:nvPicPr>
                                      <pic:blipFill>
                                        <a:blip r:embed="rId50">
                                          <a:extLst>
                                            <a:ext uri="{28A0092B-C50C-407E-A947-70E740481C1C}">
                                              <a14:useLocalDpi xmlns:a14="http://schemas.microsoft.com/office/drawing/2010/main" val="0"/>
                                            </a:ext>
                                          </a:extLst>
                                        </a:blip>
                                        <a:stretch>
                                          <a:fillRect/>
                                        </a:stretch>
                                      </pic:blipFill>
                                      <pic:spPr>
                                        <a:xfrm>
                                          <a:off x="0" y="0"/>
                                          <a:ext cx="7587865" cy="10728000"/>
                                        </a:xfrm>
                                        <a:prstGeom prst="rect">
                                          <a:avLst/>
                                        </a:prstGeom>
                                      </pic:spPr>
                                    </pic:pic>
                                  </a:graphicData>
                                </a:graphic>
                              </wp:inline>
                            </w:drawing>
                          </w:r>
                        </w:p>
                      </w:sdtContent>
                    </w:sdt>
                  </w:txbxContent>
                </v:textbox>
                <w10:wrap anchorx="page" anchory="page"/>
              </v:shape>
            </w:pict>
          </mc:Fallback>
        </mc:AlternateContent>
      </w:r>
    </w:p>
    <w:sectPr w:rsidR="00017D4B" w:rsidSect="00FE7714">
      <w:headerReference w:type="default" r:id="rId51"/>
      <w:footerReference w:type="default" r:id="rId52"/>
      <w:pgSz w:w="11906" w:h="16838" w:code="9"/>
      <w:pgMar w:top="2268" w:right="1701" w:bottom="1588" w:left="1701" w:header="709" w:footer="10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E6109" w14:textId="77777777" w:rsidR="00FC28E2" w:rsidRDefault="00FC28E2" w:rsidP="000D4D4E">
      <w:pPr>
        <w:spacing w:before="0" w:line="240" w:lineRule="auto"/>
      </w:pPr>
      <w:r>
        <w:separator/>
      </w:r>
    </w:p>
  </w:endnote>
  <w:endnote w:type="continuationSeparator" w:id="0">
    <w:p w14:paraId="1C15F70B" w14:textId="77777777" w:rsidR="00FC28E2" w:rsidRDefault="00FC28E2" w:rsidP="000D4D4E">
      <w:pPr>
        <w:spacing w:before="0" w:line="240" w:lineRule="auto"/>
      </w:pPr>
      <w:r>
        <w:continuationSeparator/>
      </w:r>
    </w:p>
  </w:endnote>
  <w:endnote w:type="continuationNotice" w:id="1">
    <w:p w14:paraId="1E0878ED" w14:textId="77777777" w:rsidR="00FC28E2" w:rsidRDefault="00FC28E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n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ource Sans Pro SemiBold">
    <w:charset w:val="00"/>
    <w:family w:val="swiss"/>
    <w:pitch w:val="variable"/>
    <w:sig w:usb0="600002F7" w:usb1="02000001" w:usb2="00000000" w:usb3="00000000" w:csb0="0000019F" w:csb1="00000000"/>
  </w:font>
  <w:font w:name="Source Sans Pro">
    <w:charset w:val="00"/>
    <w:family w:val="swiss"/>
    <w:pitch w:val="variable"/>
    <w:sig w:usb0="600002F7" w:usb1="02000001"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
      <w:tblW w:w="5000" w:type="pct"/>
      <w:tblLook w:val="04A0" w:firstRow="1" w:lastRow="0" w:firstColumn="1" w:lastColumn="0" w:noHBand="0" w:noVBand="1"/>
    </w:tblPr>
    <w:tblGrid>
      <w:gridCol w:w="9447"/>
      <w:gridCol w:w="474"/>
    </w:tblGrid>
    <w:tr w:rsidR="009F35B5" w14:paraId="3ECB870F" w14:textId="77777777" w:rsidTr="001F5EEA">
      <w:trPr>
        <w:trHeight w:hRule="exact" w:val="964"/>
      </w:trPr>
      <w:tc>
        <w:tcPr>
          <w:tcW w:w="8098" w:type="dxa"/>
          <w:vAlign w:val="bottom"/>
        </w:tcPr>
        <w:p w14:paraId="6C0A0E8E" w14:textId="5DB84F35" w:rsidR="007B4CF8" w:rsidRDefault="00657B29" w:rsidP="00327A17">
          <w:pPr>
            <w:pStyle w:val="HeaderBold"/>
          </w:pPr>
          <w:r>
            <mc:AlternateContent>
              <mc:Choice Requires="wps">
                <w:drawing>
                  <wp:anchor distT="0" distB="0" distL="114300" distR="114300" simplePos="0" relativeHeight="251658241" behindDoc="0" locked="0" layoutInCell="1" allowOverlap="1" wp14:anchorId="1B12546D" wp14:editId="293D8D4D">
                    <wp:simplePos x="0" y="0"/>
                    <wp:positionH relativeFrom="column">
                      <wp:posOffset>-3810</wp:posOffset>
                    </wp:positionH>
                    <wp:positionV relativeFrom="paragraph">
                      <wp:posOffset>-2540</wp:posOffset>
                    </wp:positionV>
                    <wp:extent cx="2400935" cy="226060"/>
                    <wp:effectExtent l="0" t="0" r="13335" b="2540"/>
                    <wp:wrapNone/>
                    <wp:docPr id="5" name="Text Box 5"/>
                    <wp:cNvGraphicFramePr/>
                    <a:graphic xmlns:a="http://schemas.openxmlformats.org/drawingml/2006/main">
                      <a:graphicData uri="http://schemas.microsoft.com/office/word/2010/wordprocessingShape">
                        <wps:wsp>
                          <wps:cNvSpPr txBox="1"/>
                          <wps:spPr>
                            <a:xfrm>
                              <a:off x="0" y="0"/>
                              <a:ext cx="2400935" cy="226060"/>
                            </a:xfrm>
                            <a:prstGeom prst="rect">
                              <a:avLst/>
                            </a:prstGeom>
                            <a:noFill/>
                            <a:ln w="6350">
                              <a:noFill/>
                            </a:ln>
                          </wps:spPr>
                          <wps:txbx>
                            <w:txbxContent>
                              <w:p w14:paraId="16A49334" w14:textId="77777777" w:rsidR="00657B29" w:rsidRPr="00657B29" w:rsidRDefault="00000000">
                                <w:pPr>
                                  <w:pStyle w:val="HeaderBold"/>
                                  <w:rPr>
                                    <w:rFonts w:eastAsiaTheme="minorHAnsi"/>
                                    <w:color w:val="FFFFFF" w:themeColor="background1"/>
                                    <w:szCs w:val="18"/>
                                    <w14:textFill>
                                      <w14:noFill/>
                                    </w14:textFill>
                                  </w:rPr>
                                </w:pPr>
                                <w:sdt>
                                  <w:sdtPr>
                                    <w:rPr>
                                      <w:vanish/>
                                      <w:color w:val="FFFFFF" w:themeColor="background1"/>
                                      <w14:textFill>
                                        <w14:noFill/>
                                      </w14:textFill>
                                    </w:rPr>
                                    <w:alias w:val="text"/>
                                    <w:tag w:val="{&quot;templafy&quot;:{&quot;id&quot;:&quot;dcc62f7c-edc5-4dd3-8fd6-3e7d33e3db6b&quot;}}"/>
                                    <w:id w:val="539479737"/>
                                  </w:sdtPr>
                                  <w:sdtContent>
                                    <w:r w:rsidR="00943B00">
                                      <w:rPr>
                                        <w:vanish/>
                                      </w:rPr>
                                      <w:t xml:space="preserve">Highly confidential - any distribution to third parties is strictly prohibited.  </w:t>
                                    </w:r>
                                  </w:sdtContent>
                                </w:sdt>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B12546D" id="_x0000_t202" coordsize="21600,21600" o:spt="202" path="m,l,21600r21600,l21600,xe">
                    <v:stroke joinstyle="miter"/>
                    <v:path gradientshapeok="t" o:connecttype="rect"/>
                  </v:shapetype>
                  <v:shape id="Text Box 5" o:spid="_x0000_s1036" type="#_x0000_t202" style="position:absolute;margin-left:-.3pt;margin-top:-.2pt;width:189.05pt;height:17.8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" filled="f" stroked="f" strokeweight=".5pt">
                    <v:textbox style="mso-fit-shape-to-text:t" inset="0,0,0,0">
                      <w:txbxContent>
                        <w:p w14:paraId="16A49334" w14:textId="77777777" w:rsidR="00657B29" w:rsidRPr="00657B29" w:rsidRDefault="00D65E96">
                          <w:pPr>
                            <w:pStyle w:val="HeaderBold"/>
                            <w:rPr>
                              <w:rFonts w:eastAsiaTheme="minorHAnsi"/>
                              <w:color w:val="FFFFFF" w:themeColor="background1"/>
                              <w:szCs w:val="18"/>
                              <w14:textFill>
                                <w14:noFill/>
                              </w14:textFill>
                            </w:rPr>
                          </w:pPr>
                          <w:sdt>
                            <w:sdtPr>
                              <w:rPr>
                                <w:vanish/>
                                <w:color w:val="FFFFFF" w:themeColor="background1"/>
                                <w14:textFill>
                                  <w14:noFill/>
                                </w14:textFill>
                              </w:rPr>
                              <w:alias w:val="text"/>
                              <w:tag w:val="{&quot;templafy&quot;:{&quot;id&quot;:&quot;dcc62f7c-edc5-4dd3-8fd6-3e7d33e3db6b&quot;}}"/>
                              <w:id w:val="539479737"/>
                            </w:sdtPr>
                            <w:sdtEndPr/>
                            <w:sdtContent>
                              <w:r w:rsidR="00943B00">
                                <w:rPr>
                                  <w:vanish/>
                                </w:rPr>
                                <w:t xml:space="preserve">Highly confidential - any distribution to third parties is strictly prohibited.  </w:t>
                              </w:r>
                            </w:sdtContent>
                          </w:sdt>
                        </w:p>
                      </w:txbxContent>
                    </v:textbox>
                  </v:shape>
                </w:pict>
              </mc:Fallback>
            </mc:AlternateContent>
          </w:r>
          <w:sdt>
            <w:sdtPr>
              <w:alias w:val="Form.Confidentiality.Insert"/>
              <w:tag w:val="{&quot;templafy&quot;:{&quot;id&quot;:&quot;376ed169-aaf0-465b-b07f-97fe4fd6cd2c&quot;}}"/>
              <w:id w:val="-158468220"/>
              <w:placeholder>
                <w:docPart w:val="18D983487B3B4E40971DDF7FEC2D4200"/>
              </w:placeholder>
            </w:sdtPr>
            <w:sdtContent>
              <w:r>
                <w:t>Highly confidential - any distribution to third parties is strictly prohibited.</w:t>
              </w:r>
            </w:sdtContent>
          </w:sdt>
          <w:sdt>
            <w:sdtPr>
              <w:alias w:val="Form.DocumentType"/>
              <w:tag w:val="{&quot;templafy&quot;:{&quot;id&quot;:&quot;f26305af-7677-4f88-9cf1-bf60c86a47b2&quot;}}"/>
              <w:id w:val="-773787244"/>
              <w:placeholder>
                <w:docPart w:val="345F037ED8BB423C920C29C3713BD774"/>
              </w:placeholder>
            </w:sdtPr>
            <w:sdtContent>
              <w:r w:rsidR="00A06CAE">
                <w:t xml:space="preserve"> </w:t>
              </w:r>
            </w:sdtContent>
          </w:sdt>
        </w:p>
      </w:tc>
      <w:tc>
        <w:tcPr>
          <w:tcW w:w="406" w:type="dxa"/>
          <w:vAlign w:val="bottom"/>
        </w:tcPr>
        <w:p w14:paraId="58DD59D1" w14:textId="77777777" w:rsidR="00565058" w:rsidRDefault="00565058" w:rsidP="0097148E">
          <w:pPr>
            <w:pStyle w:val="PageNumber"/>
          </w:pPr>
          <w:r>
            <w:fldChar w:fldCharType="begin"/>
          </w:r>
          <w:r>
            <w:instrText xml:space="preserve"> PAGE  </w:instrText>
          </w:r>
          <w:r>
            <w:fldChar w:fldCharType="separate"/>
          </w:r>
          <w:r>
            <w:t>2</w:t>
          </w:r>
          <w:r>
            <w:fldChar w:fldCharType="end"/>
          </w:r>
        </w:p>
      </w:tc>
    </w:tr>
  </w:tbl>
  <w:p w14:paraId="21092604" w14:textId="77777777" w:rsidR="007114AF" w:rsidRPr="00565058" w:rsidRDefault="007114AF" w:rsidP="00565058">
    <w:pPr>
      <w:pStyle w:val="HeaderBold"/>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95778" w14:textId="77777777" w:rsidR="007114AF" w:rsidRDefault="007114AF" w:rsidP="00770C11">
    <w:pPr>
      <w:pStyle w:val="DocClient"/>
    </w:pPr>
  </w:p>
  <w:sdt>
    <w:sdtPr>
      <w:alias w:val="text"/>
      <w:tag w:val="{&quot;templafy&quot;:{&quot;id&quot;:&quot;030a8f0d-9998-400a-ae0f-292295351064&quot;}}"/>
      <w:id w:val="1079561864"/>
      <w:placeholder>
        <w:docPart w:val="8B282658A2E140A4810090C48056733A"/>
      </w:placeholder>
    </w:sdtPr>
    <w:sdtContent>
      <w:sdt>
        <w:sdtPr>
          <w:alias w:val="Form.Confidentiality.Confidentiality"/>
          <w:tag w:val="{&quot;templafy&quot;:{&quot;id&quot;:&quot;c8072775-7977-4b7b-bcfc-6238c5191744&quot;}}"/>
          <w:id w:val="-1385711685"/>
          <w:placeholder>
            <w:docPart w:val="C7AFAA6858A349B39CE74495FC136780"/>
          </w:placeholder>
        </w:sdtPr>
        <w:sdtContent>
          <w:p w14:paraId="058D3F0F" w14:textId="77777777" w:rsidR="009301F3" w:rsidRDefault="00A06CAE">
            <w:pPr>
              <w:pStyle w:val="HeaderBold"/>
            </w:pPr>
            <w:r>
              <w:t>Highly confidential - any distribution to third parties is strictly prohibited.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B01D3" w14:textId="77777777" w:rsidR="00FC28E2" w:rsidRDefault="00FC28E2" w:rsidP="000D4D4E">
      <w:pPr>
        <w:spacing w:before="0" w:line="240" w:lineRule="auto"/>
      </w:pPr>
    </w:p>
  </w:footnote>
  <w:footnote w:type="continuationSeparator" w:id="0">
    <w:p w14:paraId="7545F32A" w14:textId="77777777" w:rsidR="00FC28E2" w:rsidRDefault="00FC28E2" w:rsidP="000D4D4E">
      <w:pPr>
        <w:spacing w:before="0" w:line="240" w:lineRule="auto"/>
      </w:pPr>
    </w:p>
  </w:footnote>
  <w:footnote w:type="continuationNotice" w:id="1">
    <w:p w14:paraId="5416E4B8" w14:textId="77777777" w:rsidR="00FC28E2" w:rsidRDefault="00FC28E2">
      <w:pPr>
        <w:spacing w:before="0" w:line="240" w:lineRule="auto"/>
      </w:pPr>
    </w:p>
  </w:footnote>
  <w:footnote w:id="2">
    <w:p w14:paraId="2C73352A" w14:textId="77777777" w:rsidR="004101BF" w:rsidRPr="00F56658" w:rsidRDefault="004101BF" w:rsidP="004101BF">
      <w:pPr>
        <w:pStyle w:val="Testonotaapidipagina"/>
        <w:spacing w:after="240"/>
        <w:jc w:val="both"/>
        <w:rPr>
          <w:rFonts w:ascii="Segoe UI" w:hAnsi="Segoe UI" w:cs="Segoe UI"/>
          <w:sz w:val="14"/>
          <w:lang w:val="en-GB"/>
        </w:rPr>
      </w:pPr>
      <w:r w:rsidRPr="00F56658">
        <w:rPr>
          <w:rStyle w:val="Rimandonotaapidipagina"/>
          <w:rFonts w:ascii="Segoe UI" w:hAnsi="Segoe UI" w:cs="Segoe UI"/>
          <w:sz w:val="14"/>
          <w:lang w:val="en-GB"/>
        </w:rPr>
        <w:footnoteRef/>
      </w:r>
      <w:r w:rsidRPr="00F56658">
        <w:rPr>
          <w:rFonts w:ascii="Segoe UI" w:hAnsi="Segoe UI" w:cs="Segoe UI"/>
          <w:sz w:val="14"/>
          <w:lang w:val="en-GB"/>
        </w:rPr>
        <w:t xml:space="preserve"> The considered default categories are defined consistently with the current regulation on this subject.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70F3" w14:textId="77777777" w:rsidR="007114AF" w:rsidRDefault="00CD438F">
    <w:pPr>
      <w:pStyle w:val="Intestazione"/>
    </w:pPr>
    <w:r>
      <w:rPr>
        <w:noProof/>
      </w:rPr>
      <mc:AlternateContent>
        <mc:Choice Requires="wps">
          <w:drawing>
            <wp:anchor distT="0" distB="0" distL="114300" distR="114300" simplePos="0" relativeHeight="251658240" behindDoc="0" locked="0" layoutInCell="1" allowOverlap="1" wp14:anchorId="53D1B025" wp14:editId="2E5F5A27">
              <wp:simplePos x="0" y="0"/>
              <wp:positionH relativeFrom="page">
                <wp:align>right</wp:align>
              </wp:positionH>
              <wp:positionV relativeFrom="page">
                <wp:align>top</wp:align>
              </wp:positionV>
              <wp:extent cx="7559040" cy="14058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559040" cy="1405890"/>
                      </a:xfrm>
                      <a:prstGeom prst="rect">
                        <a:avLst/>
                      </a:prstGeom>
                      <a:noFill/>
                    </wps:spPr>
                    <wps:txbx>
                      <w:txbxContent>
                        <w:sdt>
                          <w:sdtPr>
                            <w:alias w:val="Form.ChooseBrand.WordInternalLogo"/>
                            <w:tag w:val="{&quot;templafy&quot;:{&quot;id&quot;:&quot;214405af-abde-4a1b-b9cc-3bf9ac6855dc&quot;}}"/>
                            <w:id w:val="-888340747"/>
                            <w:picture/>
                          </w:sdtPr>
                          <w:sdtContent>
                            <w:p w14:paraId="20BA97BE" w14:textId="77777777" w:rsidR="00466FAE" w:rsidRDefault="00466FAE" w:rsidP="00466FAE">
                              <w:pPr>
                                <w:pStyle w:val="Intestazione"/>
                                <w:jc w:val="right"/>
                              </w:pPr>
                              <w:r>
                                <w:rPr>
                                  <w:noProof/>
                                </w:rPr>
                                <w:drawing>
                                  <wp:inline distT="0" distB="0" distL="0" distR="0" wp14:anchorId="65E1C2B1" wp14:editId="32F70D9B">
                                    <wp:extent cx="3063600" cy="338400"/>
                                    <wp:effectExtent l="0" t="0" r="3810" b="5080"/>
                                    <wp:docPr id="2065457357" name="Picture 1"/>
                                    <wp:cNvGraphicFramePr/>
                                    <a:graphic xmlns:a="http://schemas.openxmlformats.org/drawingml/2006/main">
                                      <a:graphicData uri="http://schemas.openxmlformats.org/drawingml/2006/picture">
                                        <pic:pic xmlns:pic="http://schemas.openxmlformats.org/drawingml/2006/picture">
                                          <pic:nvPicPr>
                                            <pic:cNvPr id="206545735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063600" cy="338400"/>
                                            </a:xfrm>
                                            <a:prstGeom prst="rect">
                                              <a:avLst/>
                                            </a:prstGeom>
                                          </pic:spPr>
                                        </pic:pic>
                                      </a:graphicData>
                                    </a:graphic>
                                  </wp:inline>
                                </w:drawing>
                              </w:r>
                            </w:p>
                          </w:sdtContent>
                        </w:sdt>
                        <w:p w14:paraId="315C20FA" w14:textId="77777777" w:rsidR="00466FAE" w:rsidRDefault="00466FA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D1B025" id="_x0000_t202" coordsize="21600,21600" o:spt="202" path="m,l,21600r21600,l21600,xe">
              <v:stroke joinstyle="miter"/>
              <v:path gradientshapeok="t" o:connecttype="rect"/>
            </v:shapetype>
            <v:shape id="Text Box 4" o:spid="_x0000_s1034" type="#_x0000_t202" style="position:absolute;margin-left:544pt;margin-top:0;width:595.2pt;height:110.7pt;z-index:25165824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" filled="f" stroked="f">
              <v:textbox inset="0,0,0,0">
                <w:txbxContent>
                  <w:sdt>
                    <w:sdtPr>
                      <w:alias w:val="Form.ChooseBrand.WordInternalLogo"/>
                      <w:tag w:val="{&quot;templafy&quot;:{&quot;id&quot;:&quot;214405af-abde-4a1b-b9cc-3bf9ac6855dc&quot;}}"/>
                      <w:id w:val="-888340747"/>
                      <w:picture/>
                    </w:sdtPr>
                    <w:sdtContent>
                      <w:p w14:paraId="20BA97BE" w14:textId="77777777" w:rsidR="00466FAE" w:rsidRDefault="00466FAE" w:rsidP="00466FAE">
                        <w:pPr>
                          <w:pStyle w:val="Intestazione"/>
                          <w:jc w:val="right"/>
                        </w:pPr>
                        <w:r>
                          <w:rPr>
                            <w:noProof/>
                          </w:rPr>
                          <w:drawing>
                            <wp:inline distT="0" distB="0" distL="0" distR="0" wp14:anchorId="65E1C2B1" wp14:editId="32F70D9B">
                              <wp:extent cx="3063600" cy="338400"/>
                              <wp:effectExtent l="0" t="0" r="3810" b="5080"/>
                              <wp:docPr id="2065457357" name="Picture 1"/>
                              <wp:cNvGraphicFramePr/>
                              <a:graphic xmlns:a="http://schemas.openxmlformats.org/drawingml/2006/main">
                                <a:graphicData uri="http://schemas.openxmlformats.org/drawingml/2006/picture">
                                  <pic:pic xmlns:pic="http://schemas.openxmlformats.org/drawingml/2006/picture">
                                    <pic:nvPicPr>
                                      <pic:cNvPr id="206545735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063600" cy="338400"/>
                                      </a:xfrm>
                                      <a:prstGeom prst="rect">
                                        <a:avLst/>
                                      </a:prstGeom>
                                    </pic:spPr>
                                  </pic:pic>
                                </a:graphicData>
                              </a:graphic>
                            </wp:inline>
                          </w:drawing>
                        </w:r>
                      </w:p>
                    </w:sdtContent>
                  </w:sdt>
                  <w:p w14:paraId="315C20FA" w14:textId="77777777" w:rsidR="00466FAE" w:rsidRDefault="00466FAE"/>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IonTrading"/>
      <w:tblpPr w:vertAnchor="page" w:horzAnchor="page" w:tblpX="330" w:tblpY="90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90"/>
    </w:tblGrid>
    <w:tr w:rsidR="00D33671" w14:paraId="4C8DF5B5" w14:textId="77777777">
      <w:trPr>
        <w:cnfStyle w:val="100000000000" w:firstRow="1" w:lastRow="0" w:firstColumn="0" w:lastColumn="0" w:oddVBand="0" w:evenVBand="0" w:oddHBand="0" w:evenHBand="0" w:firstRowFirstColumn="0" w:firstRowLastColumn="0" w:lastRowFirstColumn="0" w:lastRowLastColumn="0"/>
      </w:trPr>
      <w:tc>
        <w:tcPr>
          <w:tcW w:w="1890" w:type="dxa"/>
          <w:shd w:val="clear" w:color="auto" w:fill="auto"/>
        </w:tcPr>
        <w:p w14:paraId="73563075" w14:textId="77777777" w:rsidR="00D33671" w:rsidRDefault="00D33671" w:rsidP="00734AFE">
          <w:pPr>
            <w:pStyle w:val="Intestazione"/>
          </w:pPr>
        </w:p>
      </w:tc>
    </w:tr>
  </w:tbl>
  <w:p w14:paraId="7D180EAC" w14:textId="77777777" w:rsidR="00D33671" w:rsidRDefault="00D33671" w:rsidP="008E2EAF">
    <w:pPr>
      <w:pStyle w:val="Intestazione"/>
    </w:pPr>
  </w:p>
  <w:p w14:paraId="1EF7C83C" w14:textId="77777777" w:rsidR="00D33671" w:rsidRDefault="00D33671" w:rsidP="0060199D">
    <w:pPr>
      <w:pStyle w:val="Intestazione"/>
      <w:spacing w:line="14" w:lineRule="exact"/>
      <w:ind w:left="2835"/>
    </w:pPr>
    <w:r>
      <w:rPr>
        <w:noProof/>
      </w:rPr>
      <mc:AlternateContent>
        <mc:Choice Requires="wps">
          <w:drawing>
            <wp:inline distT="0" distB="0" distL="0" distR="0" wp14:anchorId="39628330" wp14:editId="134F9578">
              <wp:extent cx="5400000" cy="0"/>
              <wp:effectExtent l="0" t="0" r="0" b="0"/>
              <wp:docPr id="7" name="Vertical placement corrector"/>
              <wp:cNvGraphicFramePr/>
              <a:graphic xmlns:a="http://schemas.openxmlformats.org/drawingml/2006/main">
                <a:graphicData uri="http://schemas.microsoft.com/office/word/2010/wordprocessingShape">
                  <wps:wsp>
                    <wps:cNvCnPr/>
                    <wps:spPr>
                      <a:xfrm>
                        <a:off x="0" y="0"/>
                        <a:ext cx="5400000" cy="0"/>
                      </a:xfrm>
                      <a:prstGeom prst="line">
                        <a:avLst/>
                      </a:prstGeom>
                      <a:ln w="12700">
                        <a:no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70BB1D6" id="Vertical placement corrector" o:spid="_x0000_s1026" style="visibility:visible;mso-wrap-style:square;mso-left-percent:-10001;mso-top-percent:-10001;mso-position-horizontal:absolute;mso-position-horizontal-relative:char;mso-position-vertical:absolute;mso-position-vertical-relative:line;mso-left-percent:-10001;mso-top-percent:-10001" from="0,0" to="42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" stroked="f" strokeweight="1pt">
              <w10:anchorlock/>
            </v:line>
          </w:pict>
        </mc:Fallback>
      </mc:AlternateContent>
    </w:r>
  </w:p>
  <w:p w14:paraId="22C96111" w14:textId="77777777" w:rsidR="00D33671" w:rsidRPr="00E375D3" w:rsidRDefault="00D33671" w:rsidP="008E2EA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B6084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980560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C49B5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4E2410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1623C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C32153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23ED09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84EBA6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CBE7C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0F0D27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DA089B8"/>
    <w:lvl w:ilvl="0">
      <w:start w:val="1"/>
      <w:numFmt w:val="bullet"/>
      <w:pStyle w:val="Puntoelenco"/>
      <w:lvlText w:val=""/>
      <w:lvlJc w:val="left"/>
      <w:pPr>
        <w:tabs>
          <w:tab w:val="num" w:pos="360"/>
        </w:tabs>
        <w:ind w:left="360" w:hanging="360"/>
      </w:pPr>
      <w:rPr>
        <w:rFonts w:ascii="Symbol" w:hAnsi="Symbol" w:hint="default"/>
      </w:rPr>
    </w:lvl>
  </w:abstractNum>
  <w:abstractNum w:abstractNumId="11" w15:restartNumberingAfterBreak="0">
    <w:nsid w:val="03767D27"/>
    <w:multiLevelType w:val="hybridMultilevel"/>
    <w:tmpl w:val="470017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6C90224"/>
    <w:multiLevelType w:val="hybridMultilevel"/>
    <w:tmpl w:val="7764CD4A"/>
    <w:lvl w:ilvl="0" w:tplc="457CF1F6">
      <w:start w:val="1"/>
      <w:numFmt w:val="bullet"/>
      <w:pStyle w:val="Bullet5"/>
      <w:lvlText w:val="–"/>
      <w:lvlJc w:val="left"/>
      <w:pPr>
        <w:ind w:left="2081" w:hanging="360"/>
      </w:pPr>
      <w:rPr>
        <w:rFonts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2801" w:hanging="360"/>
      </w:pPr>
      <w:rPr>
        <w:rFonts w:ascii="Courier New" w:hAnsi="Courier New" w:cs="Courier New" w:hint="default"/>
      </w:rPr>
    </w:lvl>
    <w:lvl w:ilvl="2" w:tplc="04090005" w:tentative="1">
      <w:start w:val="1"/>
      <w:numFmt w:val="bullet"/>
      <w:lvlText w:val=""/>
      <w:lvlJc w:val="left"/>
      <w:pPr>
        <w:ind w:left="3521" w:hanging="360"/>
      </w:pPr>
      <w:rPr>
        <w:rFonts w:ascii="Wingdings" w:hAnsi="Wingdings" w:hint="default"/>
      </w:rPr>
    </w:lvl>
    <w:lvl w:ilvl="3" w:tplc="04090001" w:tentative="1">
      <w:start w:val="1"/>
      <w:numFmt w:val="bullet"/>
      <w:lvlText w:val=""/>
      <w:lvlJc w:val="left"/>
      <w:pPr>
        <w:ind w:left="4241" w:hanging="360"/>
      </w:pPr>
      <w:rPr>
        <w:rFonts w:ascii="Symbol" w:hAnsi="Symbol" w:hint="default"/>
      </w:rPr>
    </w:lvl>
    <w:lvl w:ilvl="4" w:tplc="04090003" w:tentative="1">
      <w:start w:val="1"/>
      <w:numFmt w:val="bullet"/>
      <w:lvlText w:val="o"/>
      <w:lvlJc w:val="left"/>
      <w:pPr>
        <w:ind w:left="4961" w:hanging="360"/>
      </w:pPr>
      <w:rPr>
        <w:rFonts w:ascii="Courier New" w:hAnsi="Courier New" w:cs="Courier New" w:hint="default"/>
      </w:rPr>
    </w:lvl>
    <w:lvl w:ilvl="5" w:tplc="04090005" w:tentative="1">
      <w:start w:val="1"/>
      <w:numFmt w:val="bullet"/>
      <w:lvlText w:val=""/>
      <w:lvlJc w:val="left"/>
      <w:pPr>
        <w:ind w:left="5681" w:hanging="360"/>
      </w:pPr>
      <w:rPr>
        <w:rFonts w:ascii="Wingdings" w:hAnsi="Wingdings" w:hint="default"/>
      </w:rPr>
    </w:lvl>
    <w:lvl w:ilvl="6" w:tplc="04090001" w:tentative="1">
      <w:start w:val="1"/>
      <w:numFmt w:val="bullet"/>
      <w:lvlText w:val=""/>
      <w:lvlJc w:val="left"/>
      <w:pPr>
        <w:ind w:left="6401" w:hanging="360"/>
      </w:pPr>
      <w:rPr>
        <w:rFonts w:ascii="Symbol" w:hAnsi="Symbol" w:hint="default"/>
      </w:rPr>
    </w:lvl>
    <w:lvl w:ilvl="7" w:tplc="04090003" w:tentative="1">
      <w:start w:val="1"/>
      <w:numFmt w:val="bullet"/>
      <w:lvlText w:val="o"/>
      <w:lvlJc w:val="left"/>
      <w:pPr>
        <w:ind w:left="7121" w:hanging="360"/>
      </w:pPr>
      <w:rPr>
        <w:rFonts w:ascii="Courier New" w:hAnsi="Courier New" w:cs="Courier New" w:hint="default"/>
      </w:rPr>
    </w:lvl>
    <w:lvl w:ilvl="8" w:tplc="04090005" w:tentative="1">
      <w:start w:val="1"/>
      <w:numFmt w:val="bullet"/>
      <w:lvlText w:val=""/>
      <w:lvlJc w:val="left"/>
      <w:pPr>
        <w:ind w:left="7841" w:hanging="360"/>
      </w:pPr>
      <w:rPr>
        <w:rFonts w:ascii="Wingdings" w:hAnsi="Wingdings" w:hint="default"/>
      </w:rPr>
    </w:lvl>
  </w:abstractNum>
  <w:abstractNum w:abstractNumId="13" w15:restartNumberingAfterBreak="0">
    <w:nsid w:val="0AEB183F"/>
    <w:multiLevelType w:val="multilevel"/>
    <w:tmpl w:val="9BC68C6E"/>
    <w:styleLink w:val="Style1"/>
    <w:lvl w:ilvl="0">
      <w:start w:val="1"/>
      <w:numFmt w:val="bullet"/>
      <w:lvlText w:val=""/>
      <w:lvlJc w:val="left"/>
      <w:pPr>
        <w:tabs>
          <w:tab w:val="num" w:pos="340"/>
        </w:tabs>
        <w:ind w:left="340" w:hanging="340"/>
      </w:pPr>
      <w:rPr>
        <w:rFonts w:ascii="Symbol" w:hAnsi="Symbol" w:hint="default"/>
        <w:color w:val="001437"/>
      </w:rPr>
    </w:lvl>
    <w:lvl w:ilvl="1">
      <w:start w:val="1"/>
      <w:numFmt w:val="bullet"/>
      <w:lvlText w:val="–"/>
      <w:lvlJc w:val="left"/>
      <w:pPr>
        <w:tabs>
          <w:tab w:val="num" w:pos="680"/>
        </w:tabs>
        <w:ind w:left="680" w:hanging="340"/>
      </w:pPr>
      <w:rPr>
        <w:rFonts w:ascii="(none)" w:hAnsi="(none)" w:hint="default"/>
        <w:color w:val="5080B8" w:themeColor="accent1"/>
      </w:rPr>
    </w:lvl>
    <w:lvl w:ilvl="2">
      <w:start w:val="1"/>
      <w:numFmt w:val="bullet"/>
      <w:lvlText w:val="–"/>
      <w:lvlJc w:val="left"/>
      <w:pPr>
        <w:tabs>
          <w:tab w:val="num" w:pos="1134"/>
        </w:tabs>
        <w:ind w:left="1134" w:hanging="454"/>
      </w:pPr>
      <w:rPr>
        <w:rFonts w:ascii="(none)" w:hAnsi="(none)" w:hint="default"/>
        <w:color w:val="5080B8" w:themeColor="accent1"/>
      </w:rPr>
    </w:lvl>
    <w:lvl w:ilvl="3">
      <w:start w:val="1"/>
      <w:numFmt w:val="bullet"/>
      <w:lvlText w:val="–"/>
      <w:lvlJc w:val="left"/>
      <w:pPr>
        <w:tabs>
          <w:tab w:val="num" w:pos="1474"/>
        </w:tabs>
        <w:ind w:left="1474" w:hanging="340"/>
      </w:pPr>
      <w:rPr>
        <w:rFonts w:ascii="(none)" w:hAnsi="(none)" w:hint="default"/>
        <w:color w:val="5080B8" w:themeColor="accent1"/>
      </w:rPr>
    </w:lvl>
    <w:lvl w:ilvl="4">
      <w:start w:val="1"/>
      <w:numFmt w:val="bullet"/>
      <w:lvlText w:val="–"/>
      <w:lvlJc w:val="left"/>
      <w:pPr>
        <w:tabs>
          <w:tab w:val="num" w:pos="1814"/>
        </w:tabs>
        <w:ind w:left="1814" w:hanging="340"/>
      </w:pPr>
      <w:rPr>
        <w:rFonts w:ascii="(none)" w:hAnsi="(none)" w:hint="default"/>
        <w:color w:val="5080B8" w:themeColor="accent1"/>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14" w15:restartNumberingAfterBreak="0">
    <w:nsid w:val="0BEE53CD"/>
    <w:multiLevelType w:val="hybridMultilevel"/>
    <w:tmpl w:val="6022874C"/>
    <w:lvl w:ilvl="0" w:tplc="04100001">
      <w:start w:val="1"/>
      <w:numFmt w:val="bullet"/>
      <w:lvlText w:val=""/>
      <w:lvlJc w:val="left"/>
      <w:pPr>
        <w:ind w:left="720" w:hanging="360"/>
      </w:pPr>
      <w:rPr>
        <w:rFonts w:ascii="Symbol" w:hAnsi="Symbol" w:hint="default"/>
      </w:rPr>
    </w:lvl>
    <w:lvl w:ilvl="1" w:tplc="3ADEDC70">
      <w:start w:val="1"/>
      <w:numFmt w:val="bullet"/>
      <w:lvlText w:val="­"/>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2B9036A"/>
    <w:multiLevelType w:val="multilevel"/>
    <w:tmpl w:val="BE88082E"/>
    <w:styleLink w:val="Style2"/>
    <w:lvl w:ilvl="0">
      <w:start w:val="1"/>
      <w:numFmt w:val="bullet"/>
      <w:lvlText w:val=""/>
      <w:lvlJc w:val="left"/>
      <w:pPr>
        <w:tabs>
          <w:tab w:val="num" w:pos="340"/>
        </w:tabs>
        <w:ind w:left="340" w:hanging="340"/>
      </w:pPr>
      <w:rPr>
        <w:rFonts w:ascii="Symbol" w:hAnsi="Symbol" w:hint="default"/>
        <w:color w:val="D94641"/>
      </w:rPr>
    </w:lvl>
    <w:lvl w:ilvl="1">
      <w:start w:val="1"/>
      <w:numFmt w:val="bullet"/>
      <w:lvlText w:val="–"/>
      <w:lvlJc w:val="left"/>
      <w:pPr>
        <w:tabs>
          <w:tab w:val="num" w:pos="680"/>
        </w:tabs>
        <w:ind w:left="680" w:hanging="340"/>
      </w:pPr>
      <w:rPr>
        <w:rFonts w:ascii="(none)" w:hAnsi="(none)" w:hint="default"/>
        <w:color w:val="5080B8" w:themeColor="accent1"/>
      </w:rPr>
    </w:lvl>
    <w:lvl w:ilvl="2">
      <w:start w:val="1"/>
      <w:numFmt w:val="bullet"/>
      <w:lvlText w:val="–"/>
      <w:lvlJc w:val="left"/>
      <w:pPr>
        <w:tabs>
          <w:tab w:val="num" w:pos="1134"/>
        </w:tabs>
        <w:ind w:left="1134" w:hanging="454"/>
      </w:pPr>
      <w:rPr>
        <w:rFonts w:ascii="(none)" w:hAnsi="(none)" w:hint="default"/>
        <w:color w:val="5080B8" w:themeColor="accent1"/>
      </w:rPr>
    </w:lvl>
    <w:lvl w:ilvl="3">
      <w:start w:val="1"/>
      <w:numFmt w:val="bullet"/>
      <w:lvlText w:val="–"/>
      <w:lvlJc w:val="left"/>
      <w:pPr>
        <w:tabs>
          <w:tab w:val="num" w:pos="1474"/>
        </w:tabs>
        <w:ind w:left="1474" w:hanging="340"/>
      </w:pPr>
      <w:rPr>
        <w:rFonts w:ascii="(none)" w:hAnsi="(none)" w:hint="default"/>
        <w:color w:val="5080B8" w:themeColor="accent1"/>
      </w:rPr>
    </w:lvl>
    <w:lvl w:ilvl="4">
      <w:start w:val="1"/>
      <w:numFmt w:val="bullet"/>
      <w:lvlText w:val="–"/>
      <w:lvlJc w:val="left"/>
      <w:pPr>
        <w:tabs>
          <w:tab w:val="num" w:pos="1814"/>
        </w:tabs>
        <w:ind w:left="1814" w:hanging="340"/>
      </w:pPr>
      <w:rPr>
        <w:rFonts w:ascii="(none)" w:hAnsi="(none)" w:hint="default"/>
        <w:color w:val="5080B8" w:themeColor="accent1"/>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16" w15:restartNumberingAfterBreak="0">
    <w:nsid w:val="1E055689"/>
    <w:multiLevelType w:val="hybridMultilevel"/>
    <w:tmpl w:val="401A98B0"/>
    <w:lvl w:ilvl="0" w:tplc="0410000F">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7287528"/>
    <w:multiLevelType w:val="multilevel"/>
    <w:tmpl w:val="51B26E3C"/>
    <w:styleLink w:val="Stile1"/>
    <w:lvl w:ilvl="0">
      <w:start w:val="2"/>
      <w:numFmt w:val="decimal"/>
      <w:lvlText w:val="%1."/>
      <w:lvlJc w:val="left"/>
      <w:pPr>
        <w:ind w:left="1068" w:hanging="360"/>
      </w:pPr>
    </w:lvl>
    <w:lvl w:ilvl="1">
      <w:start w:val="1"/>
      <w:numFmt w:val="decimal"/>
      <w:lvlText w:val="%1.%2."/>
      <w:lvlJc w:val="left"/>
      <w:pPr>
        <w:ind w:left="1500" w:hanging="432"/>
      </w:pPr>
      <w:rPr>
        <w:sz w:val="24"/>
        <w:szCs w:val="24"/>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8" w15:restartNumberingAfterBreak="0">
    <w:nsid w:val="29EC6E7E"/>
    <w:multiLevelType w:val="hybridMultilevel"/>
    <w:tmpl w:val="1B8ACED6"/>
    <w:lvl w:ilvl="0" w:tplc="9FB2FC16">
      <w:start w:val="1"/>
      <w:numFmt w:val="decimal"/>
      <w:pStyle w:val="Elencopuntatonumerato"/>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B837603"/>
    <w:multiLevelType w:val="hybridMultilevel"/>
    <w:tmpl w:val="6AA4A2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DD02369"/>
    <w:multiLevelType w:val="hybridMultilevel"/>
    <w:tmpl w:val="86306AA8"/>
    <w:lvl w:ilvl="0" w:tplc="0EBECB7A">
      <w:start w:val="1"/>
      <w:numFmt w:val="decimal"/>
      <w:lvlText w:val="%1."/>
      <w:lvlJc w:val="left"/>
      <w:pPr>
        <w:ind w:left="644"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37A688C"/>
    <w:multiLevelType w:val="hybridMultilevel"/>
    <w:tmpl w:val="3A22A5EE"/>
    <w:lvl w:ilvl="0" w:tplc="DC66CA9E">
      <w:start w:val="1"/>
      <w:numFmt w:val="bullet"/>
      <w:pStyle w:val="Bullet4"/>
      <w:lvlText w:val="–"/>
      <w:lvlJc w:val="left"/>
      <w:pPr>
        <w:ind w:left="1741" w:hanging="360"/>
      </w:pPr>
      <w:rPr>
        <w:rFonts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2461" w:hanging="360"/>
      </w:pPr>
      <w:rPr>
        <w:rFonts w:ascii="Courier New" w:hAnsi="Courier New" w:cs="Courier New" w:hint="default"/>
      </w:rPr>
    </w:lvl>
    <w:lvl w:ilvl="2" w:tplc="04090005" w:tentative="1">
      <w:start w:val="1"/>
      <w:numFmt w:val="bullet"/>
      <w:lvlText w:val=""/>
      <w:lvlJc w:val="left"/>
      <w:pPr>
        <w:ind w:left="3181" w:hanging="360"/>
      </w:pPr>
      <w:rPr>
        <w:rFonts w:ascii="Wingdings" w:hAnsi="Wingdings" w:hint="default"/>
      </w:rPr>
    </w:lvl>
    <w:lvl w:ilvl="3" w:tplc="04090001" w:tentative="1">
      <w:start w:val="1"/>
      <w:numFmt w:val="bullet"/>
      <w:lvlText w:val=""/>
      <w:lvlJc w:val="left"/>
      <w:pPr>
        <w:ind w:left="3901" w:hanging="360"/>
      </w:pPr>
      <w:rPr>
        <w:rFonts w:ascii="Symbol" w:hAnsi="Symbol" w:hint="default"/>
      </w:rPr>
    </w:lvl>
    <w:lvl w:ilvl="4" w:tplc="04090003" w:tentative="1">
      <w:start w:val="1"/>
      <w:numFmt w:val="bullet"/>
      <w:lvlText w:val="o"/>
      <w:lvlJc w:val="left"/>
      <w:pPr>
        <w:ind w:left="4621" w:hanging="360"/>
      </w:pPr>
      <w:rPr>
        <w:rFonts w:ascii="Courier New" w:hAnsi="Courier New" w:cs="Courier New" w:hint="default"/>
      </w:rPr>
    </w:lvl>
    <w:lvl w:ilvl="5" w:tplc="04090005" w:tentative="1">
      <w:start w:val="1"/>
      <w:numFmt w:val="bullet"/>
      <w:lvlText w:val=""/>
      <w:lvlJc w:val="left"/>
      <w:pPr>
        <w:ind w:left="5341" w:hanging="360"/>
      </w:pPr>
      <w:rPr>
        <w:rFonts w:ascii="Wingdings" w:hAnsi="Wingdings" w:hint="default"/>
      </w:rPr>
    </w:lvl>
    <w:lvl w:ilvl="6" w:tplc="04090001" w:tentative="1">
      <w:start w:val="1"/>
      <w:numFmt w:val="bullet"/>
      <w:lvlText w:val=""/>
      <w:lvlJc w:val="left"/>
      <w:pPr>
        <w:ind w:left="6061" w:hanging="360"/>
      </w:pPr>
      <w:rPr>
        <w:rFonts w:ascii="Symbol" w:hAnsi="Symbol" w:hint="default"/>
      </w:rPr>
    </w:lvl>
    <w:lvl w:ilvl="7" w:tplc="04090003" w:tentative="1">
      <w:start w:val="1"/>
      <w:numFmt w:val="bullet"/>
      <w:lvlText w:val="o"/>
      <w:lvlJc w:val="left"/>
      <w:pPr>
        <w:ind w:left="6781" w:hanging="360"/>
      </w:pPr>
      <w:rPr>
        <w:rFonts w:ascii="Courier New" w:hAnsi="Courier New" w:cs="Courier New" w:hint="default"/>
      </w:rPr>
    </w:lvl>
    <w:lvl w:ilvl="8" w:tplc="04090005" w:tentative="1">
      <w:start w:val="1"/>
      <w:numFmt w:val="bullet"/>
      <w:lvlText w:val=""/>
      <w:lvlJc w:val="left"/>
      <w:pPr>
        <w:ind w:left="7501" w:hanging="360"/>
      </w:pPr>
      <w:rPr>
        <w:rFonts w:ascii="Wingdings" w:hAnsi="Wingdings" w:hint="default"/>
      </w:rPr>
    </w:lvl>
  </w:abstractNum>
  <w:abstractNum w:abstractNumId="22" w15:restartNumberingAfterBreak="0">
    <w:nsid w:val="535D5FCE"/>
    <w:multiLevelType w:val="hybridMultilevel"/>
    <w:tmpl w:val="84B83066"/>
    <w:lvl w:ilvl="0" w:tplc="FFFFFFFF">
      <w:start w:val="1"/>
      <w:numFmt w:val="bullet"/>
      <w:lvlText w:val=""/>
      <w:lvlJc w:val="left"/>
      <w:pPr>
        <w:ind w:left="720" w:hanging="360"/>
      </w:pPr>
      <w:rPr>
        <w:rFonts w:ascii="Symbol" w:hAnsi="Symbol" w:hint="default"/>
      </w:rPr>
    </w:lvl>
    <w:lvl w:ilvl="1" w:tplc="0410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54F78CC"/>
    <w:multiLevelType w:val="hybridMultilevel"/>
    <w:tmpl w:val="208C09CC"/>
    <w:lvl w:ilvl="0" w:tplc="9DA413E2">
      <w:start w:val="1"/>
      <w:numFmt w:val="bullet"/>
      <w:pStyle w:val="Bullet3"/>
      <w:lvlText w:val="–"/>
      <w:lvlJc w:val="left"/>
      <w:pPr>
        <w:ind w:left="1400" w:hanging="360"/>
      </w:pPr>
      <w:rPr>
        <w:rFonts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4" w15:restartNumberingAfterBreak="0">
    <w:nsid w:val="5C4C0A87"/>
    <w:multiLevelType w:val="hybridMultilevel"/>
    <w:tmpl w:val="54A0E64A"/>
    <w:lvl w:ilvl="0" w:tplc="985A2B2A">
      <w:start w:val="1"/>
      <w:numFmt w:val="bullet"/>
      <w:pStyle w:val="elencopuntato2"/>
      <w:lvlText w:val=""/>
      <w:lvlJc w:val="left"/>
      <w:pPr>
        <w:ind w:left="1068" w:hanging="360"/>
      </w:pPr>
      <w:rPr>
        <w:rFonts w:ascii="Symbol" w:hAnsi="Symbol" w:hint="default"/>
      </w:rPr>
    </w:lvl>
    <w:lvl w:ilvl="1" w:tplc="3048C7CA">
      <w:start w:val="1"/>
      <w:numFmt w:val="bullet"/>
      <w:pStyle w:val="elencopuntato3"/>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63E87F25"/>
    <w:multiLevelType w:val="hybridMultilevel"/>
    <w:tmpl w:val="81B69BA4"/>
    <w:lvl w:ilvl="0" w:tplc="4FDC3436">
      <w:start w:val="1"/>
      <w:numFmt w:val="bullet"/>
      <w:pStyle w:val="Bullet2"/>
      <w:lvlText w:val="–"/>
      <w:lvlJc w:val="left"/>
      <w:pPr>
        <w:ind w:left="720" w:hanging="360"/>
      </w:pPr>
      <w:rPr>
        <w:rFonts w:hint="default"/>
        <w:b w:val="0"/>
        <w:bCs w:val="0"/>
        <w:i w:val="0"/>
        <w:iCs w:val="0"/>
        <w:caps w:val="0"/>
        <w:smallCaps w:val="0"/>
        <w:strike w:val="0"/>
        <w:dstrike w:val="0"/>
        <w:outline w:val="0"/>
        <w:shadow w:val="0"/>
        <w:emboss w:val="0"/>
        <w:imprint w:val="0"/>
        <w:noProof w:val="0"/>
        <w:vanish w:val="0"/>
        <w:color w:val="002E5A" w:themeColor="text1"/>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205438"/>
    <w:multiLevelType w:val="hybridMultilevel"/>
    <w:tmpl w:val="970C28C2"/>
    <w:lvl w:ilvl="0" w:tplc="3ADEDC70">
      <w:start w:val="1"/>
      <w:numFmt w:val="bullet"/>
      <w:lvlText w:val="­"/>
      <w:lvlJc w:val="left"/>
      <w:pPr>
        <w:ind w:left="720" w:hanging="360"/>
      </w:pPr>
      <w:rPr>
        <w:rFonts w:ascii="Courier New" w:hAnsi="Courier New" w:hint="default"/>
      </w:rPr>
    </w:lvl>
    <w:lvl w:ilvl="1" w:tplc="FFFFFFFF">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9742E3B"/>
    <w:multiLevelType w:val="multilevel"/>
    <w:tmpl w:val="32903598"/>
    <w:lvl w:ilvl="0">
      <w:start w:val="1"/>
      <w:numFmt w:val="bullet"/>
      <w:lvlText w:val="●"/>
      <w:lvlJc w:val="left"/>
      <w:pPr>
        <w:ind w:left="360" w:hanging="360"/>
      </w:pPr>
      <w:rPr>
        <w:rFonts w:ascii="Arial" w:hAnsi="Arial" w:hint="default"/>
        <w:color w:val="002E5A" w:themeColor="text1"/>
        <w:sz w:val="18"/>
        <w:szCs w:val="14"/>
        <w:u w:color="002E5A" w:themeColor="text1"/>
      </w:rPr>
    </w:lvl>
    <w:lvl w:ilvl="1">
      <w:start w:val="1"/>
      <w:numFmt w:val="bullet"/>
      <w:lvlText w:val=""/>
      <w:lvlJc w:val="left"/>
      <w:pPr>
        <w:tabs>
          <w:tab w:val="num" w:pos="1701"/>
        </w:tabs>
        <w:ind w:left="680" w:hanging="340"/>
      </w:pPr>
      <w:rPr>
        <w:rFonts w:ascii="Symbol" w:hAnsi="Symbol" w:cs="Courier New" w:hint="default"/>
      </w:rPr>
    </w:lvl>
    <w:lvl w:ilvl="2">
      <w:start w:val="1"/>
      <w:numFmt w:val="bullet"/>
      <w:lvlText w:val=""/>
      <w:lvlJc w:val="left"/>
      <w:pPr>
        <w:tabs>
          <w:tab w:val="num" w:pos="1701"/>
        </w:tabs>
        <w:ind w:left="1021" w:hanging="341"/>
      </w:pPr>
      <w:rPr>
        <w:rFonts w:ascii="Symbol" w:hAnsi="Symbol" w:cs="Times New Roman" w:hint="default"/>
      </w:rPr>
    </w:lvl>
    <w:lvl w:ilvl="3">
      <w:start w:val="1"/>
      <w:numFmt w:val="bullet"/>
      <w:lvlText w:val=""/>
      <w:lvlJc w:val="left"/>
      <w:pPr>
        <w:tabs>
          <w:tab w:val="num" w:pos="1701"/>
        </w:tabs>
        <w:ind w:left="1361" w:hanging="340"/>
      </w:pPr>
      <w:rPr>
        <w:rFonts w:ascii="Symbol" w:hAnsi="Symbol" w:cs="Times New Roman" w:hint="default"/>
      </w:rPr>
    </w:lvl>
    <w:lvl w:ilvl="4">
      <w:start w:val="1"/>
      <w:numFmt w:val="bullet"/>
      <w:lvlText w:val=""/>
      <w:lvlJc w:val="left"/>
      <w:pPr>
        <w:tabs>
          <w:tab w:val="num" w:pos="1701"/>
        </w:tabs>
        <w:ind w:left="1701" w:hanging="340"/>
      </w:pPr>
      <w:rPr>
        <w:rFonts w:ascii="Symbol" w:hAnsi="Symbol" w:cs="Courier New" w:hint="default"/>
      </w:rPr>
    </w:lvl>
    <w:lvl w:ilvl="5">
      <w:start w:val="1"/>
      <w:numFmt w:val="bullet"/>
      <w:lvlText w:val=""/>
      <w:lvlJc w:val="left"/>
      <w:pPr>
        <w:tabs>
          <w:tab w:val="num" w:pos="1701"/>
        </w:tabs>
        <w:ind w:left="2041" w:hanging="340"/>
      </w:pPr>
      <w:rPr>
        <w:rFonts w:ascii="Symbol" w:hAnsi="Symbol" w:cs="Times New Roman" w:hint="default"/>
      </w:rPr>
    </w:lvl>
    <w:lvl w:ilvl="6">
      <w:start w:val="1"/>
      <w:numFmt w:val="bullet"/>
      <w:lvlText w:val=""/>
      <w:lvlJc w:val="left"/>
      <w:pPr>
        <w:tabs>
          <w:tab w:val="num" w:pos="1701"/>
        </w:tabs>
        <w:ind w:left="2041" w:hanging="340"/>
      </w:pPr>
      <w:rPr>
        <w:rFonts w:ascii="Symbol" w:hAnsi="Symbol" w:cs="Times New Roman" w:hint="default"/>
      </w:rPr>
    </w:lvl>
    <w:lvl w:ilvl="7">
      <w:start w:val="1"/>
      <w:numFmt w:val="bullet"/>
      <w:lvlText w:val=""/>
      <w:lvlJc w:val="left"/>
      <w:pPr>
        <w:tabs>
          <w:tab w:val="num" w:pos="1701"/>
        </w:tabs>
        <w:ind w:left="2041" w:hanging="340"/>
      </w:pPr>
      <w:rPr>
        <w:rFonts w:ascii="Symbol" w:hAnsi="Symbol" w:cs="Courier New" w:hint="default"/>
      </w:rPr>
    </w:lvl>
    <w:lvl w:ilvl="8">
      <w:start w:val="1"/>
      <w:numFmt w:val="bullet"/>
      <w:lvlText w:val=""/>
      <w:lvlJc w:val="left"/>
      <w:pPr>
        <w:tabs>
          <w:tab w:val="num" w:pos="1701"/>
        </w:tabs>
        <w:ind w:left="2041" w:hanging="340"/>
      </w:pPr>
      <w:rPr>
        <w:rFonts w:ascii="Symbol" w:hAnsi="Symbol" w:cs="Times New Roman" w:hint="default"/>
      </w:rPr>
    </w:lvl>
  </w:abstractNum>
  <w:abstractNum w:abstractNumId="28" w15:restartNumberingAfterBreak="0">
    <w:nsid w:val="79742E41"/>
    <w:multiLevelType w:val="multilevel"/>
    <w:tmpl w:val="991A1410"/>
    <w:lvl w:ilvl="0">
      <w:start w:val="1"/>
      <w:numFmt w:val="none"/>
      <w:pStyle w:val="Developmentpoint"/>
      <w:lvlText w:val="Development point:"/>
      <w:lvlJc w:val="left"/>
      <w:pPr>
        <w:ind w:left="36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9742E42"/>
    <w:multiLevelType w:val="multilevel"/>
    <w:tmpl w:val="537AFB46"/>
    <w:lvl w:ilvl="0">
      <w:start w:val="1"/>
      <w:numFmt w:val="none"/>
      <w:pStyle w:val="Information"/>
      <w:lvlText w:val="Information:"/>
      <w:lvlJc w:val="left"/>
      <w:pPr>
        <w:ind w:left="360" w:hanging="360"/>
      </w:pPr>
      <w:rPr>
        <w:rFonts w:ascii="Source Sans Pro SemiBold" w:hAnsi="Source Sans Pro SemiBold" w:hint="default"/>
        <w:b/>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9742E44"/>
    <w:multiLevelType w:val="multilevel"/>
    <w:tmpl w:val="12D6131C"/>
    <w:lvl w:ilvl="0">
      <w:start w:val="1"/>
      <w:numFmt w:val="none"/>
      <w:pStyle w:val="Note"/>
      <w:lvlText w:val="%1Note:"/>
      <w:lvlJc w:val="left"/>
      <w:pPr>
        <w:ind w:left="714" w:hanging="714"/>
      </w:pPr>
      <w:rPr>
        <w:b/>
        <w:bCs/>
        <w:i w:val="0"/>
        <w:iCs w:val="0"/>
        <w:caps w:val="0"/>
        <w:smallCaps w:val="0"/>
        <w:strike w:val="0"/>
        <w:dstrike w:val="0"/>
        <w:outline w:val="0"/>
        <w:shadow w:val="0"/>
        <w:emboss w:val="0"/>
        <w:imprint w:val="0"/>
        <w:noProof w:val="0"/>
        <w:vanish w:val="0"/>
        <w:color w:val="002E5A"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9742E49"/>
    <w:multiLevelType w:val="multilevel"/>
    <w:tmpl w:val="1A2C9256"/>
    <w:lvl w:ilvl="0">
      <w:start w:val="1"/>
      <w:numFmt w:val="decimal"/>
      <w:pStyle w:val="NumBullet1"/>
      <w:lvlText w:val="%1."/>
      <w:lvlJc w:val="left"/>
      <w:pPr>
        <w:tabs>
          <w:tab w:val="num" w:pos="340"/>
        </w:tabs>
        <w:ind w:left="340" w:hanging="340"/>
      </w:pPr>
      <w:rPr>
        <w:rFonts w:hint="default"/>
      </w:rPr>
    </w:lvl>
    <w:lvl w:ilvl="1">
      <w:start w:val="1"/>
      <w:numFmt w:val="lowerLetter"/>
      <w:pStyle w:val="NumBullet2"/>
      <w:lvlText w:val="%2."/>
      <w:lvlJc w:val="left"/>
      <w:pPr>
        <w:tabs>
          <w:tab w:val="num" w:pos="680"/>
        </w:tabs>
        <w:ind w:left="680" w:hanging="340"/>
      </w:pPr>
      <w:rPr>
        <w:rFonts w:hint="default"/>
      </w:rPr>
    </w:lvl>
    <w:lvl w:ilvl="2">
      <w:start w:val="1"/>
      <w:numFmt w:val="lowerRoman"/>
      <w:pStyle w:val="NumBullet3"/>
      <w:lvlText w:val="%3."/>
      <w:lvlJc w:val="left"/>
      <w:pPr>
        <w:tabs>
          <w:tab w:val="num" w:pos="1134"/>
        </w:tabs>
        <w:ind w:left="1021" w:hanging="341"/>
      </w:pPr>
      <w:rPr>
        <w:rFonts w:hint="default"/>
      </w:rPr>
    </w:lvl>
    <w:lvl w:ilvl="3">
      <w:start w:val="1"/>
      <w:numFmt w:val="upperLetter"/>
      <w:pStyle w:val="NumBullet4"/>
      <w:lvlText w:val="%4."/>
      <w:lvlJc w:val="left"/>
      <w:pPr>
        <w:tabs>
          <w:tab w:val="num" w:pos="1474"/>
        </w:tabs>
        <w:ind w:left="1361" w:hanging="340"/>
      </w:pPr>
      <w:rPr>
        <w:rFonts w:hint="default"/>
      </w:rPr>
    </w:lvl>
    <w:lvl w:ilvl="4">
      <w:start w:val="1"/>
      <w:numFmt w:val="upperRoman"/>
      <w:pStyle w:val="NumBullet5"/>
      <w:lvlText w:val="%5."/>
      <w:lvlJc w:val="left"/>
      <w:pPr>
        <w:tabs>
          <w:tab w:val="num" w:pos="1814"/>
        </w:tabs>
        <w:ind w:left="1701" w:hanging="340"/>
      </w:pPr>
      <w:rPr>
        <w:rFonts w:hint="default"/>
      </w:rPr>
    </w:lvl>
    <w:lvl w:ilvl="5">
      <w:start w:val="1"/>
      <w:numFmt w:val="decimal"/>
      <w:lvlText w:val="%5.%6."/>
      <w:lvlJc w:val="left"/>
      <w:pPr>
        <w:tabs>
          <w:tab w:val="num" w:pos="20979"/>
        </w:tabs>
        <w:ind w:left="2041" w:hanging="340"/>
      </w:pPr>
      <w:rPr>
        <w:rFonts w:hint="default"/>
      </w:rPr>
    </w:lvl>
    <w:lvl w:ilvl="6">
      <w:start w:val="1"/>
      <w:numFmt w:val="decimal"/>
      <w:lvlText w:val="%5.%6.%7."/>
      <w:lvlJc w:val="left"/>
      <w:pPr>
        <w:ind w:left="2722" w:hanging="681"/>
      </w:pPr>
      <w:rPr>
        <w:rFonts w:hint="default"/>
      </w:rPr>
    </w:lvl>
    <w:lvl w:ilvl="7">
      <w:start w:val="1"/>
      <w:numFmt w:val="decimal"/>
      <w:lvlText w:val="%5.%6.%7.%8."/>
      <w:lvlJc w:val="left"/>
      <w:pPr>
        <w:ind w:left="3062" w:hanging="1021"/>
      </w:pPr>
      <w:rPr>
        <w:rFonts w:hint="default"/>
      </w:rPr>
    </w:lvl>
    <w:lvl w:ilvl="8">
      <w:start w:val="1"/>
      <w:numFmt w:val="decimal"/>
      <w:lvlText w:val="%5.%6.%7.%8.%9."/>
      <w:lvlJc w:val="left"/>
      <w:pPr>
        <w:ind w:left="3402" w:hanging="1361"/>
      </w:pPr>
      <w:rPr>
        <w:rFonts w:hint="default"/>
      </w:rPr>
    </w:lvl>
  </w:abstractNum>
  <w:abstractNum w:abstractNumId="32" w15:restartNumberingAfterBreak="0">
    <w:nsid w:val="79742E4A"/>
    <w:multiLevelType w:val="multilevel"/>
    <w:tmpl w:val="7A8A6E16"/>
    <w:lvl w:ilvl="0">
      <w:start w:val="1"/>
      <w:numFmt w:val="none"/>
      <w:pStyle w:val="Setting"/>
      <w:lvlText w:val="Setting:"/>
      <w:lvlJc w:val="left"/>
      <w:pPr>
        <w:ind w:left="360" w:hanging="360"/>
      </w:pPr>
      <w:rPr>
        <w:rFonts w:ascii="Source Sans Pro" w:hAnsi="Source Sans Pro" w:cstheme="minorHAnsi" w:hint="default"/>
        <w:b/>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9742E4B"/>
    <w:multiLevelType w:val="multilevel"/>
    <w:tmpl w:val="389E827E"/>
    <w:lvl w:ilvl="0">
      <w:start w:val="1"/>
      <w:numFmt w:val="bullet"/>
      <w:pStyle w:val="TableBullet1"/>
      <w:lvlText w:val="●"/>
      <w:lvlJc w:val="left"/>
      <w:pPr>
        <w:ind w:left="473" w:hanging="360"/>
      </w:pPr>
      <w:rPr>
        <w:rFonts w:ascii="Arial" w:hAnsi="Arial" w:hint="default"/>
        <w:color w:val="001437"/>
        <w:sz w:val="18"/>
        <w:u w:color="002E5A" w:themeColor="text1"/>
      </w:rPr>
    </w:lvl>
    <w:lvl w:ilvl="1">
      <w:start w:val="1"/>
      <w:numFmt w:val="bullet"/>
      <w:lvlText w:val="‒"/>
      <w:lvlJc w:val="left"/>
      <w:pPr>
        <w:tabs>
          <w:tab w:val="num" w:pos="340"/>
        </w:tabs>
        <w:ind w:left="340" w:hanging="170"/>
      </w:pPr>
      <w:rPr>
        <w:rFonts w:ascii="Arial" w:hAnsi="Arial" w:hint="default"/>
        <w:color w:val="5080B8" w:themeColor="accent1"/>
      </w:rPr>
    </w:lvl>
    <w:lvl w:ilvl="2">
      <w:start w:val="1"/>
      <w:numFmt w:val="bullet"/>
      <w:lvlText w:val="‒"/>
      <w:lvlJc w:val="left"/>
      <w:pPr>
        <w:tabs>
          <w:tab w:val="num" w:pos="510"/>
        </w:tabs>
        <w:ind w:left="510" w:hanging="170"/>
      </w:pPr>
      <w:rPr>
        <w:rFonts w:ascii="Arial" w:hAnsi="Arial" w:hint="default"/>
        <w:color w:val="5080B8" w:themeColor="accent1"/>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742E4C"/>
    <w:multiLevelType w:val="hybridMultilevel"/>
    <w:tmpl w:val="5386CDE0"/>
    <w:lvl w:ilvl="0" w:tplc="976A5D0A">
      <w:start w:val="1"/>
      <w:numFmt w:val="bullet"/>
      <w:pStyle w:val="TableBullet2"/>
      <w:lvlText w:val=""/>
      <w:lvlJc w:val="left"/>
      <w:pPr>
        <w:ind w:left="890" w:hanging="360"/>
      </w:pPr>
      <w:rPr>
        <w:rFonts w:ascii="Wingdings" w:hAnsi="Wingdings" w:hint="default"/>
        <w:sz w:val="12"/>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35" w15:restartNumberingAfterBreak="0">
    <w:nsid w:val="79742E4D"/>
    <w:multiLevelType w:val="hybridMultilevel"/>
    <w:tmpl w:val="F46687A2"/>
    <w:lvl w:ilvl="0" w:tplc="FB84BBEC">
      <w:start w:val="1"/>
      <w:numFmt w:val="bullet"/>
      <w:pStyle w:val="TableBullet3"/>
      <w:lvlText w:val=""/>
      <w:lvlJc w:val="left"/>
      <w:pPr>
        <w:ind w:left="1060" w:hanging="360"/>
      </w:pPr>
      <w:rPr>
        <w:rFonts w:ascii="Wingdings" w:hAnsi="Wingdings" w:hint="default"/>
        <w:sz w:val="12"/>
      </w:rPr>
    </w:lvl>
    <w:lvl w:ilvl="1" w:tplc="04090003" w:tentative="1">
      <w:start w:val="1"/>
      <w:numFmt w:val="bullet"/>
      <w:lvlText w:val="o"/>
      <w:lvlJc w:val="left"/>
      <w:pPr>
        <w:ind w:left="1780" w:hanging="360"/>
      </w:pPr>
      <w:rPr>
        <w:rFonts w:ascii="Courier New" w:hAnsi="Courier New" w:cs="Courier New" w:hint="default"/>
      </w:rPr>
    </w:lvl>
    <w:lvl w:ilvl="2" w:tplc="04090005">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6" w15:restartNumberingAfterBreak="0">
    <w:nsid w:val="79742E4E"/>
    <w:multiLevelType w:val="multilevel"/>
    <w:tmpl w:val="88B4C2DE"/>
    <w:lvl w:ilvl="0">
      <w:start w:val="1"/>
      <w:numFmt w:val="none"/>
      <w:pStyle w:val="Tip"/>
      <w:lvlText w:val="Tip:"/>
      <w:lvlJc w:val="left"/>
      <w:pPr>
        <w:ind w:left="360" w:hanging="360"/>
      </w:pPr>
      <w:rPr>
        <w:rFonts w:ascii="Source Sans Pro" w:hAnsi="Source Sans Pro" w:cstheme="minorHAnsi" w:hint="default"/>
        <w:b/>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9742E4F"/>
    <w:multiLevelType w:val="multilevel"/>
    <w:tmpl w:val="A942C4A8"/>
    <w:lvl w:ilvl="0">
      <w:start w:val="1"/>
      <w:numFmt w:val="none"/>
      <w:pStyle w:val="Warning"/>
      <w:lvlText w:val="Warning:"/>
      <w:lvlJc w:val="left"/>
      <w:pPr>
        <w:ind w:left="360" w:hanging="360"/>
      </w:pPr>
      <w:rPr>
        <w:rFonts w:ascii="Source Sans Pro" w:hAnsi="Source Sans Pro" w:cstheme="minorHAnsi" w:hint="default"/>
        <w:b/>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CAD531C"/>
    <w:multiLevelType w:val="multilevel"/>
    <w:tmpl w:val="F7F659BE"/>
    <w:lvl w:ilvl="0">
      <w:start w:val="1"/>
      <w:numFmt w:val="decimal"/>
      <w:lvlText w:val="%1."/>
      <w:lvlJc w:val="left"/>
      <w:pPr>
        <w:ind w:left="518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419327319">
    <w:abstractNumId w:val="27"/>
  </w:num>
  <w:num w:numId="2" w16cid:durableId="1652826996">
    <w:abstractNumId w:val="31"/>
  </w:num>
  <w:num w:numId="3" w16cid:durableId="2018850531">
    <w:abstractNumId w:val="33"/>
  </w:num>
  <w:num w:numId="4" w16cid:durableId="651831186">
    <w:abstractNumId w:val="34"/>
  </w:num>
  <w:num w:numId="5" w16cid:durableId="1316179414">
    <w:abstractNumId w:val="35"/>
  </w:num>
  <w:num w:numId="6" w16cid:durableId="252057428">
    <w:abstractNumId w:val="13"/>
  </w:num>
  <w:num w:numId="7" w16cid:durableId="642009014">
    <w:abstractNumId w:val="15"/>
  </w:num>
  <w:num w:numId="8" w16cid:durableId="1163472339">
    <w:abstractNumId w:val="30"/>
  </w:num>
  <w:num w:numId="9" w16cid:durableId="1528641303">
    <w:abstractNumId w:val="29"/>
  </w:num>
  <w:num w:numId="10" w16cid:durableId="2073502433">
    <w:abstractNumId w:val="36"/>
  </w:num>
  <w:num w:numId="11" w16cid:durableId="680551402">
    <w:abstractNumId w:val="37"/>
  </w:num>
  <w:num w:numId="12" w16cid:durableId="744649202">
    <w:abstractNumId w:val="32"/>
  </w:num>
  <w:num w:numId="13" w16cid:durableId="325256202">
    <w:abstractNumId w:val="28"/>
  </w:num>
  <w:num w:numId="14" w16cid:durableId="18357223">
    <w:abstractNumId w:val="10"/>
  </w:num>
  <w:num w:numId="15" w16cid:durableId="1579167862">
    <w:abstractNumId w:val="25"/>
  </w:num>
  <w:num w:numId="16" w16cid:durableId="1669092813">
    <w:abstractNumId w:val="23"/>
  </w:num>
  <w:num w:numId="17" w16cid:durableId="294526908">
    <w:abstractNumId w:val="21"/>
  </w:num>
  <w:num w:numId="18" w16cid:durableId="1279680618">
    <w:abstractNumId w:val="12"/>
  </w:num>
  <w:num w:numId="19" w16cid:durableId="954025928">
    <w:abstractNumId w:val="24"/>
  </w:num>
  <w:num w:numId="20" w16cid:durableId="1593204243">
    <w:abstractNumId w:val="17"/>
  </w:num>
  <w:num w:numId="21" w16cid:durableId="894123112">
    <w:abstractNumId w:val="18"/>
  </w:num>
  <w:num w:numId="22" w16cid:durableId="879051378">
    <w:abstractNumId w:val="22"/>
  </w:num>
  <w:num w:numId="23" w16cid:durableId="20126373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16647849">
    <w:abstractNumId w:val="5"/>
  </w:num>
  <w:num w:numId="25" w16cid:durableId="1417555158">
    <w:abstractNumId w:val="6"/>
  </w:num>
  <w:num w:numId="26" w16cid:durableId="1350644570">
    <w:abstractNumId w:val="7"/>
  </w:num>
  <w:num w:numId="27" w16cid:durableId="132335425">
    <w:abstractNumId w:val="8"/>
  </w:num>
  <w:num w:numId="28" w16cid:durableId="1948537145">
    <w:abstractNumId w:val="1"/>
  </w:num>
  <w:num w:numId="29" w16cid:durableId="2032952259">
    <w:abstractNumId w:val="2"/>
  </w:num>
  <w:num w:numId="30" w16cid:durableId="26102820">
    <w:abstractNumId w:val="3"/>
  </w:num>
  <w:num w:numId="31" w16cid:durableId="2112898060">
    <w:abstractNumId w:val="4"/>
  </w:num>
  <w:num w:numId="32" w16cid:durableId="606470844">
    <w:abstractNumId w:val="9"/>
  </w:num>
  <w:num w:numId="33" w16cid:durableId="1098214167">
    <w:abstractNumId w:val="0"/>
  </w:num>
  <w:num w:numId="34" w16cid:durableId="470831267">
    <w:abstractNumId w:val="38"/>
  </w:num>
  <w:num w:numId="35" w16cid:durableId="541332534">
    <w:abstractNumId w:val="16"/>
  </w:num>
  <w:num w:numId="36" w16cid:durableId="1687243953">
    <w:abstractNumId w:val="19"/>
  </w:num>
  <w:num w:numId="37" w16cid:durableId="1514342399">
    <w:abstractNumId w:val="14"/>
  </w:num>
  <w:num w:numId="38" w16cid:durableId="1099570063">
    <w:abstractNumId w:val="20"/>
  </w:num>
  <w:num w:numId="39" w16cid:durableId="1061975473">
    <w:abstractNumId w:val="26"/>
  </w:num>
  <w:num w:numId="40" w16cid:durableId="624119759">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1NTSzNLc0NDM1MzVR0lEKTi0uzszPAykwMa4FAGtLqf4tAAAA"/>
    <w:docVar w:name="DocBrand" w:val="ION Trading"/>
    <w:docVar w:name="DocClass" w:val="Incident Report"/>
    <w:docVar w:name="DocType" w:val="Incident Report"/>
  </w:docVars>
  <w:rsids>
    <w:rsidRoot w:val="000337D4"/>
    <w:rsid w:val="000006EC"/>
    <w:rsid w:val="00000A71"/>
    <w:rsid w:val="00001235"/>
    <w:rsid w:val="00001AC6"/>
    <w:rsid w:val="00001BDB"/>
    <w:rsid w:val="00001DB3"/>
    <w:rsid w:val="00001F8F"/>
    <w:rsid w:val="0000320F"/>
    <w:rsid w:val="00003DCC"/>
    <w:rsid w:val="000045E5"/>
    <w:rsid w:val="00004A45"/>
    <w:rsid w:val="00004CAE"/>
    <w:rsid w:val="0000516B"/>
    <w:rsid w:val="00005AFF"/>
    <w:rsid w:val="00005E3F"/>
    <w:rsid w:val="00006FB9"/>
    <w:rsid w:val="00007CB0"/>
    <w:rsid w:val="00010909"/>
    <w:rsid w:val="000109C7"/>
    <w:rsid w:val="00011107"/>
    <w:rsid w:val="00012126"/>
    <w:rsid w:val="0001215F"/>
    <w:rsid w:val="000121EA"/>
    <w:rsid w:val="000123F0"/>
    <w:rsid w:val="00013548"/>
    <w:rsid w:val="00014840"/>
    <w:rsid w:val="00014EB7"/>
    <w:rsid w:val="00015767"/>
    <w:rsid w:val="00015BA5"/>
    <w:rsid w:val="0001610F"/>
    <w:rsid w:val="00016220"/>
    <w:rsid w:val="000171CC"/>
    <w:rsid w:val="000175C8"/>
    <w:rsid w:val="00017D4B"/>
    <w:rsid w:val="00020671"/>
    <w:rsid w:val="0002070D"/>
    <w:rsid w:val="000215CF"/>
    <w:rsid w:val="0002176B"/>
    <w:rsid w:val="00021CAB"/>
    <w:rsid w:val="000220BC"/>
    <w:rsid w:val="00022370"/>
    <w:rsid w:val="00022C82"/>
    <w:rsid w:val="00023371"/>
    <w:rsid w:val="000234E5"/>
    <w:rsid w:val="00023604"/>
    <w:rsid w:val="00023EEA"/>
    <w:rsid w:val="00024018"/>
    <w:rsid w:val="00024421"/>
    <w:rsid w:val="00024547"/>
    <w:rsid w:val="0002560A"/>
    <w:rsid w:val="00025924"/>
    <w:rsid w:val="00025C4A"/>
    <w:rsid w:val="00025CB4"/>
    <w:rsid w:val="00025CC7"/>
    <w:rsid w:val="000274B8"/>
    <w:rsid w:val="000277B2"/>
    <w:rsid w:val="00027E1D"/>
    <w:rsid w:val="0003025A"/>
    <w:rsid w:val="000303F3"/>
    <w:rsid w:val="000303F6"/>
    <w:rsid w:val="00030879"/>
    <w:rsid w:val="00030B53"/>
    <w:rsid w:val="00030FA9"/>
    <w:rsid w:val="000316DF"/>
    <w:rsid w:val="000319DA"/>
    <w:rsid w:val="00031B9F"/>
    <w:rsid w:val="00031ED9"/>
    <w:rsid w:val="00032448"/>
    <w:rsid w:val="0003279C"/>
    <w:rsid w:val="00033281"/>
    <w:rsid w:val="0003358C"/>
    <w:rsid w:val="000337D4"/>
    <w:rsid w:val="00033E5C"/>
    <w:rsid w:val="00033EA2"/>
    <w:rsid w:val="0003437E"/>
    <w:rsid w:val="000346CA"/>
    <w:rsid w:val="00034B0C"/>
    <w:rsid w:val="00034EB1"/>
    <w:rsid w:val="000354A7"/>
    <w:rsid w:val="00035B5B"/>
    <w:rsid w:val="000368FD"/>
    <w:rsid w:val="00037678"/>
    <w:rsid w:val="000378B1"/>
    <w:rsid w:val="00037E54"/>
    <w:rsid w:val="00037FDC"/>
    <w:rsid w:val="000402C3"/>
    <w:rsid w:val="00040328"/>
    <w:rsid w:val="00040348"/>
    <w:rsid w:val="00040AB1"/>
    <w:rsid w:val="00041496"/>
    <w:rsid w:val="00041C26"/>
    <w:rsid w:val="00041E95"/>
    <w:rsid w:val="00042126"/>
    <w:rsid w:val="000424F6"/>
    <w:rsid w:val="00042E5F"/>
    <w:rsid w:val="000436D5"/>
    <w:rsid w:val="00043D26"/>
    <w:rsid w:val="00043F58"/>
    <w:rsid w:val="00044545"/>
    <w:rsid w:val="00044D09"/>
    <w:rsid w:val="00044DEB"/>
    <w:rsid w:val="000451A5"/>
    <w:rsid w:val="000454C6"/>
    <w:rsid w:val="000456C7"/>
    <w:rsid w:val="00046737"/>
    <w:rsid w:val="00046818"/>
    <w:rsid w:val="0004724C"/>
    <w:rsid w:val="000503C4"/>
    <w:rsid w:val="00050411"/>
    <w:rsid w:val="000504B0"/>
    <w:rsid w:val="00050708"/>
    <w:rsid w:val="00050A20"/>
    <w:rsid w:val="00051D1A"/>
    <w:rsid w:val="00051EEC"/>
    <w:rsid w:val="000520DF"/>
    <w:rsid w:val="00052B3A"/>
    <w:rsid w:val="00053406"/>
    <w:rsid w:val="000535E2"/>
    <w:rsid w:val="00053D47"/>
    <w:rsid w:val="00053E30"/>
    <w:rsid w:val="00054788"/>
    <w:rsid w:val="0005517B"/>
    <w:rsid w:val="00055B5C"/>
    <w:rsid w:val="00055BFC"/>
    <w:rsid w:val="0005780F"/>
    <w:rsid w:val="0006090B"/>
    <w:rsid w:val="00060C30"/>
    <w:rsid w:val="000612E8"/>
    <w:rsid w:val="00062075"/>
    <w:rsid w:val="000621AF"/>
    <w:rsid w:val="00062819"/>
    <w:rsid w:val="00062BCF"/>
    <w:rsid w:val="000642D7"/>
    <w:rsid w:val="000643E2"/>
    <w:rsid w:val="00064575"/>
    <w:rsid w:val="000647A1"/>
    <w:rsid w:val="00065976"/>
    <w:rsid w:val="00065FC4"/>
    <w:rsid w:val="000663AE"/>
    <w:rsid w:val="00066887"/>
    <w:rsid w:val="00066B40"/>
    <w:rsid w:val="00066E23"/>
    <w:rsid w:val="00066F8C"/>
    <w:rsid w:val="000702C5"/>
    <w:rsid w:val="000707D4"/>
    <w:rsid w:val="00070A30"/>
    <w:rsid w:val="00070CAC"/>
    <w:rsid w:val="0007107A"/>
    <w:rsid w:val="0007283C"/>
    <w:rsid w:val="00072C0C"/>
    <w:rsid w:val="00073831"/>
    <w:rsid w:val="00073BAF"/>
    <w:rsid w:val="000748C9"/>
    <w:rsid w:val="00074B10"/>
    <w:rsid w:val="0007541D"/>
    <w:rsid w:val="000759B6"/>
    <w:rsid w:val="00075BB2"/>
    <w:rsid w:val="00075C1B"/>
    <w:rsid w:val="00075C83"/>
    <w:rsid w:val="0007635F"/>
    <w:rsid w:val="00076EE5"/>
    <w:rsid w:val="0007775B"/>
    <w:rsid w:val="00077EBB"/>
    <w:rsid w:val="00080B17"/>
    <w:rsid w:val="00082EE4"/>
    <w:rsid w:val="0008389D"/>
    <w:rsid w:val="00083FB0"/>
    <w:rsid w:val="00084470"/>
    <w:rsid w:val="00085116"/>
    <w:rsid w:val="0008521A"/>
    <w:rsid w:val="0008562E"/>
    <w:rsid w:val="000859BA"/>
    <w:rsid w:val="0008607B"/>
    <w:rsid w:val="00086185"/>
    <w:rsid w:val="000869F5"/>
    <w:rsid w:val="00087C91"/>
    <w:rsid w:val="000910EE"/>
    <w:rsid w:val="000917FC"/>
    <w:rsid w:val="00091E33"/>
    <w:rsid w:val="00092E0E"/>
    <w:rsid w:val="00093527"/>
    <w:rsid w:val="000947B3"/>
    <w:rsid w:val="000950BD"/>
    <w:rsid w:val="00095AE2"/>
    <w:rsid w:val="00096031"/>
    <w:rsid w:val="00096C0F"/>
    <w:rsid w:val="00096EB8"/>
    <w:rsid w:val="0009703D"/>
    <w:rsid w:val="0009772F"/>
    <w:rsid w:val="000977FC"/>
    <w:rsid w:val="000A01D4"/>
    <w:rsid w:val="000A0414"/>
    <w:rsid w:val="000A1811"/>
    <w:rsid w:val="000A18A8"/>
    <w:rsid w:val="000A191B"/>
    <w:rsid w:val="000A1A7A"/>
    <w:rsid w:val="000A1BF4"/>
    <w:rsid w:val="000A2BBE"/>
    <w:rsid w:val="000A3515"/>
    <w:rsid w:val="000A3B33"/>
    <w:rsid w:val="000A3BEC"/>
    <w:rsid w:val="000A3C21"/>
    <w:rsid w:val="000A3C7F"/>
    <w:rsid w:val="000A47F9"/>
    <w:rsid w:val="000A57D5"/>
    <w:rsid w:val="000A603F"/>
    <w:rsid w:val="000A68E6"/>
    <w:rsid w:val="000A7939"/>
    <w:rsid w:val="000A7F7E"/>
    <w:rsid w:val="000B0491"/>
    <w:rsid w:val="000B0541"/>
    <w:rsid w:val="000B05E5"/>
    <w:rsid w:val="000B1837"/>
    <w:rsid w:val="000B18D4"/>
    <w:rsid w:val="000B255A"/>
    <w:rsid w:val="000B265F"/>
    <w:rsid w:val="000B2CD9"/>
    <w:rsid w:val="000B37E9"/>
    <w:rsid w:val="000B3A4C"/>
    <w:rsid w:val="000B3EEA"/>
    <w:rsid w:val="000B4A48"/>
    <w:rsid w:val="000B4B12"/>
    <w:rsid w:val="000B4CD1"/>
    <w:rsid w:val="000B5299"/>
    <w:rsid w:val="000B52F8"/>
    <w:rsid w:val="000B6404"/>
    <w:rsid w:val="000B6E03"/>
    <w:rsid w:val="000B7779"/>
    <w:rsid w:val="000B7B50"/>
    <w:rsid w:val="000C0503"/>
    <w:rsid w:val="000C1020"/>
    <w:rsid w:val="000C186E"/>
    <w:rsid w:val="000C3389"/>
    <w:rsid w:val="000C4013"/>
    <w:rsid w:val="000C5368"/>
    <w:rsid w:val="000C56BA"/>
    <w:rsid w:val="000C5764"/>
    <w:rsid w:val="000C65A4"/>
    <w:rsid w:val="000C69DA"/>
    <w:rsid w:val="000C7FD3"/>
    <w:rsid w:val="000D03C5"/>
    <w:rsid w:val="000D06C7"/>
    <w:rsid w:val="000D1145"/>
    <w:rsid w:val="000D1710"/>
    <w:rsid w:val="000D19BC"/>
    <w:rsid w:val="000D2006"/>
    <w:rsid w:val="000D2C2D"/>
    <w:rsid w:val="000D4550"/>
    <w:rsid w:val="000D4C51"/>
    <w:rsid w:val="000D4D1D"/>
    <w:rsid w:val="000D4D4E"/>
    <w:rsid w:val="000D4D64"/>
    <w:rsid w:val="000D5E36"/>
    <w:rsid w:val="000D6AAD"/>
    <w:rsid w:val="000E0883"/>
    <w:rsid w:val="000E2598"/>
    <w:rsid w:val="000E2B07"/>
    <w:rsid w:val="000E2C15"/>
    <w:rsid w:val="000E31B6"/>
    <w:rsid w:val="000E3320"/>
    <w:rsid w:val="000E4155"/>
    <w:rsid w:val="000E45AA"/>
    <w:rsid w:val="000E46CE"/>
    <w:rsid w:val="000E4AE3"/>
    <w:rsid w:val="000E56A2"/>
    <w:rsid w:val="000E614D"/>
    <w:rsid w:val="000E6B6D"/>
    <w:rsid w:val="000E71B0"/>
    <w:rsid w:val="000E739C"/>
    <w:rsid w:val="000E7BA6"/>
    <w:rsid w:val="000E7F9F"/>
    <w:rsid w:val="000F0215"/>
    <w:rsid w:val="000F04A4"/>
    <w:rsid w:val="000F057A"/>
    <w:rsid w:val="000F0B47"/>
    <w:rsid w:val="000F0C70"/>
    <w:rsid w:val="000F219D"/>
    <w:rsid w:val="000F305B"/>
    <w:rsid w:val="000F37B9"/>
    <w:rsid w:val="000F4704"/>
    <w:rsid w:val="000F51E2"/>
    <w:rsid w:val="000F53A3"/>
    <w:rsid w:val="000F5476"/>
    <w:rsid w:val="000F5A8D"/>
    <w:rsid w:val="000F5E84"/>
    <w:rsid w:val="000F6663"/>
    <w:rsid w:val="000F694D"/>
    <w:rsid w:val="000F6B65"/>
    <w:rsid w:val="000F6B72"/>
    <w:rsid w:val="000F6BCF"/>
    <w:rsid w:val="000F6F12"/>
    <w:rsid w:val="000F6FA0"/>
    <w:rsid w:val="000F741B"/>
    <w:rsid w:val="000F7453"/>
    <w:rsid w:val="00100459"/>
    <w:rsid w:val="0010079E"/>
    <w:rsid w:val="00100CFF"/>
    <w:rsid w:val="001010DE"/>
    <w:rsid w:val="001018B7"/>
    <w:rsid w:val="00101A1A"/>
    <w:rsid w:val="00101A21"/>
    <w:rsid w:val="0010218D"/>
    <w:rsid w:val="001023E4"/>
    <w:rsid w:val="0010257D"/>
    <w:rsid w:val="00102EDB"/>
    <w:rsid w:val="00102EE8"/>
    <w:rsid w:val="00102F28"/>
    <w:rsid w:val="00103764"/>
    <w:rsid w:val="00103892"/>
    <w:rsid w:val="00103A4B"/>
    <w:rsid w:val="00103D42"/>
    <w:rsid w:val="00103E88"/>
    <w:rsid w:val="00103FAA"/>
    <w:rsid w:val="00104B30"/>
    <w:rsid w:val="00104E16"/>
    <w:rsid w:val="00106152"/>
    <w:rsid w:val="00106696"/>
    <w:rsid w:val="00107044"/>
    <w:rsid w:val="001071E3"/>
    <w:rsid w:val="00107946"/>
    <w:rsid w:val="00107DDD"/>
    <w:rsid w:val="001107DE"/>
    <w:rsid w:val="00110F2D"/>
    <w:rsid w:val="00110FB2"/>
    <w:rsid w:val="00112433"/>
    <w:rsid w:val="001125C0"/>
    <w:rsid w:val="00112EA4"/>
    <w:rsid w:val="0011324E"/>
    <w:rsid w:val="00113360"/>
    <w:rsid w:val="001143EA"/>
    <w:rsid w:val="0011440A"/>
    <w:rsid w:val="0011446E"/>
    <w:rsid w:val="00114AC9"/>
    <w:rsid w:val="001154FF"/>
    <w:rsid w:val="0011584B"/>
    <w:rsid w:val="00115C29"/>
    <w:rsid w:val="001163BC"/>
    <w:rsid w:val="001163E0"/>
    <w:rsid w:val="0011691B"/>
    <w:rsid w:val="00120431"/>
    <w:rsid w:val="00120BA9"/>
    <w:rsid w:val="0012198A"/>
    <w:rsid w:val="00121B45"/>
    <w:rsid w:val="00122179"/>
    <w:rsid w:val="001223EF"/>
    <w:rsid w:val="001225F7"/>
    <w:rsid w:val="001228E8"/>
    <w:rsid w:val="00122CE0"/>
    <w:rsid w:val="00122D5E"/>
    <w:rsid w:val="0012327E"/>
    <w:rsid w:val="0012391E"/>
    <w:rsid w:val="00123CB6"/>
    <w:rsid w:val="00124A9C"/>
    <w:rsid w:val="00126B96"/>
    <w:rsid w:val="00127B24"/>
    <w:rsid w:val="001304E7"/>
    <w:rsid w:val="001307B2"/>
    <w:rsid w:val="00131242"/>
    <w:rsid w:val="0013135D"/>
    <w:rsid w:val="0013164F"/>
    <w:rsid w:val="0013189B"/>
    <w:rsid w:val="0013229B"/>
    <w:rsid w:val="00132DFF"/>
    <w:rsid w:val="00132EE8"/>
    <w:rsid w:val="0013304B"/>
    <w:rsid w:val="00133E70"/>
    <w:rsid w:val="00133E9B"/>
    <w:rsid w:val="001342D4"/>
    <w:rsid w:val="00134E7B"/>
    <w:rsid w:val="001353D8"/>
    <w:rsid w:val="00135538"/>
    <w:rsid w:val="001358BB"/>
    <w:rsid w:val="0013600A"/>
    <w:rsid w:val="00136652"/>
    <w:rsid w:val="00136722"/>
    <w:rsid w:val="00136950"/>
    <w:rsid w:val="00136C1C"/>
    <w:rsid w:val="00137A83"/>
    <w:rsid w:val="00140010"/>
    <w:rsid w:val="001409A7"/>
    <w:rsid w:val="00140A64"/>
    <w:rsid w:val="001418F7"/>
    <w:rsid w:val="00142657"/>
    <w:rsid w:val="001427CF"/>
    <w:rsid w:val="001429E0"/>
    <w:rsid w:val="00142E9D"/>
    <w:rsid w:val="001437C8"/>
    <w:rsid w:val="00143ED0"/>
    <w:rsid w:val="00144303"/>
    <w:rsid w:val="00144451"/>
    <w:rsid w:val="00144742"/>
    <w:rsid w:val="00145655"/>
    <w:rsid w:val="00145814"/>
    <w:rsid w:val="00145ACF"/>
    <w:rsid w:val="00146302"/>
    <w:rsid w:val="00146555"/>
    <w:rsid w:val="0014798C"/>
    <w:rsid w:val="001503C3"/>
    <w:rsid w:val="00150E50"/>
    <w:rsid w:val="00150FA6"/>
    <w:rsid w:val="00150FCE"/>
    <w:rsid w:val="001512BB"/>
    <w:rsid w:val="00151B39"/>
    <w:rsid w:val="00152227"/>
    <w:rsid w:val="001529D2"/>
    <w:rsid w:val="00152FD3"/>
    <w:rsid w:val="0015361D"/>
    <w:rsid w:val="00155785"/>
    <w:rsid w:val="00155BAC"/>
    <w:rsid w:val="00156E4C"/>
    <w:rsid w:val="001578F5"/>
    <w:rsid w:val="0015798E"/>
    <w:rsid w:val="00157E91"/>
    <w:rsid w:val="001602FF"/>
    <w:rsid w:val="00160F92"/>
    <w:rsid w:val="00160FA2"/>
    <w:rsid w:val="0016159D"/>
    <w:rsid w:val="00161980"/>
    <w:rsid w:val="00162B6A"/>
    <w:rsid w:val="00163252"/>
    <w:rsid w:val="0016348E"/>
    <w:rsid w:val="001634D6"/>
    <w:rsid w:val="001639D9"/>
    <w:rsid w:val="00163AE1"/>
    <w:rsid w:val="00163E8D"/>
    <w:rsid w:val="00164232"/>
    <w:rsid w:val="001655D9"/>
    <w:rsid w:val="001657CA"/>
    <w:rsid w:val="00165A2B"/>
    <w:rsid w:val="00165B08"/>
    <w:rsid w:val="00165CA2"/>
    <w:rsid w:val="001673E8"/>
    <w:rsid w:val="00170396"/>
    <w:rsid w:val="00171811"/>
    <w:rsid w:val="00171B9B"/>
    <w:rsid w:val="00172973"/>
    <w:rsid w:val="0017317E"/>
    <w:rsid w:val="00173C98"/>
    <w:rsid w:val="00173E5B"/>
    <w:rsid w:val="00174FA2"/>
    <w:rsid w:val="00175514"/>
    <w:rsid w:val="00175988"/>
    <w:rsid w:val="00175BF7"/>
    <w:rsid w:val="001766BA"/>
    <w:rsid w:val="001772A2"/>
    <w:rsid w:val="001778B9"/>
    <w:rsid w:val="00177F79"/>
    <w:rsid w:val="0018058E"/>
    <w:rsid w:val="0018099E"/>
    <w:rsid w:val="00180C5A"/>
    <w:rsid w:val="00180E07"/>
    <w:rsid w:val="00180F6B"/>
    <w:rsid w:val="001814B6"/>
    <w:rsid w:val="00182588"/>
    <w:rsid w:val="00182DB7"/>
    <w:rsid w:val="001837DE"/>
    <w:rsid w:val="00184123"/>
    <w:rsid w:val="001852A0"/>
    <w:rsid w:val="00186187"/>
    <w:rsid w:val="001872EE"/>
    <w:rsid w:val="0018764D"/>
    <w:rsid w:val="0019278F"/>
    <w:rsid w:val="00192A40"/>
    <w:rsid w:val="001957AC"/>
    <w:rsid w:val="00195C6C"/>
    <w:rsid w:val="001961F9"/>
    <w:rsid w:val="001966A0"/>
    <w:rsid w:val="00196BC1"/>
    <w:rsid w:val="0019750F"/>
    <w:rsid w:val="0019760D"/>
    <w:rsid w:val="00197909"/>
    <w:rsid w:val="001979DC"/>
    <w:rsid w:val="001A00F8"/>
    <w:rsid w:val="001A02C7"/>
    <w:rsid w:val="001A0539"/>
    <w:rsid w:val="001A072D"/>
    <w:rsid w:val="001A1763"/>
    <w:rsid w:val="001A1886"/>
    <w:rsid w:val="001A1ADF"/>
    <w:rsid w:val="001A21C8"/>
    <w:rsid w:val="001A2705"/>
    <w:rsid w:val="001A2DF5"/>
    <w:rsid w:val="001A32F4"/>
    <w:rsid w:val="001A3A82"/>
    <w:rsid w:val="001A418E"/>
    <w:rsid w:val="001A5C02"/>
    <w:rsid w:val="001A718A"/>
    <w:rsid w:val="001A71E5"/>
    <w:rsid w:val="001A789B"/>
    <w:rsid w:val="001A78A1"/>
    <w:rsid w:val="001A7CED"/>
    <w:rsid w:val="001A7DBC"/>
    <w:rsid w:val="001A7EBC"/>
    <w:rsid w:val="001A7EC9"/>
    <w:rsid w:val="001B0514"/>
    <w:rsid w:val="001B086C"/>
    <w:rsid w:val="001B0EB2"/>
    <w:rsid w:val="001B1767"/>
    <w:rsid w:val="001B218B"/>
    <w:rsid w:val="001B2532"/>
    <w:rsid w:val="001B26A7"/>
    <w:rsid w:val="001B35A4"/>
    <w:rsid w:val="001B3B46"/>
    <w:rsid w:val="001B423A"/>
    <w:rsid w:val="001B5439"/>
    <w:rsid w:val="001B5576"/>
    <w:rsid w:val="001B55C9"/>
    <w:rsid w:val="001B616D"/>
    <w:rsid w:val="001B63F1"/>
    <w:rsid w:val="001B6852"/>
    <w:rsid w:val="001B6F15"/>
    <w:rsid w:val="001C10A3"/>
    <w:rsid w:val="001C1D40"/>
    <w:rsid w:val="001C27BA"/>
    <w:rsid w:val="001C3E63"/>
    <w:rsid w:val="001C4C69"/>
    <w:rsid w:val="001C4E5A"/>
    <w:rsid w:val="001C4F32"/>
    <w:rsid w:val="001C5388"/>
    <w:rsid w:val="001C642A"/>
    <w:rsid w:val="001C67BC"/>
    <w:rsid w:val="001C691C"/>
    <w:rsid w:val="001C6EBE"/>
    <w:rsid w:val="001C71B1"/>
    <w:rsid w:val="001C72BF"/>
    <w:rsid w:val="001C77C3"/>
    <w:rsid w:val="001C7B47"/>
    <w:rsid w:val="001D0162"/>
    <w:rsid w:val="001D0BC2"/>
    <w:rsid w:val="001D0DD9"/>
    <w:rsid w:val="001D0F1C"/>
    <w:rsid w:val="001D0F66"/>
    <w:rsid w:val="001D17AD"/>
    <w:rsid w:val="001D1816"/>
    <w:rsid w:val="001D1F7D"/>
    <w:rsid w:val="001D32CA"/>
    <w:rsid w:val="001D47C9"/>
    <w:rsid w:val="001D4A59"/>
    <w:rsid w:val="001D4F17"/>
    <w:rsid w:val="001D56BD"/>
    <w:rsid w:val="001D5B31"/>
    <w:rsid w:val="001D6D77"/>
    <w:rsid w:val="001D73DF"/>
    <w:rsid w:val="001D7785"/>
    <w:rsid w:val="001D778E"/>
    <w:rsid w:val="001E0474"/>
    <w:rsid w:val="001E27C9"/>
    <w:rsid w:val="001E2BCE"/>
    <w:rsid w:val="001E2D7E"/>
    <w:rsid w:val="001E4AA3"/>
    <w:rsid w:val="001E4AB8"/>
    <w:rsid w:val="001E4DB7"/>
    <w:rsid w:val="001E51F9"/>
    <w:rsid w:val="001E612D"/>
    <w:rsid w:val="001E6798"/>
    <w:rsid w:val="001E6B3B"/>
    <w:rsid w:val="001E7351"/>
    <w:rsid w:val="001E77BB"/>
    <w:rsid w:val="001F0A6B"/>
    <w:rsid w:val="001F0C19"/>
    <w:rsid w:val="001F0ED8"/>
    <w:rsid w:val="001F0F85"/>
    <w:rsid w:val="001F0F9E"/>
    <w:rsid w:val="001F152B"/>
    <w:rsid w:val="001F1CE2"/>
    <w:rsid w:val="001F1E71"/>
    <w:rsid w:val="001F1FE0"/>
    <w:rsid w:val="001F2662"/>
    <w:rsid w:val="001F29C4"/>
    <w:rsid w:val="001F2AF7"/>
    <w:rsid w:val="001F2F26"/>
    <w:rsid w:val="001F3420"/>
    <w:rsid w:val="001F368B"/>
    <w:rsid w:val="001F3729"/>
    <w:rsid w:val="001F3ECB"/>
    <w:rsid w:val="001F43A8"/>
    <w:rsid w:val="001F4439"/>
    <w:rsid w:val="001F505D"/>
    <w:rsid w:val="001F5773"/>
    <w:rsid w:val="001F5B65"/>
    <w:rsid w:val="001F5EEA"/>
    <w:rsid w:val="001F626C"/>
    <w:rsid w:val="001F6519"/>
    <w:rsid w:val="001F6B6C"/>
    <w:rsid w:val="001F7691"/>
    <w:rsid w:val="00200010"/>
    <w:rsid w:val="002002F6"/>
    <w:rsid w:val="00200BF2"/>
    <w:rsid w:val="00201297"/>
    <w:rsid w:val="0020172A"/>
    <w:rsid w:val="002026C0"/>
    <w:rsid w:val="002028B5"/>
    <w:rsid w:val="002032FF"/>
    <w:rsid w:val="00203856"/>
    <w:rsid w:val="00203B24"/>
    <w:rsid w:val="002044B6"/>
    <w:rsid w:val="00204D82"/>
    <w:rsid w:val="00204E1D"/>
    <w:rsid w:val="0020539C"/>
    <w:rsid w:val="0020552E"/>
    <w:rsid w:val="00205548"/>
    <w:rsid w:val="002056D8"/>
    <w:rsid w:val="002069C9"/>
    <w:rsid w:val="00206E5E"/>
    <w:rsid w:val="002079D6"/>
    <w:rsid w:val="00207F13"/>
    <w:rsid w:val="00210795"/>
    <w:rsid w:val="00210887"/>
    <w:rsid w:val="002110CC"/>
    <w:rsid w:val="00211487"/>
    <w:rsid w:val="00211723"/>
    <w:rsid w:val="00211FAB"/>
    <w:rsid w:val="002121E2"/>
    <w:rsid w:val="00212237"/>
    <w:rsid w:val="0021284E"/>
    <w:rsid w:val="00212E07"/>
    <w:rsid w:val="002133E9"/>
    <w:rsid w:val="00213890"/>
    <w:rsid w:val="00213B77"/>
    <w:rsid w:val="00214B1F"/>
    <w:rsid w:val="002152EA"/>
    <w:rsid w:val="00215A78"/>
    <w:rsid w:val="002212EE"/>
    <w:rsid w:val="00221459"/>
    <w:rsid w:val="0022174C"/>
    <w:rsid w:val="00221D8F"/>
    <w:rsid w:val="002226EC"/>
    <w:rsid w:val="00222FE5"/>
    <w:rsid w:val="0022358D"/>
    <w:rsid w:val="00223984"/>
    <w:rsid w:val="00224CE8"/>
    <w:rsid w:val="00225BBB"/>
    <w:rsid w:val="00225DFC"/>
    <w:rsid w:val="00226B6A"/>
    <w:rsid w:val="00227245"/>
    <w:rsid w:val="002273D3"/>
    <w:rsid w:val="00227746"/>
    <w:rsid w:val="002303FF"/>
    <w:rsid w:val="00230586"/>
    <w:rsid w:val="00231918"/>
    <w:rsid w:val="00231C75"/>
    <w:rsid w:val="002320BA"/>
    <w:rsid w:val="0023377F"/>
    <w:rsid w:val="00233C85"/>
    <w:rsid w:val="002350F7"/>
    <w:rsid w:val="00235168"/>
    <w:rsid w:val="0023616E"/>
    <w:rsid w:val="002361CE"/>
    <w:rsid w:val="00236B49"/>
    <w:rsid w:val="00237418"/>
    <w:rsid w:val="00237473"/>
    <w:rsid w:val="00237B4D"/>
    <w:rsid w:val="00240605"/>
    <w:rsid w:val="0024061B"/>
    <w:rsid w:val="002414E0"/>
    <w:rsid w:val="002418A2"/>
    <w:rsid w:val="002421CC"/>
    <w:rsid w:val="00242600"/>
    <w:rsid w:val="00242B2E"/>
    <w:rsid w:val="00242BE3"/>
    <w:rsid w:val="00242BF3"/>
    <w:rsid w:val="00242C4A"/>
    <w:rsid w:val="00243336"/>
    <w:rsid w:val="00243593"/>
    <w:rsid w:val="00243863"/>
    <w:rsid w:val="00243B76"/>
    <w:rsid w:val="00243C58"/>
    <w:rsid w:val="002442F1"/>
    <w:rsid w:val="0024466F"/>
    <w:rsid w:val="00244C69"/>
    <w:rsid w:val="00245B4C"/>
    <w:rsid w:val="0024690D"/>
    <w:rsid w:val="00250ED0"/>
    <w:rsid w:val="002516B6"/>
    <w:rsid w:val="00252270"/>
    <w:rsid w:val="0025251E"/>
    <w:rsid w:val="00252BF4"/>
    <w:rsid w:val="002537A1"/>
    <w:rsid w:val="00255155"/>
    <w:rsid w:val="00255D17"/>
    <w:rsid w:val="00255D22"/>
    <w:rsid w:val="00255FD4"/>
    <w:rsid w:val="00256276"/>
    <w:rsid w:val="002609F9"/>
    <w:rsid w:val="00261284"/>
    <w:rsid w:val="00261D1D"/>
    <w:rsid w:val="00261EC6"/>
    <w:rsid w:val="00262959"/>
    <w:rsid w:val="00262967"/>
    <w:rsid w:val="0026297C"/>
    <w:rsid w:val="002629C5"/>
    <w:rsid w:val="00263192"/>
    <w:rsid w:val="00263FA2"/>
    <w:rsid w:val="0026404B"/>
    <w:rsid w:val="00264C8E"/>
    <w:rsid w:val="00264CB5"/>
    <w:rsid w:val="002651B3"/>
    <w:rsid w:val="002654B0"/>
    <w:rsid w:val="00265D86"/>
    <w:rsid w:val="002660D6"/>
    <w:rsid w:val="002664E7"/>
    <w:rsid w:val="0026669E"/>
    <w:rsid w:val="0026700F"/>
    <w:rsid w:val="00270005"/>
    <w:rsid w:val="00271179"/>
    <w:rsid w:val="00271191"/>
    <w:rsid w:val="0027175E"/>
    <w:rsid w:val="002723CD"/>
    <w:rsid w:val="002729AA"/>
    <w:rsid w:val="002733C1"/>
    <w:rsid w:val="002747F6"/>
    <w:rsid w:val="00274D9F"/>
    <w:rsid w:val="00274F68"/>
    <w:rsid w:val="002752BC"/>
    <w:rsid w:val="00275339"/>
    <w:rsid w:val="002760EF"/>
    <w:rsid w:val="00276469"/>
    <w:rsid w:val="00280400"/>
    <w:rsid w:val="0028096E"/>
    <w:rsid w:val="002811BE"/>
    <w:rsid w:val="00282197"/>
    <w:rsid w:val="002824D5"/>
    <w:rsid w:val="00282DA0"/>
    <w:rsid w:val="00282DD9"/>
    <w:rsid w:val="0028342E"/>
    <w:rsid w:val="00283508"/>
    <w:rsid w:val="00284F54"/>
    <w:rsid w:val="002851EC"/>
    <w:rsid w:val="002852E6"/>
    <w:rsid w:val="0028580C"/>
    <w:rsid w:val="00286D7B"/>
    <w:rsid w:val="00286ECD"/>
    <w:rsid w:val="002870DF"/>
    <w:rsid w:val="00287EA3"/>
    <w:rsid w:val="0029126F"/>
    <w:rsid w:val="002913FB"/>
    <w:rsid w:val="0029196C"/>
    <w:rsid w:val="0029197E"/>
    <w:rsid w:val="00291BBE"/>
    <w:rsid w:val="00291CCB"/>
    <w:rsid w:val="00292082"/>
    <w:rsid w:val="00292782"/>
    <w:rsid w:val="002929CD"/>
    <w:rsid w:val="00292A84"/>
    <w:rsid w:val="00292D88"/>
    <w:rsid w:val="0029367A"/>
    <w:rsid w:val="00294A93"/>
    <w:rsid w:val="002956E5"/>
    <w:rsid w:val="00296075"/>
    <w:rsid w:val="002965A5"/>
    <w:rsid w:val="00296B35"/>
    <w:rsid w:val="00296F72"/>
    <w:rsid w:val="00297023"/>
    <w:rsid w:val="00297EBB"/>
    <w:rsid w:val="002A0B59"/>
    <w:rsid w:val="002A0F07"/>
    <w:rsid w:val="002A11FE"/>
    <w:rsid w:val="002A17C2"/>
    <w:rsid w:val="002A36BA"/>
    <w:rsid w:val="002A3BFC"/>
    <w:rsid w:val="002A4753"/>
    <w:rsid w:val="002A48F0"/>
    <w:rsid w:val="002A4BE2"/>
    <w:rsid w:val="002A5392"/>
    <w:rsid w:val="002A5EEE"/>
    <w:rsid w:val="002A682C"/>
    <w:rsid w:val="002A69A0"/>
    <w:rsid w:val="002A75BA"/>
    <w:rsid w:val="002A777F"/>
    <w:rsid w:val="002A7B16"/>
    <w:rsid w:val="002B0970"/>
    <w:rsid w:val="002B09F7"/>
    <w:rsid w:val="002B09FC"/>
    <w:rsid w:val="002B2B55"/>
    <w:rsid w:val="002B4135"/>
    <w:rsid w:val="002B4314"/>
    <w:rsid w:val="002B4377"/>
    <w:rsid w:val="002B471D"/>
    <w:rsid w:val="002B6609"/>
    <w:rsid w:val="002B673F"/>
    <w:rsid w:val="002B6E43"/>
    <w:rsid w:val="002B7157"/>
    <w:rsid w:val="002B7218"/>
    <w:rsid w:val="002B723F"/>
    <w:rsid w:val="002B7257"/>
    <w:rsid w:val="002B75C3"/>
    <w:rsid w:val="002B7AA7"/>
    <w:rsid w:val="002B7D27"/>
    <w:rsid w:val="002B7FC6"/>
    <w:rsid w:val="002C02F5"/>
    <w:rsid w:val="002C052D"/>
    <w:rsid w:val="002C0B9C"/>
    <w:rsid w:val="002C0F07"/>
    <w:rsid w:val="002C14B2"/>
    <w:rsid w:val="002C1561"/>
    <w:rsid w:val="002C2409"/>
    <w:rsid w:val="002C2420"/>
    <w:rsid w:val="002C266B"/>
    <w:rsid w:val="002C27C8"/>
    <w:rsid w:val="002C2FA7"/>
    <w:rsid w:val="002C30B4"/>
    <w:rsid w:val="002C30D0"/>
    <w:rsid w:val="002C36DA"/>
    <w:rsid w:val="002C4761"/>
    <w:rsid w:val="002C5019"/>
    <w:rsid w:val="002C50FF"/>
    <w:rsid w:val="002C5CD2"/>
    <w:rsid w:val="002C643C"/>
    <w:rsid w:val="002C6569"/>
    <w:rsid w:val="002C6B02"/>
    <w:rsid w:val="002C7427"/>
    <w:rsid w:val="002C79BF"/>
    <w:rsid w:val="002C7F85"/>
    <w:rsid w:val="002C7F96"/>
    <w:rsid w:val="002D07E9"/>
    <w:rsid w:val="002D162A"/>
    <w:rsid w:val="002D16AD"/>
    <w:rsid w:val="002D228A"/>
    <w:rsid w:val="002D297D"/>
    <w:rsid w:val="002D2EF5"/>
    <w:rsid w:val="002D31F6"/>
    <w:rsid w:val="002D3F24"/>
    <w:rsid w:val="002D3F8F"/>
    <w:rsid w:val="002D4B32"/>
    <w:rsid w:val="002D4F80"/>
    <w:rsid w:val="002D51FC"/>
    <w:rsid w:val="002D60BB"/>
    <w:rsid w:val="002D61AE"/>
    <w:rsid w:val="002D74AA"/>
    <w:rsid w:val="002E0C99"/>
    <w:rsid w:val="002E11FC"/>
    <w:rsid w:val="002E17FD"/>
    <w:rsid w:val="002E1A09"/>
    <w:rsid w:val="002E1C74"/>
    <w:rsid w:val="002E2255"/>
    <w:rsid w:val="002E2568"/>
    <w:rsid w:val="002E258A"/>
    <w:rsid w:val="002E2E7E"/>
    <w:rsid w:val="002E2FC1"/>
    <w:rsid w:val="002E33EA"/>
    <w:rsid w:val="002E3564"/>
    <w:rsid w:val="002E367D"/>
    <w:rsid w:val="002E3D50"/>
    <w:rsid w:val="002E5F1F"/>
    <w:rsid w:val="002E6D7A"/>
    <w:rsid w:val="002E6F12"/>
    <w:rsid w:val="002E7A13"/>
    <w:rsid w:val="002E7ABE"/>
    <w:rsid w:val="002F0377"/>
    <w:rsid w:val="002F06DC"/>
    <w:rsid w:val="002F1969"/>
    <w:rsid w:val="002F2979"/>
    <w:rsid w:val="002F3FC9"/>
    <w:rsid w:val="002F4617"/>
    <w:rsid w:val="002F4A1A"/>
    <w:rsid w:val="002F4DDD"/>
    <w:rsid w:val="002F552C"/>
    <w:rsid w:val="002F5A5B"/>
    <w:rsid w:val="002F5EC6"/>
    <w:rsid w:val="002F614B"/>
    <w:rsid w:val="002F7006"/>
    <w:rsid w:val="00300514"/>
    <w:rsid w:val="003014F6"/>
    <w:rsid w:val="0030156C"/>
    <w:rsid w:val="003017BD"/>
    <w:rsid w:val="003022BE"/>
    <w:rsid w:val="003030D0"/>
    <w:rsid w:val="00303114"/>
    <w:rsid w:val="00303320"/>
    <w:rsid w:val="00303905"/>
    <w:rsid w:val="00303922"/>
    <w:rsid w:val="0030399D"/>
    <w:rsid w:val="00304279"/>
    <w:rsid w:val="0030439B"/>
    <w:rsid w:val="0030450E"/>
    <w:rsid w:val="003046FB"/>
    <w:rsid w:val="003053AF"/>
    <w:rsid w:val="0030665D"/>
    <w:rsid w:val="003067EA"/>
    <w:rsid w:val="00306EEA"/>
    <w:rsid w:val="003074F3"/>
    <w:rsid w:val="00307AC0"/>
    <w:rsid w:val="00307DA4"/>
    <w:rsid w:val="00310B3C"/>
    <w:rsid w:val="00311997"/>
    <w:rsid w:val="00311CB2"/>
    <w:rsid w:val="0031294A"/>
    <w:rsid w:val="003139F4"/>
    <w:rsid w:val="00313B42"/>
    <w:rsid w:val="00313C2D"/>
    <w:rsid w:val="00313CAE"/>
    <w:rsid w:val="00314A82"/>
    <w:rsid w:val="00315143"/>
    <w:rsid w:val="003152D2"/>
    <w:rsid w:val="00315A90"/>
    <w:rsid w:val="00315E9C"/>
    <w:rsid w:val="00316306"/>
    <w:rsid w:val="003166F0"/>
    <w:rsid w:val="00316712"/>
    <w:rsid w:val="00316C8A"/>
    <w:rsid w:val="0032021C"/>
    <w:rsid w:val="00320CDD"/>
    <w:rsid w:val="00320D6B"/>
    <w:rsid w:val="00320F8E"/>
    <w:rsid w:val="00321406"/>
    <w:rsid w:val="00321544"/>
    <w:rsid w:val="00321939"/>
    <w:rsid w:val="00321AB9"/>
    <w:rsid w:val="00322323"/>
    <w:rsid w:val="00322C4C"/>
    <w:rsid w:val="00323740"/>
    <w:rsid w:val="0032443A"/>
    <w:rsid w:val="003245DC"/>
    <w:rsid w:val="00324EE6"/>
    <w:rsid w:val="00325C9E"/>
    <w:rsid w:val="00325E8C"/>
    <w:rsid w:val="00325EB2"/>
    <w:rsid w:val="00326412"/>
    <w:rsid w:val="00327A17"/>
    <w:rsid w:val="00330961"/>
    <w:rsid w:val="003312D1"/>
    <w:rsid w:val="00331383"/>
    <w:rsid w:val="003317DF"/>
    <w:rsid w:val="003320D7"/>
    <w:rsid w:val="0033319B"/>
    <w:rsid w:val="003343C2"/>
    <w:rsid w:val="0033482B"/>
    <w:rsid w:val="00335487"/>
    <w:rsid w:val="0033566B"/>
    <w:rsid w:val="003362AE"/>
    <w:rsid w:val="003368F3"/>
    <w:rsid w:val="003375FA"/>
    <w:rsid w:val="0034091C"/>
    <w:rsid w:val="0034118D"/>
    <w:rsid w:val="00341337"/>
    <w:rsid w:val="0034223A"/>
    <w:rsid w:val="00344520"/>
    <w:rsid w:val="00344C05"/>
    <w:rsid w:val="003455E9"/>
    <w:rsid w:val="0034564B"/>
    <w:rsid w:val="00345F54"/>
    <w:rsid w:val="003464DF"/>
    <w:rsid w:val="00346943"/>
    <w:rsid w:val="00347321"/>
    <w:rsid w:val="003474D6"/>
    <w:rsid w:val="00347E3C"/>
    <w:rsid w:val="003506D9"/>
    <w:rsid w:val="0035113C"/>
    <w:rsid w:val="00351210"/>
    <w:rsid w:val="00351790"/>
    <w:rsid w:val="00351CB8"/>
    <w:rsid w:val="00351E88"/>
    <w:rsid w:val="00352397"/>
    <w:rsid w:val="00352D3E"/>
    <w:rsid w:val="00354A0C"/>
    <w:rsid w:val="0035570E"/>
    <w:rsid w:val="00355CDE"/>
    <w:rsid w:val="003560B7"/>
    <w:rsid w:val="00357579"/>
    <w:rsid w:val="003579DA"/>
    <w:rsid w:val="00357C71"/>
    <w:rsid w:val="00357E27"/>
    <w:rsid w:val="00360349"/>
    <w:rsid w:val="00360CB6"/>
    <w:rsid w:val="00360ED1"/>
    <w:rsid w:val="00361227"/>
    <w:rsid w:val="0036193B"/>
    <w:rsid w:val="00361DB3"/>
    <w:rsid w:val="0036210A"/>
    <w:rsid w:val="00362555"/>
    <w:rsid w:val="00363ECD"/>
    <w:rsid w:val="00364768"/>
    <w:rsid w:val="00364D47"/>
    <w:rsid w:val="00365280"/>
    <w:rsid w:val="003652A2"/>
    <w:rsid w:val="003656CF"/>
    <w:rsid w:val="00365746"/>
    <w:rsid w:val="003660FA"/>
    <w:rsid w:val="00366626"/>
    <w:rsid w:val="003675F8"/>
    <w:rsid w:val="00367B7D"/>
    <w:rsid w:val="003708DA"/>
    <w:rsid w:val="003709C9"/>
    <w:rsid w:val="00370A9F"/>
    <w:rsid w:val="00371477"/>
    <w:rsid w:val="00371564"/>
    <w:rsid w:val="00371F16"/>
    <w:rsid w:val="0037239D"/>
    <w:rsid w:val="00372C7E"/>
    <w:rsid w:val="0037300C"/>
    <w:rsid w:val="003730A4"/>
    <w:rsid w:val="003736CE"/>
    <w:rsid w:val="00375233"/>
    <w:rsid w:val="003752C6"/>
    <w:rsid w:val="003752F3"/>
    <w:rsid w:val="00375378"/>
    <w:rsid w:val="00375EDC"/>
    <w:rsid w:val="003763E3"/>
    <w:rsid w:val="00376A75"/>
    <w:rsid w:val="00377311"/>
    <w:rsid w:val="00377488"/>
    <w:rsid w:val="00377E0D"/>
    <w:rsid w:val="003800FB"/>
    <w:rsid w:val="0038017D"/>
    <w:rsid w:val="003805A2"/>
    <w:rsid w:val="0038068F"/>
    <w:rsid w:val="00380831"/>
    <w:rsid w:val="00380A2E"/>
    <w:rsid w:val="00380ABB"/>
    <w:rsid w:val="00381232"/>
    <w:rsid w:val="0038133C"/>
    <w:rsid w:val="00382B6A"/>
    <w:rsid w:val="00382E36"/>
    <w:rsid w:val="00383494"/>
    <w:rsid w:val="00383A07"/>
    <w:rsid w:val="00385692"/>
    <w:rsid w:val="0038613B"/>
    <w:rsid w:val="00386782"/>
    <w:rsid w:val="003868B4"/>
    <w:rsid w:val="00386BF8"/>
    <w:rsid w:val="003873C1"/>
    <w:rsid w:val="0038756C"/>
    <w:rsid w:val="003877B0"/>
    <w:rsid w:val="00387DF1"/>
    <w:rsid w:val="00387EE2"/>
    <w:rsid w:val="003903F8"/>
    <w:rsid w:val="0039145C"/>
    <w:rsid w:val="00391DCA"/>
    <w:rsid w:val="003927C1"/>
    <w:rsid w:val="003929A9"/>
    <w:rsid w:val="00392AC0"/>
    <w:rsid w:val="00392DAA"/>
    <w:rsid w:val="00392FB8"/>
    <w:rsid w:val="003940BD"/>
    <w:rsid w:val="0039731F"/>
    <w:rsid w:val="00397592"/>
    <w:rsid w:val="00397C10"/>
    <w:rsid w:val="003A089A"/>
    <w:rsid w:val="003A2899"/>
    <w:rsid w:val="003A2FA8"/>
    <w:rsid w:val="003A32B2"/>
    <w:rsid w:val="003A36CA"/>
    <w:rsid w:val="003A3E45"/>
    <w:rsid w:val="003A4218"/>
    <w:rsid w:val="003A4310"/>
    <w:rsid w:val="003A449B"/>
    <w:rsid w:val="003A46CF"/>
    <w:rsid w:val="003A5069"/>
    <w:rsid w:val="003A6954"/>
    <w:rsid w:val="003A7594"/>
    <w:rsid w:val="003A79C4"/>
    <w:rsid w:val="003A7B25"/>
    <w:rsid w:val="003A7F17"/>
    <w:rsid w:val="003B0180"/>
    <w:rsid w:val="003B0D95"/>
    <w:rsid w:val="003B1AF8"/>
    <w:rsid w:val="003B21CC"/>
    <w:rsid w:val="003B2224"/>
    <w:rsid w:val="003B28A8"/>
    <w:rsid w:val="003B2FC2"/>
    <w:rsid w:val="003B3281"/>
    <w:rsid w:val="003B3C7F"/>
    <w:rsid w:val="003B3E40"/>
    <w:rsid w:val="003B4D51"/>
    <w:rsid w:val="003B4E29"/>
    <w:rsid w:val="003B5366"/>
    <w:rsid w:val="003B5C6E"/>
    <w:rsid w:val="003B5D32"/>
    <w:rsid w:val="003B6D76"/>
    <w:rsid w:val="003B6F72"/>
    <w:rsid w:val="003B79D2"/>
    <w:rsid w:val="003B7AFE"/>
    <w:rsid w:val="003C0435"/>
    <w:rsid w:val="003C08F9"/>
    <w:rsid w:val="003C0D98"/>
    <w:rsid w:val="003C287D"/>
    <w:rsid w:val="003C2F5F"/>
    <w:rsid w:val="003C41F4"/>
    <w:rsid w:val="003C43EA"/>
    <w:rsid w:val="003C4467"/>
    <w:rsid w:val="003C5052"/>
    <w:rsid w:val="003C5B1F"/>
    <w:rsid w:val="003C6EE1"/>
    <w:rsid w:val="003C779F"/>
    <w:rsid w:val="003D1265"/>
    <w:rsid w:val="003D13AB"/>
    <w:rsid w:val="003D14ED"/>
    <w:rsid w:val="003D1980"/>
    <w:rsid w:val="003D1DBB"/>
    <w:rsid w:val="003D2577"/>
    <w:rsid w:val="003D38AE"/>
    <w:rsid w:val="003D3D27"/>
    <w:rsid w:val="003D4665"/>
    <w:rsid w:val="003D5328"/>
    <w:rsid w:val="003D596A"/>
    <w:rsid w:val="003D5F37"/>
    <w:rsid w:val="003D5F4E"/>
    <w:rsid w:val="003D6734"/>
    <w:rsid w:val="003D69D6"/>
    <w:rsid w:val="003D6EFB"/>
    <w:rsid w:val="003D700C"/>
    <w:rsid w:val="003E05A3"/>
    <w:rsid w:val="003E06CB"/>
    <w:rsid w:val="003E1388"/>
    <w:rsid w:val="003E151C"/>
    <w:rsid w:val="003E2F15"/>
    <w:rsid w:val="003E2F67"/>
    <w:rsid w:val="003E3832"/>
    <w:rsid w:val="003E3C99"/>
    <w:rsid w:val="003E3D9B"/>
    <w:rsid w:val="003E4478"/>
    <w:rsid w:val="003E56F6"/>
    <w:rsid w:val="003E580F"/>
    <w:rsid w:val="003E5A23"/>
    <w:rsid w:val="003E6792"/>
    <w:rsid w:val="003E6DBC"/>
    <w:rsid w:val="003E7060"/>
    <w:rsid w:val="003E7356"/>
    <w:rsid w:val="003E7A33"/>
    <w:rsid w:val="003F0888"/>
    <w:rsid w:val="003F09DC"/>
    <w:rsid w:val="003F1085"/>
    <w:rsid w:val="003F1317"/>
    <w:rsid w:val="003F1897"/>
    <w:rsid w:val="003F24DB"/>
    <w:rsid w:val="003F26B0"/>
    <w:rsid w:val="003F2AA0"/>
    <w:rsid w:val="003F30FE"/>
    <w:rsid w:val="003F3164"/>
    <w:rsid w:val="003F386A"/>
    <w:rsid w:val="003F3DFC"/>
    <w:rsid w:val="003F41EC"/>
    <w:rsid w:val="003F4D85"/>
    <w:rsid w:val="003F4E3F"/>
    <w:rsid w:val="003F5D71"/>
    <w:rsid w:val="003F5ECD"/>
    <w:rsid w:val="003F646E"/>
    <w:rsid w:val="003F6712"/>
    <w:rsid w:val="003F6886"/>
    <w:rsid w:val="003F68AC"/>
    <w:rsid w:val="003F6BAE"/>
    <w:rsid w:val="003F6BCD"/>
    <w:rsid w:val="003F6C30"/>
    <w:rsid w:val="003F6F4E"/>
    <w:rsid w:val="003F7680"/>
    <w:rsid w:val="003F77F3"/>
    <w:rsid w:val="003F7CCE"/>
    <w:rsid w:val="00400D8A"/>
    <w:rsid w:val="0040131C"/>
    <w:rsid w:val="00401394"/>
    <w:rsid w:val="00402334"/>
    <w:rsid w:val="0040258C"/>
    <w:rsid w:val="00402D92"/>
    <w:rsid w:val="004031DA"/>
    <w:rsid w:val="00404031"/>
    <w:rsid w:val="004045FA"/>
    <w:rsid w:val="004048BF"/>
    <w:rsid w:val="00404972"/>
    <w:rsid w:val="00404D2B"/>
    <w:rsid w:val="0040567E"/>
    <w:rsid w:val="0040577D"/>
    <w:rsid w:val="00405D4D"/>
    <w:rsid w:val="00406A30"/>
    <w:rsid w:val="00406A3C"/>
    <w:rsid w:val="00407ED1"/>
    <w:rsid w:val="004101BF"/>
    <w:rsid w:val="00410A9F"/>
    <w:rsid w:val="00410B4A"/>
    <w:rsid w:val="00410D03"/>
    <w:rsid w:val="00412388"/>
    <w:rsid w:val="0041289F"/>
    <w:rsid w:val="004141EF"/>
    <w:rsid w:val="00414BA5"/>
    <w:rsid w:val="004154B3"/>
    <w:rsid w:val="004157B0"/>
    <w:rsid w:val="004159BA"/>
    <w:rsid w:val="00415D38"/>
    <w:rsid w:val="00415FCE"/>
    <w:rsid w:val="00416678"/>
    <w:rsid w:val="00416CE6"/>
    <w:rsid w:val="004204F7"/>
    <w:rsid w:val="004208E9"/>
    <w:rsid w:val="0042109B"/>
    <w:rsid w:val="004224BF"/>
    <w:rsid w:val="00422D0F"/>
    <w:rsid w:val="00423C6B"/>
    <w:rsid w:val="00423E08"/>
    <w:rsid w:val="004249DA"/>
    <w:rsid w:val="00425278"/>
    <w:rsid w:val="004253D2"/>
    <w:rsid w:val="00425BDE"/>
    <w:rsid w:val="0042647C"/>
    <w:rsid w:val="00426533"/>
    <w:rsid w:val="004279D9"/>
    <w:rsid w:val="0043064A"/>
    <w:rsid w:val="00430D9B"/>
    <w:rsid w:val="00430DB8"/>
    <w:rsid w:val="004315C5"/>
    <w:rsid w:val="00431E35"/>
    <w:rsid w:val="00431ECA"/>
    <w:rsid w:val="004322B5"/>
    <w:rsid w:val="00432760"/>
    <w:rsid w:val="004330BB"/>
    <w:rsid w:val="00433131"/>
    <w:rsid w:val="00433AC1"/>
    <w:rsid w:val="00434C6F"/>
    <w:rsid w:val="00435314"/>
    <w:rsid w:val="00435710"/>
    <w:rsid w:val="00435818"/>
    <w:rsid w:val="00436770"/>
    <w:rsid w:val="0043680E"/>
    <w:rsid w:val="00436C18"/>
    <w:rsid w:val="00436F01"/>
    <w:rsid w:val="00437CB0"/>
    <w:rsid w:val="00437D30"/>
    <w:rsid w:val="004400DF"/>
    <w:rsid w:val="0044038E"/>
    <w:rsid w:val="0044047A"/>
    <w:rsid w:val="004412F7"/>
    <w:rsid w:val="00441B2A"/>
    <w:rsid w:val="00442B98"/>
    <w:rsid w:val="0044305E"/>
    <w:rsid w:val="00443366"/>
    <w:rsid w:val="00443D01"/>
    <w:rsid w:val="004440E7"/>
    <w:rsid w:val="00444941"/>
    <w:rsid w:val="00444A89"/>
    <w:rsid w:val="00444BFE"/>
    <w:rsid w:val="00444E7B"/>
    <w:rsid w:val="00445E16"/>
    <w:rsid w:val="00445EFC"/>
    <w:rsid w:val="00446345"/>
    <w:rsid w:val="00446632"/>
    <w:rsid w:val="00446974"/>
    <w:rsid w:val="00446ACB"/>
    <w:rsid w:val="00446B4E"/>
    <w:rsid w:val="00447EF4"/>
    <w:rsid w:val="0045001C"/>
    <w:rsid w:val="0045035F"/>
    <w:rsid w:val="00450471"/>
    <w:rsid w:val="004505DF"/>
    <w:rsid w:val="004506E3"/>
    <w:rsid w:val="004507A5"/>
    <w:rsid w:val="004519B7"/>
    <w:rsid w:val="00451B09"/>
    <w:rsid w:val="00451BFA"/>
    <w:rsid w:val="00452019"/>
    <w:rsid w:val="00453018"/>
    <w:rsid w:val="00454260"/>
    <w:rsid w:val="004542D3"/>
    <w:rsid w:val="004544FF"/>
    <w:rsid w:val="00454E79"/>
    <w:rsid w:val="0045557C"/>
    <w:rsid w:val="00455DFA"/>
    <w:rsid w:val="00456772"/>
    <w:rsid w:val="004570ED"/>
    <w:rsid w:val="004579FE"/>
    <w:rsid w:val="00457B34"/>
    <w:rsid w:val="004604F5"/>
    <w:rsid w:val="004606F6"/>
    <w:rsid w:val="00460DFA"/>
    <w:rsid w:val="00461182"/>
    <w:rsid w:val="00461879"/>
    <w:rsid w:val="00462DDE"/>
    <w:rsid w:val="00462DF4"/>
    <w:rsid w:val="004634C8"/>
    <w:rsid w:val="004635EB"/>
    <w:rsid w:val="0046412A"/>
    <w:rsid w:val="004646F2"/>
    <w:rsid w:val="00464831"/>
    <w:rsid w:val="004651B4"/>
    <w:rsid w:val="00465E85"/>
    <w:rsid w:val="00466024"/>
    <w:rsid w:val="00466158"/>
    <w:rsid w:val="004662B2"/>
    <w:rsid w:val="00466983"/>
    <w:rsid w:val="00466A1F"/>
    <w:rsid w:val="00466FAE"/>
    <w:rsid w:val="004675F2"/>
    <w:rsid w:val="0046763C"/>
    <w:rsid w:val="00467BD6"/>
    <w:rsid w:val="00467D38"/>
    <w:rsid w:val="004707A4"/>
    <w:rsid w:val="00470F5F"/>
    <w:rsid w:val="00471AD6"/>
    <w:rsid w:val="00471E04"/>
    <w:rsid w:val="0047212E"/>
    <w:rsid w:val="00472775"/>
    <w:rsid w:val="00472F82"/>
    <w:rsid w:val="00473080"/>
    <w:rsid w:val="00474256"/>
    <w:rsid w:val="00474914"/>
    <w:rsid w:val="00474CEE"/>
    <w:rsid w:val="00474DC7"/>
    <w:rsid w:val="00475195"/>
    <w:rsid w:val="004756EB"/>
    <w:rsid w:val="004759DD"/>
    <w:rsid w:val="00475C29"/>
    <w:rsid w:val="00476185"/>
    <w:rsid w:val="00476414"/>
    <w:rsid w:val="00476B3B"/>
    <w:rsid w:val="004771DA"/>
    <w:rsid w:val="00477CEA"/>
    <w:rsid w:val="004800E6"/>
    <w:rsid w:val="0048034B"/>
    <w:rsid w:val="00480E4C"/>
    <w:rsid w:val="004810F6"/>
    <w:rsid w:val="0048189F"/>
    <w:rsid w:val="004828C3"/>
    <w:rsid w:val="00482F4E"/>
    <w:rsid w:val="004832A3"/>
    <w:rsid w:val="00484E0E"/>
    <w:rsid w:val="00485003"/>
    <w:rsid w:val="0048520E"/>
    <w:rsid w:val="004857A8"/>
    <w:rsid w:val="00485921"/>
    <w:rsid w:val="00485C13"/>
    <w:rsid w:val="00486FB8"/>
    <w:rsid w:val="004870DC"/>
    <w:rsid w:val="00487593"/>
    <w:rsid w:val="00487B1A"/>
    <w:rsid w:val="004900E2"/>
    <w:rsid w:val="0049041F"/>
    <w:rsid w:val="00490F45"/>
    <w:rsid w:val="00491E14"/>
    <w:rsid w:val="004929F3"/>
    <w:rsid w:val="00493877"/>
    <w:rsid w:val="00493C34"/>
    <w:rsid w:val="00493E12"/>
    <w:rsid w:val="004941DB"/>
    <w:rsid w:val="00494BE3"/>
    <w:rsid w:val="004952B3"/>
    <w:rsid w:val="0049557D"/>
    <w:rsid w:val="00497193"/>
    <w:rsid w:val="00497FEF"/>
    <w:rsid w:val="004A0075"/>
    <w:rsid w:val="004A079D"/>
    <w:rsid w:val="004A08EC"/>
    <w:rsid w:val="004A0F85"/>
    <w:rsid w:val="004A12FE"/>
    <w:rsid w:val="004A1540"/>
    <w:rsid w:val="004A209B"/>
    <w:rsid w:val="004A2C11"/>
    <w:rsid w:val="004A3151"/>
    <w:rsid w:val="004A3387"/>
    <w:rsid w:val="004A3F43"/>
    <w:rsid w:val="004A4714"/>
    <w:rsid w:val="004A4B21"/>
    <w:rsid w:val="004A4CF7"/>
    <w:rsid w:val="004A5289"/>
    <w:rsid w:val="004A61DD"/>
    <w:rsid w:val="004A6BD0"/>
    <w:rsid w:val="004A6E00"/>
    <w:rsid w:val="004A7169"/>
    <w:rsid w:val="004B02CE"/>
    <w:rsid w:val="004B0389"/>
    <w:rsid w:val="004B1615"/>
    <w:rsid w:val="004B18F8"/>
    <w:rsid w:val="004B25D8"/>
    <w:rsid w:val="004B27D0"/>
    <w:rsid w:val="004B2818"/>
    <w:rsid w:val="004B2AF5"/>
    <w:rsid w:val="004B2C7A"/>
    <w:rsid w:val="004B3078"/>
    <w:rsid w:val="004B3370"/>
    <w:rsid w:val="004B3518"/>
    <w:rsid w:val="004B3DB3"/>
    <w:rsid w:val="004B41FB"/>
    <w:rsid w:val="004B4239"/>
    <w:rsid w:val="004B5263"/>
    <w:rsid w:val="004B55FF"/>
    <w:rsid w:val="004B63DA"/>
    <w:rsid w:val="004B6521"/>
    <w:rsid w:val="004B6945"/>
    <w:rsid w:val="004B7381"/>
    <w:rsid w:val="004B73C2"/>
    <w:rsid w:val="004B7A00"/>
    <w:rsid w:val="004B7B12"/>
    <w:rsid w:val="004C0E54"/>
    <w:rsid w:val="004C1762"/>
    <w:rsid w:val="004C185A"/>
    <w:rsid w:val="004C1CC4"/>
    <w:rsid w:val="004C20C8"/>
    <w:rsid w:val="004C21B2"/>
    <w:rsid w:val="004C2821"/>
    <w:rsid w:val="004C3534"/>
    <w:rsid w:val="004C3636"/>
    <w:rsid w:val="004C3C88"/>
    <w:rsid w:val="004C4321"/>
    <w:rsid w:val="004C4494"/>
    <w:rsid w:val="004C49D3"/>
    <w:rsid w:val="004C5F53"/>
    <w:rsid w:val="004C6477"/>
    <w:rsid w:val="004C6670"/>
    <w:rsid w:val="004C6C2B"/>
    <w:rsid w:val="004C7B97"/>
    <w:rsid w:val="004C7EEB"/>
    <w:rsid w:val="004D0FAB"/>
    <w:rsid w:val="004D24F3"/>
    <w:rsid w:val="004D287A"/>
    <w:rsid w:val="004D2A6F"/>
    <w:rsid w:val="004D3142"/>
    <w:rsid w:val="004D4101"/>
    <w:rsid w:val="004D47E6"/>
    <w:rsid w:val="004D52CB"/>
    <w:rsid w:val="004D5808"/>
    <w:rsid w:val="004D5C61"/>
    <w:rsid w:val="004D5E1B"/>
    <w:rsid w:val="004D6222"/>
    <w:rsid w:val="004D683D"/>
    <w:rsid w:val="004D7A9B"/>
    <w:rsid w:val="004E008C"/>
    <w:rsid w:val="004E0C81"/>
    <w:rsid w:val="004E0D55"/>
    <w:rsid w:val="004E1852"/>
    <w:rsid w:val="004E20CD"/>
    <w:rsid w:val="004E2D6B"/>
    <w:rsid w:val="004E3171"/>
    <w:rsid w:val="004E323E"/>
    <w:rsid w:val="004E39CC"/>
    <w:rsid w:val="004E4084"/>
    <w:rsid w:val="004E49A1"/>
    <w:rsid w:val="004E4A85"/>
    <w:rsid w:val="004E598E"/>
    <w:rsid w:val="004E5A57"/>
    <w:rsid w:val="004E5CB1"/>
    <w:rsid w:val="004E7312"/>
    <w:rsid w:val="004F017C"/>
    <w:rsid w:val="004F02E3"/>
    <w:rsid w:val="004F073B"/>
    <w:rsid w:val="004F08FC"/>
    <w:rsid w:val="004F0D73"/>
    <w:rsid w:val="004F1387"/>
    <w:rsid w:val="004F14A0"/>
    <w:rsid w:val="004F1A20"/>
    <w:rsid w:val="004F1E40"/>
    <w:rsid w:val="004F1E47"/>
    <w:rsid w:val="004F346D"/>
    <w:rsid w:val="004F3539"/>
    <w:rsid w:val="004F3843"/>
    <w:rsid w:val="004F3C86"/>
    <w:rsid w:val="004F5606"/>
    <w:rsid w:val="004F5658"/>
    <w:rsid w:val="004F5864"/>
    <w:rsid w:val="004F70BB"/>
    <w:rsid w:val="004F74CA"/>
    <w:rsid w:val="004F776C"/>
    <w:rsid w:val="004F7876"/>
    <w:rsid w:val="004F7925"/>
    <w:rsid w:val="0050039F"/>
    <w:rsid w:val="005004CD"/>
    <w:rsid w:val="00500EFE"/>
    <w:rsid w:val="005014EF"/>
    <w:rsid w:val="0050335B"/>
    <w:rsid w:val="00503AF3"/>
    <w:rsid w:val="005047E7"/>
    <w:rsid w:val="0050486A"/>
    <w:rsid w:val="00504873"/>
    <w:rsid w:val="00504D7B"/>
    <w:rsid w:val="0050532F"/>
    <w:rsid w:val="0050546B"/>
    <w:rsid w:val="00505DBE"/>
    <w:rsid w:val="00505F72"/>
    <w:rsid w:val="0050658C"/>
    <w:rsid w:val="00506E2B"/>
    <w:rsid w:val="00510313"/>
    <w:rsid w:val="0051089A"/>
    <w:rsid w:val="00510AD3"/>
    <w:rsid w:val="00510F72"/>
    <w:rsid w:val="0051173B"/>
    <w:rsid w:val="00511ABB"/>
    <w:rsid w:val="00511F83"/>
    <w:rsid w:val="00512BF5"/>
    <w:rsid w:val="0051347B"/>
    <w:rsid w:val="005135A7"/>
    <w:rsid w:val="00515E71"/>
    <w:rsid w:val="005178CB"/>
    <w:rsid w:val="005204CE"/>
    <w:rsid w:val="00520AB5"/>
    <w:rsid w:val="00520FBC"/>
    <w:rsid w:val="00521371"/>
    <w:rsid w:val="00521653"/>
    <w:rsid w:val="00521C22"/>
    <w:rsid w:val="00521CE8"/>
    <w:rsid w:val="00521E73"/>
    <w:rsid w:val="005220A3"/>
    <w:rsid w:val="00522144"/>
    <w:rsid w:val="00523942"/>
    <w:rsid w:val="00523E75"/>
    <w:rsid w:val="00523F2A"/>
    <w:rsid w:val="005243F9"/>
    <w:rsid w:val="005245B2"/>
    <w:rsid w:val="0052466C"/>
    <w:rsid w:val="00525670"/>
    <w:rsid w:val="005264EE"/>
    <w:rsid w:val="00526644"/>
    <w:rsid w:val="00527C72"/>
    <w:rsid w:val="00527CE6"/>
    <w:rsid w:val="00531020"/>
    <w:rsid w:val="00531069"/>
    <w:rsid w:val="00531244"/>
    <w:rsid w:val="00531313"/>
    <w:rsid w:val="005314CB"/>
    <w:rsid w:val="00532C52"/>
    <w:rsid w:val="005331CE"/>
    <w:rsid w:val="00533314"/>
    <w:rsid w:val="00533332"/>
    <w:rsid w:val="00534345"/>
    <w:rsid w:val="00534AFD"/>
    <w:rsid w:val="00535726"/>
    <w:rsid w:val="00535EDF"/>
    <w:rsid w:val="00536EEE"/>
    <w:rsid w:val="00537886"/>
    <w:rsid w:val="00537F9C"/>
    <w:rsid w:val="00540A60"/>
    <w:rsid w:val="00540AD1"/>
    <w:rsid w:val="00540B08"/>
    <w:rsid w:val="005434A2"/>
    <w:rsid w:val="00544C21"/>
    <w:rsid w:val="00544EB7"/>
    <w:rsid w:val="00545A31"/>
    <w:rsid w:val="00545B69"/>
    <w:rsid w:val="0054615A"/>
    <w:rsid w:val="005461C0"/>
    <w:rsid w:val="00546286"/>
    <w:rsid w:val="005466D8"/>
    <w:rsid w:val="00546932"/>
    <w:rsid w:val="00547294"/>
    <w:rsid w:val="0054776F"/>
    <w:rsid w:val="00551279"/>
    <w:rsid w:val="00551597"/>
    <w:rsid w:val="00551688"/>
    <w:rsid w:val="00552724"/>
    <w:rsid w:val="0055301B"/>
    <w:rsid w:val="005561F7"/>
    <w:rsid w:val="0055695F"/>
    <w:rsid w:val="00560B5E"/>
    <w:rsid w:val="005611FC"/>
    <w:rsid w:val="0056137E"/>
    <w:rsid w:val="005620D0"/>
    <w:rsid w:val="00562304"/>
    <w:rsid w:val="005630C8"/>
    <w:rsid w:val="005639AA"/>
    <w:rsid w:val="00564177"/>
    <w:rsid w:val="00564575"/>
    <w:rsid w:val="00565058"/>
    <w:rsid w:val="0056544F"/>
    <w:rsid w:val="00566368"/>
    <w:rsid w:val="0056636B"/>
    <w:rsid w:val="005666CA"/>
    <w:rsid w:val="00566738"/>
    <w:rsid w:val="0056688C"/>
    <w:rsid w:val="00566ADC"/>
    <w:rsid w:val="00567341"/>
    <w:rsid w:val="005674C5"/>
    <w:rsid w:val="005676B2"/>
    <w:rsid w:val="005676EF"/>
    <w:rsid w:val="00567939"/>
    <w:rsid w:val="005679D1"/>
    <w:rsid w:val="00567C3D"/>
    <w:rsid w:val="00570CF6"/>
    <w:rsid w:val="00571395"/>
    <w:rsid w:val="00571A0B"/>
    <w:rsid w:val="00572463"/>
    <w:rsid w:val="00572583"/>
    <w:rsid w:val="005728C5"/>
    <w:rsid w:val="0057291F"/>
    <w:rsid w:val="00572AB2"/>
    <w:rsid w:val="00574A35"/>
    <w:rsid w:val="00575221"/>
    <w:rsid w:val="00575268"/>
    <w:rsid w:val="005752F5"/>
    <w:rsid w:val="00575339"/>
    <w:rsid w:val="005754D0"/>
    <w:rsid w:val="00575576"/>
    <w:rsid w:val="00575E8C"/>
    <w:rsid w:val="00575F93"/>
    <w:rsid w:val="00576C36"/>
    <w:rsid w:val="00577F7F"/>
    <w:rsid w:val="00580140"/>
    <w:rsid w:val="005812D1"/>
    <w:rsid w:val="005821EA"/>
    <w:rsid w:val="0058285B"/>
    <w:rsid w:val="00582E08"/>
    <w:rsid w:val="0058364F"/>
    <w:rsid w:val="005843AF"/>
    <w:rsid w:val="00585232"/>
    <w:rsid w:val="00585722"/>
    <w:rsid w:val="00585F1C"/>
    <w:rsid w:val="0059060C"/>
    <w:rsid w:val="00590ABA"/>
    <w:rsid w:val="00591131"/>
    <w:rsid w:val="00591964"/>
    <w:rsid w:val="005922E4"/>
    <w:rsid w:val="005928DA"/>
    <w:rsid w:val="00592FCC"/>
    <w:rsid w:val="00593934"/>
    <w:rsid w:val="00594065"/>
    <w:rsid w:val="00594243"/>
    <w:rsid w:val="0059463C"/>
    <w:rsid w:val="00594A1A"/>
    <w:rsid w:val="00594F05"/>
    <w:rsid w:val="0059531A"/>
    <w:rsid w:val="00596D58"/>
    <w:rsid w:val="005A027B"/>
    <w:rsid w:val="005A039D"/>
    <w:rsid w:val="005A0827"/>
    <w:rsid w:val="005A08F7"/>
    <w:rsid w:val="005A0904"/>
    <w:rsid w:val="005A1152"/>
    <w:rsid w:val="005A12F5"/>
    <w:rsid w:val="005A23B8"/>
    <w:rsid w:val="005A23BE"/>
    <w:rsid w:val="005A282A"/>
    <w:rsid w:val="005A2DA9"/>
    <w:rsid w:val="005A3183"/>
    <w:rsid w:val="005A3659"/>
    <w:rsid w:val="005A36B1"/>
    <w:rsid w:val="005A4988"/>
    <w:rsid w:val="005A4F14"/>
    <w:rsid w:val="005A5028"/>
    <w:rsid w:val="005A50C9"/>
    <w:rsid w:val="005A53F5"/>
    <w:rsid w:val="005A561C"/>
    <w:rsid w:val="005A569A"/>
    <w:rsid w:val="005A63E4"/>
    <w:rsid w:val="005A6B4A"/>
    <w:rsid w:val="005A6E57"/>
    <w:rsid w:val="005A6F56"/>
    <w:rsid w:val="005A7AD1"/>
    <w:rsid w:val="005B0184"/>
    <w:rsid w:val="005B0687"/>
    <w:rsid w:val="005B0945"/>
    <w:rsid w:val="005B09E2"/>
    <w:rsid w:val="005B12BB"/>
    <w:rsid w:val="005B1AC9"/>
    <w:rsid w:val="005B24B9"/>
    <w:rsid w:val="005B2D73"/>
    <w:rsid w:val="005B4668"/>
    <w:rsid w:val="005B4871"/>
    <w:rsid w:val="005B5421"/>
    <w:rsid w:val="005B5FCB"/>
    <w:rsid w:val="005B7465"/>
    <w:rsid w:val="005B74CD"/>
    <w:rsid w:val="005B7EBE"/>
    <w:rsid w:val="005C0ADA"/>
    <w:rsid w:val="005C2673"/>
    <w:rsid w:val="005C2E24"/>
    <w:rsid w:val="005C3912"/>
    <w:rsid w:val="005C3B41"/>
    <w:rsid w:val="005C4935"/>
    <w:rsid w:val="005C4B0A"/>
    <w:rsid w:val="005C51BC"/>
    <w:rsid w:val="005C6719"/>
    <w:rsid w:val="005C6B0A"/>
    <w:rsid w:val="005C6C41"/>
    <w:rsid w:val="005C77C1"/>
    <w:rsid w:val="005C799C"/>
    <w:rsid w:val="005D00D5"/>
    <w:rsid w:val="005D04FF"/>
    <w:rsid w:val="005D1431"/>
    <w:rsid w:val="005D1579"/>
    <w:rsid w:val="005D3280"/>
    <w:rsid w:val="005D4211"/>
    <w:rsid w:val="005D4413"/>
    <w:rsid w:val="005D5C40"/>
    <w:rsid w:val="005D6374"/>
    <w:rsid w:val="005D6405"/>
    <w:rsid w:val="005D7DE6"/>
    <w:rsid w:val="005E18BE"/>
    <w:rsid w:val="005E1A7A"/>
    <w:rsid w:val="005E1BB7"/>
    <w:rsid w:val="005E1C48"/>
    <w:rsid w:val="005E25F5"/>
    <w:rsid w:val="005E262A"/>
    <w:rsid w:val="005E3174"/>
    <w:rsid w:val="005E38F9"/>
    <w:rsid w:val="005E3DFF"/>
    <w:rsid w:val="005E4FC3"/>
    <w:rsid w:val="005E55FA"/>
    <w:rsid w:val="005E56FA"/>
    <w:rsid w:val="005E5E0E"/>
    <w:rsid w:val="005E72A5"/>
    <w:rsid w:val="005E75DB"/>
    <w:rsid w:val="005E7A6C"/>
    <w:rsid w:val="005E7C8A"/>
    <w:rsid w:val="005E7EC3"/>
    <w:rsid w:val="005E7F20"/>
    <w:rsid w:val="005F0638"/>
    <w:rsid w:val="005F08EA"/>
    <w:rsid w:val="005F0B93"/>
    <w:rsid w:val="005F1178"/>
    <w:rsid w:val="005F13E9"/>
    <w:rsid w:val="005F17DD"/>
    <w:rsid w:val="005F19C4"/>
    <w:rsid w:val="005F1B80"/>
    <w:rsid w:val="005F1C66"/>
    <w:rsid w:val="005F2C64"/>
    <w:rsid w:val="005F303E"/>
    <w:rsid w:val="005F389E"/>
    <w:rsid w:val="005F3C22"/>
    <w:rsid w:val="005F3DCD"/>
    <w:rsid w:val="005F4036"/>
    <w:rsid w:val="005F408F"/>
    <w:rsid w:val="005F433E"/>
    <w:rsid w:val="005F4BF8"/>
    <w:rsid w:val="005F4FD8"/>
    <w:rsid w:val="005F52BA"/>
    <w:rsid w:val="005F5ECA"/>
    <w:rsid w:val="005F5F0F"/>
    <w:rsid w:val="005F64E7"/>
    <w:rsid w:val="005F6AF1"/>
    <w:rsid w:val="005F7724"/>
    <w:rsid w:val="006000C4"/>
    <w:rsid w:val="00600109"/>
    <w:rsid w:val="00600A36"/>
    <w:rsid w:val="00601320"/>
    <w:rsid w:val="0060199D"/>
    <w:rsid w:val="00601CAE"/>
    <w:rsid w:val="006020A5"/>
    <w:rsid w:val="00602104"/>
    <w:rsid w:val="00602E7C"/>
    <w:rsid w:val="006030D1"/>
    <w:rsid w:val="0060339B"/>
    <w:rsid w:val="00603834"/>
    <w:rsid w:val="00603D23"/>
    <w:rsid w:val="0060453D"/>
    <w:rsid w:val="006056F2"/>
    <w:rsid w:val="00605813"/>
    <w:rsid w:val="006059B3"/>
    <w:rsid w:val="00605A67"/>
    <w:rsid w:val="00605BB1"/>
    <w:rsid w:val="006061EF"/>
    <w:rsid w:val="006064F9"/>
    <w:rsid w:val="00606EB7"/>
    <w:rsid w:val="006074C3"/>
    <w:rsid w:val="006102AF"/>
    <w:rsid w:val="006103EF"/>
    <w:rsid w:val="006104FD"/>
    <w:rsid w:val="006110A7"/>
    <w:rsid w:val="00611421"/>
    <w:rsid w:val="006114CA"/>
    <w:rsid w:val="00611B39"/>
    <w:rsid w:val="00611BBD"/>
    <w:rsid w:val="0061215A"/>
    <w:rsid w:val="00613085"/>
    <w:rsid w:val="006130B3"/>
    <w:rsid w:val="00613A99"/>
    <w:rsid w:val="00613B20"/>
    <w:rsid w:val="00614280"/>
    <w:rsid w:val="006147EE"/>
    <w:rsid w:val="006165F0"/>
    <w:rsid w:val="0061667D"/>
    <w:rsid w:val="006169A6"/>
    <w:rsid w:val="00617300"/>
    <w:rsid w:val="00617A1E"/>
    <w:rsid w:val="00620276"/>
    <w:rsid w:val="006202FC"/>
    <w:rsid w:val="006209C8"/>
    <w:rsid w:val="00620B26"/>
    <w:rsid w:val="00620DA0"/>
    <w:rsid w:val="006214DA"/>
    <w:rsid w:val="00621FDB"/>
    <w:rsid w:val="00622315"/>
    <w:rsid w:val="0062244B"/>
    <w:rsid w:val="00623152"/>
    <w:rsid w:val="00623919"/>
    <w:rsid w:val="006242BE"/>
    <w:rsid w:val="00624516"/>
    <w:rsid w:val="006264BC"/>
    <w:rsid w:val="006264CE"/>
    <w:rsid w:val="006301B1"/>
    <w:rsid w:val="00630A42"/>
    <w:rsid w:val="0063124D"/>
    <w:rsid w:val="006315C2"/>
    <w:rsid w:val="006317C8"/>
    <w:rsid w:val="0063192F"/>
    <w:rsid w:val="00631AA1"/>
    <w:rsid w:val="00631B0C"/>
    <w:rsid w:val="0063208E"/>
    <w:rsid w:val="00632D7B"/>
    <w:rsid w:val="00633032"/>
    <w:rsid w:val="006351DE"/>
    <w:rsid w:val="00636FE2"/>
    <w:rsid w:val="00637115"/>
    <w:rsid w:val="006371C9"/>
    <w:rsid w:val="0063744D"/>
    <w:rsid w:val="00637A57"/>
    <w:rsid w:val="00640374"/>
    <w:rsid w:val="00640695"/>
    <w:rsid w:val="006418B6"/>
    <w:rsid w:val="00643D8F"/>
    <w:rsid w:val="006441CD"/>
    <w:rsid w:val="0064499B"/>
    <w:rsid w:val="00644EB8"/>
    <w:rsid w:val="00644FF0"/>
    <w:rsid w:val="00645011"/>
    <w:rsid w:val="00645AC6"/>
    <w:rsid w:val="0064627F"/>
    <w:rsid w:val="006462E0"/>
    <w:rsid w:val="0064765C"/>
    <w:rsid w:val="0064767C"/>
    <w:rsid w:val="00647CA6"/>
    <w:rsid w:val="0065037A"/>
    <w:rsid w:val="0065074B"/>
    <w:rsid w:val="00650897"/>
    <w:rsid w:val="00650967"/>
    <w:rsid w:val="00650F87"/>
    <w:rsid w:val="0065179A"/>
    <w:rsid w:val="006527A2"/>
    <w:rsid w:val="00652F0F"/>
    <w:rsid w:val="006530BB"/>
    <w:rsid w:val="00653667"/>
    <w:rsid w:val="00653A65"/>
    <w:rsid w:val="00653F6A"/>
    <w:rsid w:val="00654199"/>
    <w:rsid w:val="00654C2E"/>
    <w:rsid w:val="0065521D"/>
    <w:rsid w:val="006553CF"/>
    <w:rsid w:val="00655F7C"/>
    <w:rsid w:val="006560E6"/>
    <w:rsid w:val="006566F8"/>
    <w:rsid w:val="00656AFE"/>
    <w:rsid w:val="006571D7"/>
    <w:rsid w:val="00657B29"/>
    <w:rsid w:val="00657D8E"/>
    <w:rsid w:val="006603D2"/>
    <w:rsid w:val="00660472"/>
    <w:rsid w:val="0066065B"/>
    <w:rsid w:val="00660682"/>
    <w:rsid w:val="00661CA8"/>
    <w:rsid w:val="006625D3"/>
    <w:rsid w:val="00662B54"/>
    <w:rsid w:val="00662CCB"/>
    <w:rsid w:val="00662D20"/>
    <w:rsid w:val="00663115"/>
    <w:rsid w:val="0066387F"/>
    <w:rsid w:val="00663ABB"/>
    <w:rsid w:val="00663B2A"/>
    <w:rsid w:val="00664296"/>
    <w:rsid w:val="006642B7"/>
    <w:rsid w:val="0066442F"/>
    <w:rsid w:val="0066490F"/>
    <w:rsid w:val="00664D52"/>
    <w:rsid w:val="00664E7C"/>
    <w:rsid w:val="00664F10"/>
    <w:rsid w:val="0066543A"/>
    <w:rsid w:val="0066567F"/>
    <w:rsid w:val="00665925"/>
    <w:rsid w:val="00666346"/>
    <w:rsid w:val="00666AAE"/>
    <w:rsid w:val="00666B20"/>
    <w:rsid w:val="00666B9B"/>
    <w:rsid w:val="00666BB1"/>
    <w:rsid w:val="00666EFA"/>
    <w:rsid w:val="00667447"/>
    <w:rsid w:val="00667F10"/>
    <w:rsid w:val="00670DE1"/>
    <w:rsid w:val="00671566"/>
    <w:rsid w:val="00671725"/>
    <w:rsid w:val="006725FF"/>
    <w:rsid w:val="006728E4"/>
    <w:rsid w:val="00672FC4"/>
    <w:rsid w:val="006737D0"/>
    <w:rsid w:val="00674299"/>
    <w:rsid w:val="006773A0"/>
    <w:rsid w:val="00677B11"/>
    <w:rsid w:val="006802CD"/>
    <w:rsid w:val="00680632"/>
    <w:rsid w:val="00681552"/>
    <w:rsid w:val="006817C0"/>
    <w:rsid w:val="00681913"/>
    <w:rsid w:val="00682770"/>
    <w:rsid w:val="006843CC"/>
    <w:rsid w:val="006844D2"/>
    <w:rsid w:val="00684827"/>
    <w:rsid w:val="00684965"/>
    <w:rsid w:val="00684B0F"/>
    <w:rsid w:val="00684E3D"/>
    <w:rsid w:val="0068548B"/>
    <w:rsid w:val="00685DB0"/>
    <w:rsid w:val="00685F16"/>
    <w:rsid w:val="00686246"/>
    <w:rsid w:val="006869FC"/>
    <w:rsid w:val="00686BEF"/>
    <w:rsid w:val="00687622"/>
    <w:rsid w:val="00687B7B"/>
    <w:rsid w:val="00687ED5"/>
    <w:rsid w:val="00690587"/>
    <w:rsid w:val="006907F8"/>
    <w:rsid w:val="00690F70"/>
    <w:rsid w:val="0069177B"/>
    <w:rsid w:val="00691E61"/>
    <w:rsid w:val="006922B3"/>
    <w:rsid w:val="0069239A"/>
    <w:rsid w:val="00692A9D"/>
    <w:rsid w:val="0069364C"/>
    <w:rsid w:val="00693D66"/>
    <w:rsid w:val="0069490A"/>
    <w:rsid w:val="00694C49"/>
    <w:rsid w:val="00694CBC"/>
    <w:rsid w:val="0069542B"/>
    <w:rsid w:val="006957FB"/>
    <w:rsid w:val="00696643"/>
    <w:rsid w:val="00696A36"/>
    <w:rsid w:val="00697659"/>
    <w:rsid w:val="006A0189"/>
    <w:rsid w:val="006A06CB"/>
    <w:rsid w:val="006A0B5D"/>
    <w:rsid w:val="006A201D"/>
    <w:rsid w:val="006A2131"/>
    <w:rsid w:val="006A36D5"/>
    <w:rsid w:val="006A3AFF"/>
    <w:rsid w:val="006A4435"/>
    <w:rsid w:val="006A46DB"/>
    <w:rsid w:val="006A4A0C"/>
    <w:rsid w:val="006A528C"/>
    <w:rsid w:val="006A539B"/>
    <w:rsid w:val="006A62E1"/>
    <w:rsid w:val="006A6E6D"/>
    <w:rsid w:val="006A7557"/>
    <w:rsid w:val="006A7704"/>
    <w:rsid w:val="006B0CEA"/>
    <w:rsid w:val="006B21D3"/>
    <w:rsid w:val="006B2FDA"/>
    <w:rsid w:val="006B38D0"/>
    <w:rsid w:val="006B3A24"/>
    <w:rsid w:val="006B3D09"/>
    <w:rsid w:val="006B4082"/>
    <w:rsid w:val="006B467A"/>
    <w:rsid w:val="006B4700"/>
    <w:rsid w:val="006B48B5"/>
    <w:rsid w:val="006B499D"/>
    <w:rsid w:val="006B4A12"/>
    <w:rsid w:val="006B6D67"/>
    <w:rsid w:val="006B6FE9"/>
    <w:rsid w:val="006B7389"/>
    <w:rsid w:val="006B7407"/>
    <w:rsid w:val="006B746B"/>
    <w:rsid w:val="006B760D"/>
    <w:rsid w:val="006B7780"/>
    <w:rsid w:val="006B7922"/>
    <w:rsid w:val="006C0056"/>
    <w:rsid w:val="006C091C"/>
    <w:rsid w:val="006C0FE1"/>
    <w:rsid w:val="006C1382"/>
    <w:rsid w:val="006C24C0"/>
    <w:rsid w:val="006C25FD"/>
    <w:rsid w:val="006C2C95"/>
    <w:rsid w:val="006C3239"/>
    <w:rsid w:val="006C34F5"/>
    <w:rsid w:val="006C3646"/>
    <w:rsid w:val="006C39B5"/>
    <w:rsid w:val="006C456F"/>
    <w:rsid w:val="006C4AA2"/>
    <w:rsid w:val="006C62B5"/>
    <w:rsid w:val="006C6862"/>
    <w:rsid w:val="006C68DE"/>
    <w:rsid w:val="006C6F76"/>
    <w:rsid w:val="006C7B28"/>
    <w:rsid w:val="006D0BBA"/>
    <w:rsid w:val="006D0E38"/>
    <w:rsid w:val="006D1BDB"/>
    <w:rsid w:val="006D3696"/>
    <w:rsid w:val="006D39DE"/>
    <w:rsid w:val="006D430D"/>
    <w:rsid w:val="006D4520"/>
    <w:rsid w:val="006D5854"/>
    <w:rsid w:val="006D5869"/>
    <w:rsid w:val="006D5AEE"/>
    <w:rsid w:val="006D65C4"/>
    <w:rsid w:val="006D68BE"/>
    <w:rsid w:val="006D6D4E"/>
    <w:rsid w:val="006D72FD"/>
    <w:rsid w:val="006D7621"/>
    <w:rsid w:val="006D772F"/>
    <w:rsid w:val="006E17E8"/>
    <w:rsid w:val="006E2BAA"/>
    <w:rsid w:val="006E38DC"/>
    <w:rsid w:val="006E5095"/>
    <w:rsid w:val="006E5D61"/>
    <w:rsid w:val="006E6A05"/>
    <w:rsid w:val="006E6C87"/>
    <w:rsid w:val="006E6F7D"/>
    <w:rsid w:val="006E7791"/>
    <w:rsid w:val="006E78CC"/>
    <w:rsid w:val="006E7956"/>
    <w:rsid w:val="006E7A61"/>
    <w:rsid w:val="006F0060"/>
    <w:rsid w:val="006F0155"/>
    <w:rsid w:val="006F04AB"/>
    <w:rsid w:val="006F109D"/>
    <w:rsid w:val="006F14AF"/>
    <w:rsid w:val="006F1954"/>
    <w:rsid w:val="006F1DFA"/>
    <w:rsid w:val="006F2DDB"/>
    <w:rsid w:val="006F2EE2"/>
    <w:rsid w:val="006F307B"/>
    <w:rsid w:val="006F349D"/>
    <w:rsid w:val="006F4077"/>
    <w:rsid w:val="006F4417"/>
    <w:rsid w:val="006F474C"/>
    <w:rsid w:val="006F56B0"/>
    <w:rsid w:val="006F5832"/>
    <w:rsid w:val="006F590F"/>
    <w:rsid w:val="006F76C0"/>
    <w:rsid w:val="00700617"/>
    <w:rsid w:val="00700908"/>
    <w:rsid w:val="00700A66"/>
    <w:rsid w:val="00700C26"/>
    <w:rsid w:val="00700F20"/>
    <w:rsid w:val="00701186"/>
    <w:rsid w:val="007012A1"/>
    <w:rsid w:val="007012E0"/>
    <w:rsid w:val="007016D4"/>
    <w:rsid w:val="00701812"/>
    <w:rsid w:val="00701C54"/>
    <w:rsid w:val="00701E02"/>
    <w:rsid w:val="00702CE8"/>
    <w:rsid w:val="00702F5B"/>
    <w:rsid w:val="00702F69"/>
    <w:rsid w:val="007033AE"/>
    <w:rsid w:val="00703799"/>
    <w:rsid w:val="00703DBA"/>
    <w:rsid w:val="007054FE"/>
    <w:rsid w:val="00706A0E"/>
    <w:rsid w:val="007071B0"/>
    <w:rsid w:val="0070750A"/>
    <w:rsid w:val="00707524"/>
    <w:rsid w:val="00707671"/>
    <w:rsid w:val="00710267"/>
    <w:rsid w:val="007103FC"/>
    <w:rsid w:val="007105A6"/>
    <w:rsid w:val="00710B63"/>
    <w:rsid w:val="007114AF"/>
    <w:rsid w:val="00711A10"/>
    <w:rsid w:val="007121F5"/>
    <w:rsid w:val="00712422"/>
    <w:rsid w:val="00712BEE"/>
    <w:rsid w:val="00713142"/>
    <w:rsid w:val="0071390D"/>
    <w:rsid w:val="00713CFD"/>
    <w:rsid w:val="007148F5"/>
    <w:rsid w:val="007155EE"/>
    <w:rsid w:val="00715644"/>
    <w:rsid w:val="00715C0D"/>
    <w:rsid w:val="00715EB5"/>
    <w:rsid w:val="007167F6"/>
    <w:rsid w:val="00716C14"/>
    <w:rsid w:val="0072232C"/>
    <w:rsid w:val="0072260E"/>
    <w:rsid w:val="00722899"/>
    <w:rsid w:val="00722ED6"/>
    <w:rsid w:val="007245AE"/>
    <w:rsid w:val="00725238"/>
    <w:rsid w:val="00725A35"/>
    <w:rsid w:val="00725CB6"/>
    <w:rsid w:val="007264D2"/>
    <w:rsid w:val="00726855"/>
    <w:rsid w:val="0072692A"/>
    <w:rsid w:val="00726ABD"/>
    <w:rsid w:val="007277F0"/>
    <w:rsid w:val="00727F8C"/>
    <w:rsid w:val="007300FB"/>
    <w:rsid w:val="00730E1A"/>
    <w:rsid w:val="00731E36"/>
    <w:rsid w:val="00731ED6"/>
    <w:rsid w:val="00732842"/>
    <w:rsid w:val="00732B61"/>
    <w:rsid w:val="007330ED"/>
    <w:rsid w:val="00733197"/>
    <w:rsid w:val="00733DED"/>
    <w:rsid w:val="00734621"/>
    <w:rsid w:val="00734AFE"/>
    <w:rsid w:val="00734F6E"/>
    <w:rsid w:val="00735B3E"/>
    <w:rsid w:val="00736916"/>
    <w:rsid w:val="0073695B"/>
    <w:rsid w:val="00736AFE"/>
    <w:rsid w:val="00736E7D"/>
    <w:rsid w:val="00737742"/>
    <w:rsid w:val="0074034F"/>
    <w:rsid w:val="0074052B"/>
    <w:rsid w:val="00740603"/>
    <w:rsid w:val="00740B85"/>
    <w:rsid w:val="00740CED"/>
    <w:rsid w:val="007425B8"/>
    <w:rsid w:val="0074354A"/>
    <w:rsid w:val="0074355F"/>
    <w:rsid w:val="00744FFB"/>
    <w:rsid w:val="0074565D"/>
    <w:rsid w:val="00745C4E"/>
    <w:rsid w:val="00746E31"/>
    <w:rsid w:val="00747002"/>
    <w:rsid w:val="007472DD"/>
    <w:rsid w:val="00747E93"/>
    <w:rsid w:val="007506E8"/>
    <w:rsid w:val="00750C3B"/>
    <w:rsid w:val="00750EFE"/>
    <w:rsid w:val="00751184"/>
    <w:rsid w:val="007512CE"/>
    <w:rsid w:val="00751C35"/>
    <w:rsid w:val="00752531"/>
    <w:rsid w:val="00752F73"/>
    <w:rsid w:val="00753000"/>
    <w:rsid w:val="007531D8"/>
    <w:rsid w:val="007534E8"/>
    <w:rsid w:val="00753F7E"/>
    <w:rsid w:val="007544E4"/>
    <w:rsid w:val="00754681"/>
    <w:rsid w:val="007554A3"/>
    <w:rsid w:val="00755D3E"/>
    <w:rsid w:val="007561DB"/>
    <w:rsid w:val="00756366"/>
    <w:rsid w:val="007568DB"/>
    <w:rsid w:val="00761224"/>
    <w:rsid w:val="0076345D"/>
    <w:rsid w:val="00763B99"/>
    <w:rsid w:val="00764143"/>
    <w:rsid w:val="00764BC3"/>
    <w:rsid w:val="00764F97"/>
    <w:rsid w:val="00765247"/>
    <w:rsid w:val="007655DD"/>
    <w:rsid w:val="0076572F"/>
    <w:rsid w:val="00765A27"/>
    <w:rsid w:val="00765C46"/>
    <w:rsid w:val="007661DA"/>
    <w:rsid w:val="00766597"/>
    <w:rsid w:val="00766FFD"/>
    <w:rsid w:val="007700DC"/>
    <w:rsid w:val="007702ED"/>
    <w:rsid w:val="00770C11"/>
    <w:rsid w:val="00771BCE"/>
    <w:rsid w:val="00771C5F"/>
    <w:rsid w:val="007727D4"/>
    <w:rsid w:val="00772BCE"/>
    <w:rsid w:val="007734FE"/>
    <w:rsid w:val="007748E2"/>
    <w:rsid w:val="00774C52"/>
    <w:rsid w:val="00774EE8"/>
    <w:rsid w:val="0077512B"/>
    <w:rsid w:val="007761DA"/>
    <w:rsid w:val="00776246"/>
    <w:rsid w:val="00777665"/>
    <w:rsid w:val="00780695"/>
    <w:rsid w:val="00780A13"/>
    <w:rsid w:val="0078168F"/>
    <w:rsid w:val="00781703"/>
    <w:rsid w:val="007819FC"/>
    <w:rsid w:val="00781D8E"/>
    <w:rsid w:val="00781E27"/>
    <w:rsid w:val="00781EDB"/>
    <w:rsid w:val="007820AE"/>
    <w:rsid w:val="007823AF"/>
    <w:rsid w:val="00782B3D"/>
    <w:rsid w:val="00783312"/>
    <w:rsid w:val="00783C70"/>
    <w:rsid w:val="00784001"/>
    <w:rsid w:val="007848AB"/>
    <w:rsid w:val="00784A44"/>
    <w:rsid w:val="00784AE1"/>
    <w:rsid w:val="00785588"/>
    <w:rsid w:val="00785719"/>
    <w:rsid w:val="00785EFF"/>
    <w:rsid w:val="007866BD"/>
    <w:rsid w:val="00786708"/>
    <w:rsid w:val="00787060"/>
    <w:rsid w:val="007874F9"/>
    <w:rsid w:val="00787E9B"/>
    <w:rsid w:val="00791FAE"/>
    <w:rsid w:val="007920B2"/>
    <w:rsid w:val="007925B4"/>
    <w:rsid w:val="007937D0"/>
    <w:rsid w:val="00794020"/>
    <w:rsid w:val="00794287"/>
    <w:rsid w:val="00794536"/>
    <w:rsid w:val="0079459C"/>
    <w:rsid w:val="00794C10"/>
    <w:rsid w:val="00795A42"/>
    <w:rsid w:val="00796218"/>
    <w:rsid w:val="007967B9"/>
    <w:rsid w:val="007969A1"/>
    <w:rsid w:val="00796E91"/>
    <w:rsid w:val="0079735F"/>
    <w:rsid w:val="00797D3D"/>
    <w:rsid w:val="00797E26"/>
    <w:rsid w:val="007A069E"/>
    <w:rsid w:val="007A089D"/>
    <w:rsid w:val="007A18F4"/>
    <w:rsid w:val="007A1A1C"/>
    <w:rsid w:val="007A1F59"/>
    <w:rsid w:val="007A212D"/>
    <w:rsid w:val="007A2CE1"/>
    <w:rsid w:val="007A3565"/>
    <w:rsid w:val="007A35EC"/>
    <w:rsid w:val="007A374E"/>
    <w:rsid w:val="007A402B"/>
    <w:rsid w:val="007A4312"/>
    <w:rsid w:val="007A4A87"/>
    <w:rsid w:val="007A534B"/>
    <w:rsid w:val="007A5A60"/>
    <w:rsid w:val="007A61BF"/>
    <w:rsid w:val="007B07C0"/>
    <w:rsid w:val="007B0AA5"/>
    <w:rsid w:val="007B356B"/>
    <w:rsid w:val="007B4614"/>
    <w:rsid w:val="007B46EF"/>
    <w:rsid w:val="007B46FC"/>
    <w:rsid w:val="007B47A5"/>
    <w:rsid w:val="007B482C"/>
    <w:rsid w:val="007B4BF4"/>
    <w:rsid w:val="007B4CF8"/>
    <w:rsid w:val="007B59BE"/>
    <w:rsid w:val="007B5F16"/>
    <w:rsid w:val="007B6558"/>
    <w:rsid w:val="007B6966"/>
    <w:rsid w:val="007B6D87"/>
    <w:rsid w:val="007B77E2"/>
    <w:rsid w:val="007B79C2"/>
    <w:rsid w:val="007C01BD"/>
    <w:rsid w:val="007C053B"/>
    <w:rsid w:val="007C0E32"/>
    <w:rsid w:val="007C1F49"/>
    <w:rsid w:val="007C2400"/>
    <w:rsid w:val="007C2867"/>
    <w:rsid w:val="007C327E"/>
    <w:rsid w:val="007C3370"/>
    <w:rsid w:val="007C3733"/>
    <w:rsid w:val="007C37D3"/>
    <w:rsid w:val="007C4C7B"/>
    <w:rsid w:val="007C5712"/>
    <w:rsid w:val="007C57A0"/>
    <w:rsid w:val="007C5843"/>
    <w:rsid w:val="007C59EC"/>
    <w:rsid w:val="007C60C8"/>
    <w:rsid w:val="007C6A63"/>
    <w:rsid w:val="007C737A"/>
    <w:rsid w:val="007C784D"/>
    <w:rsid w:val="007C7DE7"/>
    <w:rsid w:val="007D01FB"/>
    <w:rsid w:val="007D0284"/>
    <w:rsid w:val="007D04D0"/>
    <w:rsid w:val="007D1389"/>
    <w:rsid w:val="007D18F1"/>
    <w:rsid w:val="007D284D"/>
    <w:rsid w:val="007D3C14"/>
    <w:rsid w:val="007D3F43"/>
    <w:rsid w:val="007D45E9"/>
    <w:rsid w:val="007D5970"/>
    <w:rsid w:val="007D5998"/>
    <w:rsid w:val="007D66C6"/>
    <w:rsid w:val="007D763E"/>
    <w:rsid w:val="007D7844"/>
    <w:rsid w:val="007D7945"/>
    <w:rsid w:val="007D7BCC"/>
    <w:rsid w:val="007D7C0F"/>
    <w:rsid w:val="007D7C7D"/>
    <w:rsid w:val="007E007D"/>
    <w:rsid w:val="007E012A"/>
    <w:rsid w:val="007E1178"/>
    <w:rsid w:val="007E1C60"/>
    <w:rsid w:val="007E2450"/>
    <w:rsid w:val="007E2813"/>
    <w:rsid w:val="007E2F61"/>
    <w:rsid w:val="007E3471"/>
    <w:rsid w:val="007E366F"/>
    <w:rsid w:val="007E3C7F"/>
    <w:rsid w:val="007E4BC8"/>
    <w:rsid w:val="007E4E2E"/>
    <w:rsid w:val="007E555E"/>
    <w:rsid w:val="007E6368"/>
    <w:rsid w:val="007E6583"/>
    <w:rsid w:val="007E7C23"/>
    <w:rsid w:val="007F023A"/>
    <w:rsid w:val="007F03BB"/>
    <w:rsid w:val="007F08EF"/>
    <w:rsid w:val="007F1229"/>
    <w:rsid w:val="007F1F47"/>
    <w:rsid w:val="007F258B"/>
    <w:rsid w:val="007F272D"/>
    <w:rsid w:val="007F2DA7"/>
    <w:rsid w:val="007F2E7E"/>
    <w:rsid w:val="007F3C63"/>
    <w:rsid w:val="007F3EDC"/>
    <w:rsid w:val="007F40A2"/>
    <w:rsid w:val="007F4124"/>
    <w:rsid w:val="007F43C7"/>
    <w:rsid w:val="007F4A79"/>
    <w:rsid w:val="007F520D"/>
    <w:rsid w:val="007F54BE"/>
    <w:rsid w:val="007F5FD7"/>
    <w:rsid w:val="007F6991"/>
    <w:rsid w:val="007F6B4B"/>
    <w:rsid w:val="007F737B"/>
    <w:rsid w:val="007F73F6"/>
    <w:rsid w:val="007F74F9"/>
    <w:rsid w:val="007F76C7"/>
    <w:rsid w:val="007F7F2C"/>
    <w:rsid w:val="007F7F50"/>
    <w:rsid w:val="008000ED"/>
    <w:rsid w:val="00801365"/>
    <w:rsid w:val="0080278B"/>
    <w:rsid w:val="008028F9"/>
    <w:rsid w:val="00802B67"/>
    <w:rsid w:val="00802D39"/>
    <w:rsid w:val="008031C9"/>
    <w:rsid w:val="008034D6"/>
    <w:rsid w:val="00804EB9"/>
    <w:rsid w:val="00805942"/>
    <w:rsid w:val="00805BE6"/>
    <w:rsid w:val="00806509"/>
    <w:rsid w:val="0080713B"/>
    <w:rsid w:val="00807473"/>
    <w:rsid w:val="008079A4"/>
    <w:rsid w:val="00807DED"/>
    <w:rsid w:val="008101B2"/>
    <w:rsid w:val="00811081"/>
    <w:rsid w:val="008114D2"/>
    <w:rsid w:val="00811AD2"/>
    <w:rsid w:val="008123DA"/>
    <w:rsid w:val="008148E7"/>
    <w:rsid w:val="008148FB"/>
    <w:rsid w:val="00816193"/>
    <w:rsid w:val="0081679C"/>
    <w:rsid w:val="00816D4C"/>
    <w:rsid w:val="008171F8"/>
    <w:rsid w:val="008174DB"/>
    <w:rsid w:val="00817C6C"/>
    <w:rsid w:val="00822AE6"/>
    <w:rsid w:val="00822C0E"/>
    <w:rsid w:val="00822CCF"/>
    <w:rsid w:val="0082393A"/>
    <w:rsid w:val="00824BC0"/>
    <w:rsid w:val="00824E6A"/>
    <w:rsid w:val="0082513F"/>
    <w:rsid w:val="008260FD"/>
    <w:rsid w:val="008263A0"/>
    <w:rsid w:val="008265D6"/>
    <w:rsid w:val="00826A57"/>
    <w:rsid w:val="00826A8E"/>
    <w:rsid w:val="0083090B"/>
    <w:rsid w:val="008313E2"/>
    <w:rsid w:val="00832279"/>
    <w:rsid w:val="00832A06"/>
    <w:rsid w:val="0083319C"/>
    <w:rsid w:val="0083462A"/>
    <w:rsid w:val="00834B3B"/>
    <w:rsid w:val="00834FE4"/>
    <w:rsid w:val="008357F7"/>
    <w:rsid w:val="00835D31"/>
    <w:rsid w:val="008361B2"/>
    <w:rsid w:val="008361FD"/>
    <w:rsid w:val="0083750D"/>
    <w:rsid w:val="0083782B"/>
    <w:rsid w:val="008401E4"/>
    <w:rsid w:val="008408FC"/>
    <w:rsid w:val="00840FA9"/>
    <w:rsid w:val="00841705"/>
    <w:rsid w:val="00841814"/>
    <w:rsid w:val="00841B65"/>
    <w:rsid w:val="00841BC0"/>
    <w:rsid w:val="00841CD2"/>
    <w:rsid w:val="00841D8D"/>
    <w:rsid w:val="00841E01"/>
    <w:rsid w:val="00841E52"/>
    <w:rsid w:val="008422A2"/>
    <w:rsid w:val="0084276D"/>
    <w:rsid w:val="008434A0"/>
    <w:rsid w:val="00843ED4"/>
    <w:rsid w:val="00844896"/>
    <w:rsid w:val="008449BA"/>
    <w:rsid w:val="00844B27"/>
    <w:rsid w:val="0084504C"/>
    <w:rsid w:val="00845766"/>
    <w:rsid w:val="00845CEB"/>
    <w:rsid w:val="008468B7"/>
    <w:rsid w:val="00846FD5"/>
    <w:rsid w:val="0084702A"/>
    <w:rsid w:val="0084745F"/>
    <w:rsid w:val="0085135E"/>
    <w:rsid w:val="0085152A"/>
    <w:rsid w:val="008517B6"/>
    <w:rsid w:val="00851820"/>
    <w:rsid w:val="00853A5D"/>
    <w:rsid w:val="00853A64"/>
    <w:rsid w:val="00853CE2"/>
    <w:rsid w:val="00853D3E"/>
    <w:rsid w:val="00854D4F"/>
    <w:rsid w:val="00854FE3"/>
    <w:rsid w:val="0085520E"/>
    <w:rsid w:val="0085565D"/>
    <w:rsid w:val="008559C6"/>
    <w:rsid w:val="00856D4E"/>
    <w:rsid w:val="00856DD6"/>
    <w:rsid w:val="0085735B"/>
    <w:rsid w:val="00857368"/>
    <w:rsid w:val="00857491"/>
    <w:rsid w:val="008611DC"/>
    <w:rsid w:val="0086235E"/>
    <w:rsid w:val="00862772"/>
    <w:rsid w:val="008627B2"/>
    <w:rsid w:val="0086289A"/>
    <w:rsid w:val="00862CE7"/>
    <w:rsid w:val="008632F5"/>
    <w:rsid w:val="00865624"/>
    <w:rsid w:val="00865715"/>
    <w:rsid w:val="008663AE"/>
    <w:rsid w:val="00866678"/>
    <w:rsid w:val="00867534"/>
    <w:rsid w:val="0087062F"/>
    <w:rsid w:val="00870B7F"/>
    <w:rsid w:val="00870C5E"/>
    <w:rsid w:val="00870E9E"/>
    <w:rsid w:val="0087152B"/>
    <w:rsid w:val="0087167A"/>
    <w:rsid w:val="00871832"/>
    <w:rsid w:val="00871C48"/>
    <w:rsid w:val="00871CFF"/>
    <w:rsid w:val="008726FC"/>
    <w:rsid w:val="00872E2C"/>
    <w:rsid w:val="008733A6"/>
    <w:rsid w:val="00875082"/>
    <w:rsid w:val="00875A9D"/>
    <w:rsid w:val="00875ABD"/>
    <w:rsid w:val="00877579"/>
    <w:rsid w:val="008778D0"/>
    <w:rsid w:val="0088063A"/>
    <w:rsid w:val="00880C03"/>
    <w:rsid w:val="008818FA"/>
    <w:rsid w:val="00881C15"/>
    <w:rsid w:val="00882975"/>
    <w:rsid w:val="00883327"/>
    <w:rsid w:val="00883DD2"/>
    <w:rsid w:val="00883E3F"/>
    <w:rsid w:val="00883EA0"/>
    <w:rsid w:val="0088426E"/>
    <w:rsid w:val="00884DA9"/>
    <w:rsid w:val="008859E9"/>
    <w:rsid w:val="00885E47"/>
    <w:rsid w:val="008862E1"/>
    <w:rsid w:val="00886435"/>
    <w:rsid w:val="008869A4"/>
    <w:rsid w:val="00890108"/>
    <w:rsid w:val="00891301"/>
    <w:rsid w:val="008914A2"/>
    <w:rsid w:val="0089196E"/>
    <w:rsid w:val="00892457"/>
    <w:rsid w:val="00892882"/>
    <w:rsid w:val="00892C44"/>
    <w:rsid w:val="00892E0E"/>
    <w:rsid w:val="00893627"/>
    <w:rsid w:val="00893E6B"/>
    <w:rsid w:val="008940F0"/>
    <w:rsid w:val="00894686"/>
    <w:rsid w:val="00894E54"/>
    <w:rsid w:val="00894F32"/>
    <w:rsid w:val="00894FEA"/>
    <w:rsid w:val="0089579E"/>
    <w:rsid w:val="0089580E"/>
    <w:rsid w:val="008961AE"/>
    <w:rsid w:val="00896330"/>
    <w:rsid w:val="0089659A"/>
    <w:rsid w:val="00896B47"/>
    <w:rsid w:val="0089714E"/>
    <w:rsid w:val="0089773F"/>
    <w:rsid w:val="00897A4E"/>
    <w:rsid w:val="008A1C8F"/>
    <w:rsid w:val="008A244E"/>
    <w:rsid w:val="008A309B"/>
    <w:rsid w:val="008A30F1"/>
    <w:rsid w:val="008A30F6"/>
    <w:rsid w:val="008A328C"/>
    <w:rsid w:val="008A3D12"/>
    <w:rsid w:val="008A3D29"/>
    <w:rsid w:val="008A3DBE"/>
    <w:rsid w:val="008A3EC9"/>
    <w:rsid w:val="008A40A6"/>
    <w:rsid w:val="008A462D"/>
    <w:rsid w:val="008A4FEA"/>
    <w:rsid w:val="008A510A"/>
    <w:rsid w:val="008A52D5"/>
    <w:rsid w:val="008A5325"/>
    <w:rsid w:val="008A568A"/>
    <w:rsid w:val="008A5F0E"/>
    <w:rsid w:val="008A647F"/>
    <w:rsid w:val="008A6591"/>
    <w:rsid w:val="008A6F9A"/>
    <w:rsid w:val="008A72AD"/>
    <w:rsid w:val="008A752D"/>
    <w:rsid w:val="008A7A42"/>
    <w:rsid w:val="008B0CFE"/>
    <w:rsid w:val="008B16B7"/>
    <w:rsid w:val="008B1789"/>
    <w:rsid w:val="008B1D46"/>
    <w:rsid w:val="008B1FAA"/>
    <w:rsid w:val="008B2612"/>
    <w:rsid w:val="008B2DA0"/>
    <w:rsid w:val="008B2F64"/>
    <w:rsid w:val="008B3F74"/>
    <w:rsid w:val="008B408F"/>
    <w:rsid w:val="008B48C0"/>
    <w:rsid w:val="008B495A"/>
    <w:rsid w:val="008B500F"/>
    <w:rsid w:val="008B6836"/>
    <w:rsid w:val="008B74E5"/>
    <w:rsid w:val="008B7680"/>
    <w:rsid w:val="008B76DF"/>
    <w:rsid w:val="008B7E81"/>
    <w:rsid w:val="008C02BC"/>
    <w:rsid w:val="008C0F3E"/>
    <w:rsid w:val="008C1C1F"/>
    <w:rsid w:val="008C261B"/>
    <w:rsid w:val="008C280C"/>
    <w:rsid w:val="008C3EB1"/>
    <w:rsid w:val="008C3F0A"/>
    <w:rsid w:val="008C4302"/>
    <w:rsid w:val="008C47A1"/>
    <w:rsid w:val="008C4EE0"/>
    <w:rsid w:val="008C5068"/>
    <w:rsid w:val="008C573D"/>
    <w:rsid w:val="008C6A8F"/>
    <w:rsid w:val="008C70C8"/>
    <w:rsid w:val="008C7FBA"/>
    <w:rsid w:val="008D0247"/>
    <w:rsid w:val="008D04F1"/>
    <w:rsid w:val="008D11C7"/>
    <w:rsid w:val="008D1441"/>
    <w:rsid w:val="008D217C"/>
    <w:rsid w:val="008D2619"/>
    <w:rsid w:val="008D261E"/>
    <w:rsid w:val="008D267F"/>
    <w:rsid w:val="008D2851"/>
    <w:rsid w:val="008D2AE5"/>
    <w:rsid w:val="008D34D4"/>
    <w:rsid w:val="008D37A4"/>
    <w:rsid w:val="008D3F70"/>
    <w:rsid w:val="008D44B3"/>
    <w:rsid w:val="008D4997"/>
    <w:rsid w:val="008D552C"/>
    <w:rsid w:val="008D5D4E"/>
    <w:rsid w:val="008D62AA"/>
    <w:rsid w:val="008D64CC"/>
    <w:rsid w:val="008D69AC"/>
    <w:rsid w:val="008D6CEC"/>
    <w:rsid w:val="008D6F8D"/>
    <w:rsid w:val="008D7054"/>
    <w:rsid w:val="008D733C"/>
    <w:rsid w:val="008D7D04"/>
    <w:rsid w:val="008E05FE"/>
    <w:rsid w:val="008E06F5"/>
    <w:rsid w:val="008E0E98"/>
    <w:rsid w:val="008E15EA"/>
    <w:rsid w:val="008E1DBA"/>
    <w:rsid w:val="008E2437"/>
    <w:rsid w:val="008E24BA"/>
    <w:rsid w:val="008E26BA"/>
    <w:rsid w:val="008E2EAF"/>
    <w:rsid w:val="008E40E1"/>
    <w:rsid w:val="008E4CA1"/>
    <w:rsid w:val="008E4D83"/>
    <w:rsid w:val="008E5140"/>
    <w:rsid w:val="008E5166"/>
    <w:rsid w:val="008E535D"/>
    <w:rsid w:val="008E5607"/>
    <w:rsid w:val="008E6808"/>
    <w:rsid w:val="008E72BB"/>
    <w:rsid w:val="008E74FA"/>
    <w:rsid w:val="008F1051"/>
    <w:rsid w:val="008F1FA8"/>
    <w:rsid w:val="008F2D4B"/>
    <w:rsid w:val="008F2DF5"/>
    <w:rsid w:val="008F3C41"/>
    <w:rsid w:val="008F3F81"/>
    <w:rsid w:val="008F405C"/>
    <w:rsid w:val="008F4CCB"/>
    <w:rsid w:val="008F5445"/>
    <w:rsid w:val="008F66A2"/>
    <w:rsid w:val="008F6AB1"/>
    <w:rsid w:val="008F6CCE"/>
    <w:rsid w:val="008F7926"/>
    <w:rsid w:val="0090012C"/>
    <w:rsid w:val="00900346"/>
    <w:rsid w:val="00900695"/>
    <w:rsid w:val="00901CD5"/>
    <w:rsid w:val="00901F68"/>
    <w:rsid w:val="00902A2C"/>
    <w:rsid w:val="00902DCE"/>
    <w:rsid w:val="00903E51"/>
    <w:rsid w:val="0090462B"/>
    <w:rsid w:val="00904BEE"/>
    <w:rsid w:val="0090514B"/>
    <w:rsid w:val="00905FCE"/>
    <w:rsid w:val="00906477"/>
    <w:rsid w:val="00907914"/>
    <w:rsid w:val="00910BBA"/>
    <w:rsid w:val="00912976"/>
    <w:rsid w:val="00913210"/>
    <w:rsid w:val="009135AE"/>
    <w:rsid w:val="009137FF"/>
    <w:rsid w:val="00913BDD"/>
    <w:rsid w:val="0091585D"/>
    <w:rsid w:val="00915ADB"/>
    <w:rsid w:val="009169D6"/>
    <w:rsid w:val="00917B74"/>
    <w:rsid w:val="00917DD9"/>
    <w:rsid w:val="00920044"/>
    <w:rsid w:val="00920174"/>
    <w:rsid w:val="009203AA"/>
    <w:rsid w:val="00920E83"/>
    <w:rsid w:val="00920F0D"/>
    <w:rsid w:val="00920F70"/>
    <w:rsid w:val="00921116"/>
    <w:rsid w:val="0092173F"/>
    <w:rsid w:val="00921E90"/>
    <w:rsid w:val="009223B8"/>
    <w:rsid w:val="0092290E"/>
    <w:rsid w:val="00923169"/>
    <w:rsid w:val="00923449"/>
    <w:rsid w:val="009234F4"/>
    <w:rsid w:val="009240F0"/>
    <w:rsid w:val="0092498E"/>
    <w:rsid w:val="00925C77"/>
    <w:rsid w:val="00926377"/>
    <w:rsid w:val="00927159"/>
    <w:rsid w:val="00927359"/>
    <w:rsid w:val="0092779D"/>
    <w:rsid w:val="00927FC5"/>
    <w:rsid w:val="00927FC6"/>
    <w:rsid w:val="009301F3"/>
    <w:rsid w:val="009309A4"/>
    <w:rsid w:val="00930A9D"/>
    <w:rsid w:val="00930C9D"/>
    <w:rsid w:val="009310DF"/>
    <w:rsid w:val="0093204B"/>
    <w:rsid w:val="009326D1"/>
    <w:rsid w:val="0093278E"/>
    <w:rsid w:val="009335F2"/>
    <w:rsid w:val="00933C0E"/>
    <w:rsid w:val="00933C52"/>
    <w:rsid w:val="009344F9"/>
    <w:rsid w:val="00935DE7"/>
    <w:rsid w:val="009375B3"/>
    <w:rsid w:val="009408B7"/>
    <w:rsid w:val="00940FE3"/>
    <w:rsid w:val="00941877"/>
    <w:rsid w:val="009419B5"/>
    <w:rsid w:val="00941B51"/>
    <w:rsid w:val="00941B9F"/>
    <w:rsid w:val="00941EAC"/>
    <w:rsid w:val="00942EC9"/>
    <w:rsid w:val="0094324B"/>
    <w:rsid w:val="009438AB"/>
    <w:rsid w:val="00943B00"/>
    <w:rsid w:val="00943F12"/>
    <w:rsid w:val="00944B76"/>
    <w:rsid w:val="00945218"/>
    <w:rsid w:val="009452F6"/>
    <w:rsid w:val="0094712C"/>
    <w:rsid w:val="009471BF"/>
    <w:rsid w:val="00947BE5"/>
    <w:rsid w:val="00950D5C"/>
    <w:rsid w:val="009512D5"/>
    <w:rsid w:val="0095223B"/>
    <w:rsid w:val="00952488"/>
    <w:rsid w:val="00952A74"/>
    <w:rsid w:val="00953D37"/>
    <w:rsid w:val="0095442E"/>
    <w:rsid w:val="00954444"/>
    <w:rsid w:val="0095494B"/>
    <w:rsid w:val="00954FBE"/>
    <w:rsid w:val="0095532D"/>
    <w:rsid w:val="00955704"/>
    <w:rsid w:val="00955B0A"/>
    <w:rsid w:val="00957439"/>
    <w:rsid w:val="00957B85"/>
    <w:rsid w:val="0096030B"/>
    <w:rsid w:val="00960B01"/>
    <w:rsid w:val="00960B1E"/>
    <w:rsid w:val="009611D3"/>
    <w:rsid w:val="009612C2"/>
    <w:rsid w:val="00961BE4"/>
    <w:rsid w:val="009625D8"/>
    <w:rsid w:val="00963005"/>
    <w:rsid w:val="00964A74"/>
    <w:rsid w:val="0096572C"/>
    <w:rsid w:val="0096575E"/>
    <w:rsid w:val="00966115"/>
    <w:rsid w:val="00966A65"/>
    <w:rsid w:val="009676B2"/>
    <w:rsid w:val="00967CC3"/>
    <w:rsid w:val="009704C6"/>
    <w:rsid w:val="00970A35"/>
    <w:rsid w:val="0097148E"/>
    <w:rsid w:val="009720F6"/>
    <w:rsid w:val="00972322"/>
    <w:rsid w:val="00972691"/>
    <w:rsid w:val="00972B2F"/>
    <w:rsid w:val="009732FA"/>
    <w:rsid w:val="009735DD"/>
    <w:rsid w:val="009736EF"/>
    <w:rsid w:val="00973BC2"/>
    <w:rsid w:val="00973C82"/>
    <w:rsid w:val="009740E6"/>
    <w:rsid w:val="009743C8"/>
    <w:rsid w:val="009745D6"/>
    <w:rsid w:val="0097493E"/>
    <w:rsid w:val="00974CE4"/>
    <w:rsid w:val="00974FC0"/>
    <w:rsid w:val="009750C7"/>
    <w:rsid w:val="00975A51"/>
    <w:rsid w:val="00976378"/>
    <w:rsid w:val="00976AEB"/>
    <w:rsid w:val="00977937"/>
    <w:rsid w:val="00977C7F"/>
    <w:rsid w:val="009804A3"/>
    <w:rsid w:val="009805FE"/>
    <w:rsid w:val="00980692"/>
    <w:rsid w:val="00981690"/>
    <w:rsid w:val="00981F9F"/>
    <w:rsid w:val="00982D87"/>
    <w:rsid w:val="0098405C"/>
    <w:rsid w:val="00984B6F"/>
    <w:rsid w:val="009854AD"/>
    <w:rsid w:val="009856BF"/>
    <w:rsid w:val="00985733"/>
    <w:rsid w:val="009857B6"/>
    <w:rsid w:val="0098669F"/>
    <w:rsid w:val="00986F6A"/>
    <w:rsid w:val="009875D0"/>
    <w:rsid w:val="00987818"/>
    <w:rsid w:val="00987D8F"/>
    <w:rsid w:val="0099016E"/>
    <w:rsid w:val="0099024D"/>
    <w:rsid w:val="00990C6D"/>
    <w:rsid w:val="00990DA2"/>
    <w:rsid w:val="00990FD1"/>
    <w:rsid w:val="00991154"/>
    <w:rsid w:val="0099167A"/>
    <w:rsid w:val="00991850"/>
    <w:rsid w:val="00992141"/>
    <w:rsid w:val="009921FE"/>
    <w:rsid w:val="009928B8"/>
    <w:rsid w:val="00992F35"/>
    <w:rsid w:val="00993191"/>
    <w:rsid w:val="0099341B"/>
    <w:rsid w:val="00994DFE"/>
    <w:rsid w:val="009962DA"/>
    <w:rsid w:val="0099684E"/>
    <w:rsid w:val="00996855"/>
    <w:rsid w:val="00996AA6"/>
    <w:rsid w:val="00996CA1"/>
    <w:rsid w:val="00996EB4"/>
    <w:rsid w:val="00997516"/>
    <w:rsid w:val="00997AE2"/>
    <w:rsid w:val="00997E9E"/>
    <w:rsid w:val="009A1AB1"/>
    <w:rsid w:val="009A2D37"/>
    <w:rsid w:val="009A386E"/>
    <w:rsid w:val="009A40FC"/>
    <w:rsid w:val="009A4697"/>
    <w:rsid w:val="009A5BA7"/>
    <w:rsid w:val="009A5CF9"/>
    <w:rsid w:val="009A68BA"/>
    <w:rsid w:val="009A696C"/>
    <w:rsid w:val="009A6C31"/>
    <w:rsid w:val="009A6D27"/>
    <w:rsid w:val="009A6EE5"/>
    <w:rsid w:val="009A7525"/>
    <w:rsid w:val="009B1B20"/>
    <w:rsid w:val="009B2234"/>
    <w:rsid w:val="009B3000"/>
    <w:rsid w:val="009B41A9"/>
    <w:rsid w:val="009B4B39"/>
    <w:rsid w:val="009B566C"/>
    <w:rsid w:val="009B6154"/>
    <w:rsid w:val="009B62E4"/>
    <w:rsid w:val="009B65FC"/>
    <w:rsid w:val="009B6F6E"/>
    <w:rsid w:val="009B7491"/>
    <w:rsid w:val="009B7C77"/>
    <w:rsid w:val="009C0A2B"/>
    <w:rsid w:val="009C1CAC"/>
    <w:rsid w:val="009C3E62"/>
    <w:rsid w:val="009C460A"/>
    <w:rsid w:val="009C481F"/>
    <w:rsid w:val="009C52AF"/>
    <w:rsid w:val="009C58DD"/>
    <w:rsid w:val="009C6203"/>
    <w:rsid w:val="009C68DD"/>
    <w:rsid w:val="009C781E"/>
    <w:rsid w:val="009C79D7"/>
    <w:rsid w:val="009C7D94"/>
    <w:rsid w:val="009D06A8"/>
    <w:rsid w:val="009D0F76"/>
    <w:rsid w:val="009D0FBE"/>
    <w:rsid w:val="009D1ED2"/>
    <w:rsid w:val="009D2213"/>
    <w:rsid w:val="009D234C"/>
    <w:rsid w:val="009D30E3"/>
    <w:rsid w:val="009D3C43"/>
    <w:rsid w:val="009D4003"/>
    <w:rsid w:val="009D466C"/>
    <w:rsid w:val="009D4A63"/>
    <w:rsid w:val="009D4E44"/>
    <w:rsid w:val="009D5425"/>
    <w:rsid w:val="009D6011"/>
    <w:rsid w:val="009D6B42"/>
    <w:rsid w:val="009D7467"/>
    <w:rsid w:val="009E0422"/>
    <w:rsid w:val="009E04BF"/>
    <w:rsid w:val="009E05E0"/>
    <w:rsid w:val="009E07BB"/>
    <w:rsid w:val="009E1E7A"/>
    <w:rsid w:val="009E290C"/>
    <w:rsid w:val="009E2FDD"/>
    <w:rsid w:val="009E4080"/>
    <w:rsid w:val="009E4276"/>
    <w:rsid w:val="009E50F2"/>
    <w:rsid w:val="009E5324"/>
    <w:rsid w:val="009E553B"/>
    <w:rsid w:val="009E5897"/>
    <w:rsid w:val="009E5E9D"/>
    <w:rsid w:val="009E6C4F"/>
    <w:rsid w:val="009E705C"/>
    <w:rsid w:val="009E7447"/>
    <w:rsid w:val="009E7765"/>
    <w:rsid w:val="009E7777"/>
    <w:rsid w:val="009E7CD6"/>
    <w:rsid w:val="009F0313"/>
    <w:rsid w:val="009F031C"/>
    <w:rsid w:val="009F1601"/>
    <w:rsid w:val="009F1679"/>
    <w:rsid w:val="009F21CB"/>
    <w:rsid w:val="009F277D"/>
    <w:rsid w:val="009F3104"/>
    <w:rsid w:val="009F35B5"/>
    <w:rsid w:val="009F3791"/>
    <w:rsid w:val="009F3D61"/>
    <w:rsid w:val="009F4328"/>
    <w:rsid w:val="009F47A5"/>
    <w:rsid w:val="009F494E"/>
    <w:rsid w:val="009F56DF"/>
    <w:rsid w:val="009F57CF"/>
    <w:rsid w:val="009F657A"/>
    <w:rsid w:val="009F6DDA"/>
    <w:rsid w:val="009F768C"/>
    <w:rsid w:val="009F76F9"/>
    <w:rsid w:val="00A006B4"/>
    <w:rsid w:val="00A00793"/>
    <w:rsid w:val="00A02851"/>
    <w:rsid w:val="00A038AF"/>
    <w:rsid w:val="00A03F22"/>
    <w:rsid w:val="00A044B0"/>
    <w:rsid w:val="00A04963"/>
    <w:rsid w:val="00A04F02"/>
    <w:rsid w:val="00A0506B"/>
    <w:rsid w:val="00A052C2"/>
    <w:rsid w:val="00A054F2"/>
    <w:rsid w:val="00A057EC"/>
    <w:rsid w:val="00A05AFC"/>
    <w:rsid w:val="00A05B17"/>
    <w:rsid w:val="00A05CE3"/>
    <w:rsid w:val="00A05E8A"/>
    <w:rsid w:val="00A06737"/>
    <w:rsid w:val="00A06CAE"/>
    <w:rsid w:val="00A07B88"/>
    <w:rsid w:val="00A07EB2"/>
    <w:rsid w:val="00A07EB6"/>
    <w:rsid w:val="00A107DA"/>
    <w:rsid w:val="00A10C3A"/>
    <w:rsid w:val="00A111B1"/>
    <w:rsid w:val="00A12679"/>
    <w:rsid w:val="00A129E6"/>
    <w:rsid w:val="00A12CB1"/>
    <w:rsid w:val="00A1310D"/>
    <w:rsid w:val="00A13DA2"/>
    <w:rsid w:val="00A13FE2"/>
    <w:rsid w:val="00A14B96"/>
    <w:rsid w:val="00A14D6C"/>
    <w:rsid w:val="00A14E02"/>
    <w:rsid w:val="00A14F29"/>
    <w:rsid w:val="00A1533A"/>
    <w:rsid w:val="00A154DD"/>
    <w:rsid w:val="00A15531"/>
    <w:rsid w:val="00A15C98"/>
    <w:rsid w:val="00A16438"/>
    <w:rsid w:val="00A16CF1"/>
    <w:rsid w:val="00A17081"/>
    <w:rsid w:val="00A216CD"/>
    <w:rsid w:val="00A21A14"/>
    <w:rsid w:val="00A21FF9"/>
    <w:rsid w:val="00A223FD"/>
    <w:rsid w:val="00A22B6B"/>
    <w:rsid w:val="00A22D7C"/>
    <w:rsid w:val="00A22FEA"/>
    <w:rsid w:val="00A23196"/>
    <w:rsid w:val="00A238BE"/>
    <w:rsid w:val="00A24A5C"/>
    <w:rsid w:val="00A25C0F"/>
    <w:rsid w:val="00A25D80"/>
    <w:rsid w:val="00A2657A"/>
    <w:rsid w:val="00A2664B"/>
    <w:rsid w:val="00A269FA"/>
    <w:rsid w:val="00A26B43"/>
    <w:rsid w:val="00A2751B"/>
    <w:rsid w:val="00A30378"/>
    <w:rsid w:val="00A30DDC"/>
    <w:rsid w:val="00A311B5"/>
    <w:rsid w:val="00A32AD9"/>
    <w:rsid w:val="00A32B28"/>
    <w:rsid w:val="00A336C6"/>
    <w:rsid w:val="00A3443E"/>
    <w:rsid w:val="00A34D25"/>
    <w:rsid w:val="00A359F4"/>
    <w:rsid w:val="00A35FD9"/>
    <w:rsid w:val="00A36414"/>
    <w:rsid w:val="00A36968"/>
    <w:rsid w:val="00A36A19"/>
    <w:rsid w:val="00A40816"/>
    <w:rsid w:val="00A410FC"/>
    <w:rsid w:val="00A42890"/>
    <w:rsid w:val="00A42F77"/>
    <w:rsid w:val="00A43229"/>
    <w:rsid w:val="00A44142"/>
    <w:rsid w:val="00A44733"/>
    <w:rsid w:val="00A44CC9"/>
    <w:rsid w:val="00A454B0"/>
    <w:rsid w:val="00A45733"/>
    <w:rsid w:val="00A45AE0"/>
    <w:rsid w:val="00A45CC1"/>
    <w:rsid w:val="00A45E71"/>
    <w:rsid w:val="00A45F54"/>
    <w:rsid w:val="00A45F6C"/>
    <w:rsid w:val="00A46F63"/>
    <w:rsid w:val="00A47096"/>
    <w:rsid w:val="00A47449"/>
    <w:rsid w:val="00A47B45"/>
    <w:rsid w:val="00A50334"/>
    <w:rsid w:val="00A50817"/>
    <w:rsid w:val="00A51300"/>
    <w:rsid w:val="00A52802"/>
    <w:rsid w:val="00A53251"/>
    <w:rsid w:val="00A53F42"/>
    <w:rsid w:val="00A540BB"/>
    <w:rsid w:val="00A54ECF"/>
    <w:rsid w:val="00A5637A"/>
    <w:rsid w:val="00A56CC4"/>
    <w:rsid w:val="00A56FBA"/>
    <w:rsid w:val="00A570E4"/>
    <w:rsid w:val="00A57359"/>
    <w:rsid w:val="00A57590"/>
    <w:rsid w:val="00A57BE6"/>
    <w:rsid w:val="00A60BE1"/>
    <w:rsid w:val="00A610EE"/>
    <w:rsid w:val="00A61322"/>
    <w:rsid w:val="00A616E9"/>
    <w:rsid w:val="00A617A7"/>
    <w:rsid w:val="00A62032"/>
    <w:rsid w:val="00A62B19"/>
    <w:rsid w:val="00A641E0"/>
    <w:rsid w:val="00A64AC2"/>
    <w:rsid w:val="00A66B5E"/>
    <w:rsid w:val="00A67128"/>
    <w:rsid w:val="00A6737C"/>
    <w:rsid w:val="00A708A1"/>
    <w:rsid w:val="00A71399"/>
    <w:rsid w:val="00A72DF7"/>
    <w:rsid w:val="00A73B21"/>
    <w:rsid w:val="00A73B23"/>
    <w:rsid w:val="00A73CBE"/>
    <w:rsid w:val="00A740F7"/>
    <w:rsid w:val="00A744BA"/>
    <w:rsid w:val="00A7484C"/>
    <w:rsid w:val="00A75FF1"/>
    <w:rsid w:val="00A76172"/>
    <w:rsid w:val="00A777D2"/>
    <w:rsid w:val="00A7796F"/>
    <w:rsid w:val="00A80DA4"/>
    <w:rsid w:val="00A812D2"/>
    <w:rsid w:val="00A819C6"/>
    <w:rsid w:val="00A82739"/>
    <w:rsid w:val="00A82753"/>
    <w:rsid w:val="00A82930"/>
    <w:rsid w:val="00A83FD1"/>
    <w:rsid w:val="00A8435F"/>
    <w:rsid w:val="00A84617"/>
    <w:rsid w:val="00A8470B"/>
    <w:rsid w:val="00A8555B"/>
    <w:rsid w:val="00A8557F"/>
    <w:rsid w:val="00A856D5"/>
    <w:rsid w:val="00A85D89"/>
    <w:rsid w:val="00A87175"/>
    <w:rsid w:val="00A875C2"/>
    <w:rsid w:val="00A87A69"/>
    <w:rsid w:val="00A87CBB"/>
    <w:rsid w:val="00A87F50"/>
    <w:rsid w:val="00A90FBE"/>
    <w:rsid w:val="00A9150C"/>
    <w:rsid w:val="00A9245A"/>
    <w:rsid w:val="00A925AA"/>
    <w:rsid w:val="00A926E2"/>
    <w:rsid w:val="00A93F76"/>
    <w:rsid w:val="00A95E75"/>
    <w:rsid w:val="00A96C7D"/>
    <w:rsid w:val="00A96F76"/>
    <w:rsid w:val="00A971A6"/>
    <w:rsid w:val="00A97C2A"/>
    <w:rsid w:val="00AA0299"/>
    <w:rsid w:val="00AA1323"/>
    <w:rsid w:val="00AA2224"/>
    <w:rsid w:val="00AA3B54"/>
    <w:rsid w:val="00AA4184"/>
    <w:rsid w:val="00AA4D2B"/>
    <w:rsid w:val="00AA55E7"/>
    <w:rsid w:val="00AA59F4"/>
    <w:rsid w:val="00AA7955"/>
    <w:rsid w:val="00AA7BDB"/>
    <w:rsid w:val="00AA7D99"/>
    <w:rsid w:val="00AB037D"/>
    <w:rsid w:val="00AB0683"/>
    <w:rsid w:val="00AB07B6"/>
    <w:rsid w:val="00AB1C0A"/>
    <w:rsid w:val="00AB1DC2"/>
    <w:rsid w:val="00AB1E1D"/>
    <w:rsid w:val="00AB1FDD"/>
    <w:rsid w:val="00AB2B96"/>
    <w:rsid w:val="00AB370F"/>
    <w:rsid w:val="00AB3F19"/>
    <w:rsid w:val="00AB4112"/>
    <w:rsid w:val="00AB441B"/>
    <w:rsid w:val="00AB4A5D"/>
    <w:rsid w:val="00AB52D3"/>
    <w:rsid w:val="00AB52DC"/>
    <w:rsid w:val="00AB68C2"/>
    <w:rsid w:val="00AB6B4A"/>
    <w:rsid w:val="00AB6BC7"/>
    <w:rsid w:val="00AB7043"/>
    <w:rsid w:val="00AB7B3C"/>
    <w:rsid w:val="00AB7DD6"/>
    <w:rsid w:val="00AC0681"/>
    <w:rsid w:val="00AC1472"/>
    <w:rsid w:val="00AC2019"/>
    <w:rsid w:val="00AC2256"/>
    <w:rsid w:val="00AC2C2A"/>
    <w:rsid w:val="00AC2C2C"/>
    <w:rsid w:val="00AC3481"/>
    <w:rsid w:val="00AC37EA"/>
    <w:rsid w:val="00AC381E"/>
    <w:rsid w:val="00AC3ACD"/>
    <w:rsid w:val="00AC40D9"/>
    <w:rsid w:val="00AC4639"/>
    <w:rsid w:val="00AC49B9"/>
    <w:rsid w:val="00AC5381"/>
    <w:rsid w:val="00AC61D5"/>
    <w:rsid w:val="00AC674E"/>
    <w:rsid w:val="00AC6B6A"/>
    <w:rsid w:val="00AC7D4E"/>
    <w:rsid w:val="00AD0101"/>
    <w:rsid w:val="00AD065A"/>
    <w:rsid w:val="00AD0CED"/>
    <w:rsid w:val="00AD1104"/>
    <w:rsid w:val="00AD124A"/>
    <w:rsid w:val="00AD18F2"/>
    <w:rsid w:val="00AD22F3"/>
    <w:rsid w:val="00AD23C7"/>
    <w:rsid w:val="00AD2858"/>
    <w:rsid w:val="00AD2B87"/>
    <w:rsid w:val="00AD3BB6"/>
    <w:rsid w:val="00AD4A02"/>
    <w:rsid w:val="00AD4F38"/>
    <w:rsid w:val="00AD5178"/>
    <w:rsid w:val="00AD5768"/>
    <w:rsid w:val="00AD6798"/>
    <w:rsid w:val="00AD7FA1"/>
    <w:rsid w:val="00AE0444"/>
    <w:rsid w:val="00AE09A3"/>
    <w:rsid w:val="00AE12D4"/>
    <w:rsid w:val="00AE1409"/>
    <w:rsid w:val="00AE1430"/>
    <w:rsid w:val="00AE1940"/>
    <w:rsid w:val="00AE212B"/>
    <w:rsid w:val="00AE2284"/>
    <w:rsid w:val="00AE2B16"/>
    <w:rsid w:val="00AE2D89"/>
    <w:rsid w:val="00AE2F7F"/>
    <w:rsid w:val="00AE4934"/>
    <w:rsid w:val="00AE500F"/>
    <w:rsid w:val="00AE589A"/>
    <w:rsid w:val="00AE70F1"/>
    <w:rsid w:val="00AE79BE"/>
    <w:rsid w:val="00AE7A3B"/>
    <w:rsid w:val="00AE7BB9"/>
    <w:rsid w:val="00AE7D4E"/>
    <w:rsid w:val="00AF018A"/>
    <w:rsid w:val="00AF111B"/>
    <w:rsid w:val="00AF152B"/>
    <w:rsid w:val="00AF1817"/>
    <w:rsid w:val="00AF1A2B"/>
    <w:rsid w:val="00AF255C"/>
    <w:rsid w:val="00AF26F9"/>
    <w:rsid w:val="00AF2809"/>
    <w:rsid w:val="00AF28C2"/>
    <w:rsid w:val="00AF2903"/>
    <w:rsid w:val="00AF2A66"/>
    <w:rsid w:val="00AF3300"/>
    <w:rsid w:val="00AF362D"/>
    <w:rsid w:val="00AF42D1"/>
    <w:rsid w:val="00AF43BA"/>
    <w:rsid w:val="00AF5584"/>
    <w:rsid w:val="00AF5659"/>
    <w:rsid w:val="00AF5C43"/>
    <w:rsid w:val="00AF608F"/>
    <w:rsid w:val="00AF625B"/>
    <w:rsid w:val="00AF6452"/>
    <w:rsid w:val="00AF7281"/>
    <w:rsid w:val="00AF7840"/>
    <w:rsid w:val="00B002E2"/>
    <w:rsid w:val="00B00695"/>
    <w:rsid w:val="00B00ACA"/>
    <w:rsid w:val="00B00B14"/>
    <w:rsid w:val="00B012E4"/>
    <w:rsid w:val="00B01322"/>
    <w:rsid w:val="00B018BA"/>
    <w:rsid w:val="00B024D9"/>
    <w:rsid w:val="00B02DB5"/>
    <w:rsid w:val="00B0322E"/>
    <w:rsid w:val="00B036B2"/>
    <w:rsid w:val="00B043AE"/>
    <w:rsid w:val="00B04863"/>
    <w:rsid w:val="00B05139"/>
    <w:rsid w:val="00B0536D"/>
    <w:rsid w:val="00B06AE6"/>
    <w:rsid w:val="00B06EBC"/>
    <w:rsid w:val="00B07156"/>
    <w:rsid w:val="00B07198"/>
    <w:rsid w:val="00B07332"/>
    <w:rsid w:val="00B073A2"/>
    <w:rsid w:val="00B07A15"/>
    <w:rsid w:val="00B07B91"/>
    <w:rsid w:val="00B10156"/>
    <w:rsid w:val="00B10612"/>
    <w:rsid w:val="00B10D31"/>
    <w:rsid w:val="00B1173A"/>
    <w:rsid w:val="00B11AC1"/>
    <w:rsid w:val="00B11BE1"/>
    <w:rsid w:val="00B125C2"/>
    <w:rsid w:val="00B127C0"/>
    <w:rsid w:val="00B1457A"/>
    <w:rsid w:val="00B146DD"/>
    <w:rsid w:val="00B14BD5"/>
    <w:rsid w:val="00B1593D"/>
    <w:rsid w:val="00B15964"/>
    <w:rsid w:val="00B16006"/>
    <w:rsid w:val="00B1611D"/>
    <w:rsid w:val="00B16658"/>
    <w:rsid w:val="00B166CB"/>
    <w:rsid w:val="00B16739"/>
    <w:rsid w:val="00B17443"/>
    <w:rsid w:val="00B17EBB"/>
    <w:rsid w:val="00B21320"/>
    <w:rsid w:val="00B218CF"/>
    <w:rsid w:val="00B22509"/>
    <w:rsid w:val="00B2260D"/>
    <w:rsid w:val="00B229D8"/>
    <w:rsid w:val="00B23449"/>
    <w:rsid w:val="00B23B75"/>
    <w:rsid w:val="00B23CBF"/>
    <w:rsid w:val="00B23DA9"/>
    <w:rsid w:val="00B24C09"/>
    <w:rsid w:val="00B24C49"/>
    <w:rsid w:val="00B24F7C"/>
    <w:rsid w:val="00B254B5"/>
    <w:rsid w:val="00B255CB"/>
    <w:rsid w:val="00B261D5"/>
    <w:rsid w:val="00B27394"/>
    <w:rsid w:val="00B278D8"/>
    <w:rsid w:val="00B27C78"/>
    <w:rsid w:val="00B27E8D"/>
    <w:rsid w:val="00B30578"/>
    <w:rsid w:val="00B30DD6"/>
    <w:rsid w:val="00B30EC2"/>
    <w:rsid w:val="00B3222D"/>
    <w:rsid w:val="00B33400"/>
    <w:rsid w:val="00B3417F"/>
    <w:rsid w:val="00B34285"/>
    <w:rsid w:val="00B344B7"/>
    <w:rsid w:val="00B3575E"/>
    <w:rsid w:val="00B362BA"/>
    <w:rsid w:val="00B37419"/>
    <w:rsid w:val="00B4140E"/>
    <w:rsid w:val="00B41D77"/>
    <w:rsid w:val="00B41F29"/>
    <w:rsid w:val="00B41F76"/>
    <w:rsid w:val="00B4209D"/>
    <w:rsid w:val="00B420D2"/>
    <w:rsid w:val="00B42B3D"/>
    <w:rsid w:val="00B42CE9"/>
    <w:rsid w:val="00B42E11"/>
    <w:rsid w:val="00B43BD4"/>
    <w:rsid w:val="00B43D77"/>
    <w:rsid w:val="00B43E71"/>
    <w:rsid w:val="00B4451F"/>
    <w:rsid w:val="00B447A2"/>
    <w:rsid w:val="00B44A37"/>
    <w:rsid w:val="00B44D77"/>
    <w:rsid w:val="00B45428"/>
    <w:rsid w:val="00B4543B"/>
    <w:rsid w:val="00B45881"/>
    <w:rsid w:val="00B45C52"/>
    <w:rsid w:val="00B4630F"/>
    <w:rsid w:val="00B46AA0"/>
    <w:rsid w:val="00B470A3"/>
    <w:rsid w:val="00B47881"/>
    <w:rsid w:val="00B510B0"/>
    <w:rsid w:val="00B513E4"/>
    <w:rsid w:val="00B5156B"/>
    <w:rsid w:val="00B5173F"/>
    <w:rsid w:val="00B51A42"/>
    <w:rsid w:val="00B534EA"/>
    <w:rsid w:val="00B53C30"/>
    <w:rsid w:val="00B54BE9"/>
    <w:rsid w:val="00B55B6B"/>
    <w:rsid w:val="00B55D1B"/>
    <w:rsid w:val="00B56B57"/>
    <w:rsid w:val="00B56D34"/>
    <w:rsid w:val="00B575B9"/>
    <w:rsid w:val="00B577DF"/>
    <w:rsid w:val="00B57F38"/>
    <w:rsid w:val="00B606B7"/>
    <w:rsid w:val="00B610AD"/>
    <w:rsid w:val="00B614D7"/>
    <w:rsid w:val="00B61697"/>
    <w:rsid w:val="00B616AB"/>
    <w:rsid w:val="00B617EF"/>
    <w:rsid w:val="00B61A9E"/>
    <w:rsid w:val="00B61F99"/>
    <w:rsid w:val="00B62173"/>
    <w:rsid w:val="00B62187"/>
    <w:rsid w:val="00B62560"/>
    <w:rsid w:val="00B6325B"/>
    <w:rsid w:val="00B63BC9"/>
    <w:rsid w:val="00B63FDF"/>
    <w:rsid w:val="00B641C7"/>
    <w:rsid w:val="00B643B1"/>
    <w:rsid w:val="00B65914"/>
    <w:rsid w:val="00B67559"/>
    <w:rsid w:val="00B67630"/>
    <w:rsid w:val="00B676ED"/>
    <w:rsid w:val="00B70493"/>
    <w:rsid w:val="00B7271D"/>
    <w:rsid w:val="00B73016"/>
    <w:rsid w:val="00B73D52"/>
    <w:rsid w:val="00B749D8"/>
    <w:rsid w:val="00B7539F"/>
    <w:rsid w:val="00B76BE7"/>
    <w:rsid w:val="00B77631"/>
    <w:rsid w:val="00B77938"/>
    <w:rsid w:val="00B7795E"/>
    <w:rsid w:val="00B77B9A"/>
    <w:rsid w:val="00B80369"/>
    <w:rsid w:val="00B8105F"/>
    <w:rsid w:val="00B81A75"/>
    <w:rsid w:val="00B81C2F"/>
    <w:rsid w:val="00B81C79"/>
    <w:rsid w:val="00B8250E"/>
    <w:rsid w:val="00B8259C"/>
    <w:rsid w:val="00B82F08"/>
    <w:rsid w:val="00B838FC"/>
    <w:rsid w:val="00B8391F"/>
    <w:rsid w:val="00B84575"/>
    <w:rsid w:val="00B846EB"/>
    <w:rsid w:val="00B8484D"/>
    <w:rsid w:val="00B849DD"/>
    <w:rsid w:val="00B8558E"/>
    <w:rsid w:val="00B8562C"/>
    <w:rsid w:val="00B86A7D"/>
    <w:rsid w:val="00B86E51"/>
    <w:rsid w:val="00B86E64"/>
    <w:rsid w:val="00B87D56"/>
    <w:rsid w:val="00B90DAA"/>
    <w:rsid w:val="00B90FD3"/>
    <w:rsid w:val="00B91D5C"/>
    <w:rsid w:val="00B91E7A"/>
    <w:rsid w:val="00B920C6"/>
    <w:rsid w:val="00B92532"/>
    <w:rsid w:val="00B92F1B"/>
    <w:rsid w:val="00B937D7"/>
    <w:rsid w:val="00B93E25"/>
    <w:rsid w:val="00B9490C"/>
    <w:rsid w:val="00B954F3"/>
    <w:rsid w:val="00B9562F"/>
    <w:rsid w:val="00B95773"/>
    <w:rsid w:val="00B95F83"/>
    <w:rsid w:val="00B96454"/>
    <w:rsid w:val="00B966EE"/>
    <w:rsid w:val="00B96D83"/>
    <w:rsid w:val="00B9779C"/>
    <w:rsid w:val="00BA0348"/>
    <w:rsid w:val="00BA074E"/>
    <w:rsid w:val="00BA126D"/>
    <w:rsid w:val="00BA16A0"/>
    <w:rsid w:val="00BA1AD9"/>
    <w:rsid w:val="00BA1F96"/>
    <w:rsid w:val="00BA3171"/>
    <w:rsid w:val="00BA3B72"/>
    <w:rsid w:val="00BA3D34"/>
    <w:rsid w:val="00BA49B0"/>
    <w:rsid w:val="00BA49F0"/>
    <w:rsid w:val="00BA4B19"/>
    <w:rsid w:val="00BA5104"/>
    <w:rsid w:val="00BA5B27"/>
    <w:rsid w:val="00BA65AF"/>
    <w:rsid w:val="00BA68FB"/>
    <w:rsid w:val="00BA74C5"/>
    <w:rsid w:val="00BA7D64"/>
    <w:rsid w:val="00BA7EE7"/>
    <w:rsid w:val="00BB0BA7"/>
    <w:rsid w:val="00BB159D"/>
    <w:rsid w:val="00BB1DCA"/>
    <w:rsid w:val="00BB2BBB"/>
    <w:rsid w:val="00BB2D93"/>
    <w:rsid w:val="00BB2F85"/>
    <w:rsid w:val="00BB3222"/>
    <w:rsid w:val="00BB324F"/>
    <w:rsid w:val="00BB3482"/>
    <w:rsid w:val="00BB362C"/>
    <w:rsid w:val="00BB37B4"/>
    <w:rsid w:val="00BB407C"/>
    <w:rsid w:val="00BB46B8"/>
    <w:rsid w:val="00BB4CE4"/>
    <w:rsid w:val="00BB5795"/>
    <w:rsid w:val="00BB5E53"/>
    <w:rsid w:val="00BB7D03"/>
    <w:rsid w:val="00BC18A1"/>
    <w:rsid w:val="00BC1989"/>
    <w:rsid w:val="00BC1BBB"/>
    <w:rsid w:val="00BC2AC6"/>
    <w:rsid w:val="00BC3659"/>
    <w:rsid w:val="00BC3C90"/>
    <w:rsid w:val="00BC5071"/>
    <w:rsid w:val="00BC62CD"/>
    <w:rsid w:val="00BC6526"/>
    <w:rsid w:val="00BC7102"/>
    <w:rsid w:val="00BC734E"/>
    <w:rsid w:val="00BC73B9"/>
    <w:rsid w:val="00BC7F5A"/>
    <w:rsid w:val="00BD023A"/>
    <w:rsid w:val="00BD0924"/>
    <w:rsid w:val="00BD15FB"/>
    <w:rsid w:val="00BD22B1"/>
    <w:rsid w:val="00BD27D2"/>
    <w:rsid w:val="00BD29E4"/>
    <w:rsid w:val="00BD2C23"/>
    <w:rsid w:val="00BD2FB1"/>
    <w:rsid w:val="00BD3527"/>
    <w:rsid w:val="00BD382F"/>
    <w:rsid w:val="00BD39C8"/>
    <w:rsid w:val="00BD3C76"/>
    <w:rsid w:val="00BD41A5"/>
    <w:rsid w:val="00BD42E5"/>
    <w:rsid w:val="00BD44A6"/>
    <w:rsid w:val="00BD468C"/>
    <w:rsid w:val="00BD6789"/>
    <w:rsid w:val="00BD6A23"/>
    <w:rsid w:val="00BD6C61"/>
    <w:rsid w:val="00BD7334"/>
    <w:rsid w:val="00BE05C7"/>
    <w:rsid w:val="00BE1963"/>
    <w:rsid w:val="00BE1B6B"/>
    <w:rsid w:val="00BE240E"/>
    <w:rsid w:val="00BE276A"/>
    <w:rsid w:val="00BE2A06"/>
    <w:rsid w:val="00BE3753"/>
    <w:rsid w:val="00BE3B5D"/>
    <w:rsid w:val="00BE418E"/>
    <w:rsid w:val="00BE4874"/>
    <w:rsid w:val="00BE5451"/>
    <w:rsid w:val="00BE5F6A"/>
    <w:rsid w:val="00BE5FEF"/>
    <w:rsid w:val="00BE679C"/>
    <w:rsid w:val="00BE6B51"/>
    <w:rsid w:val="00BE70FB"/>
    <w:rsid w:val="00BE7109"/>
    <w:rsid w:val="00BE7D68"/>
    <w:rsid w:val="00BF1082"/>
    <w:rsid w:val="00BF10B5"/>
    <w:rsid w:val="00BF13E0"/>
    <w:rsid w:val="00BF13FD"/>
    <w:rsid w:val="00BF1610"/>
    <w:rsid w:val="00BF2DCE"/>
    <w:rsid w:val="00BF2DED"/>
    <w:rsid w:val="00BF36BA"/>
    <w:rsid w:val="00BF38AC"/>
    <w:rsid w:val="00BF54BA"/>
    <w:rsid w:val="00BF5BA3"/>
    <w:rsid w:val="00BF76B6"/>
    <w:rsid w:val="00C00608"/>
    <w:rsid w:val="00C0076A"/>
    <w:rsid w:val="00C00A10"/>
    <w:rsid w:val="00C013B2"/>
    <w:rsid w:val="00C014DB"/>
    <w:rsid w:val="00C02410"/>
    <w:rsid w:val="00C03292"/>
    <w:rsid w:val="00C04119"/>
    <w:rsid w:val="00C05F6F"/>
    <w:rsid w:val="00C0606D"/>
    <w:rsid w:val="00C06939"/>
    <w:rsid w:val="00C06F17"/>
    <w:rsid w:val="00C111FF"/>
    <w:rsid w:val="00C11768"/>
    <w:rsid w:val="00C118B5"/>
    <w:rsid w:val="00C120DA"/>
    <w:rsid w:val="00C126C3"/>
    <w:rsid w:val="00C134A8"/>
    <w:rsid w:val="00C13E21"/>
    <w:rsid w:val="00C1403A"/>
    <w:rsid w:val="00C143D9"/>
    <w:rsid w:val="00C14477"/>
    <w:rsid w:val="00C14B1B"/>
    <w:rsid w:val="00C14CAB"/>
    <w:rsid w:val="00C151C8"/>
    <w:rsid w:val="00C151E3"/>
    <w:rsid w:val="00C16F6E"/>
    <w:rsid w:val="00C17625"/>
    <w:rsid w:val="00C2045A"/>
    <w:rsid w:val="00C20973"/>
    <w:rsid w:val="00C21994"/>
    <w:rsid w:val="00C21B15"/>
    <w:rsid w:val="00C21FDD"/>
    <w:rsid w:val="00C22785"/>
    <w:rsid w:val="00C2296C"/>
    <w:rsid w:val="00C22C3A"/>
    <w:rsid w:val="00C22F0F"/>
    <w:rsid w:val="00C2338E"/>
    <w:rsid w:val="00C233BE"/>
    <w:rsid w:val="00C23859"/>
    <w:rsid w:val="00C23C75"/>
    <w:rsid w:val="00C24789"/>
    <w:rsid w:val="00C24B09"/>
    <w:rsid w:val="00C24D6E"/>
    <w:rsid w:val="00C25667"/>
    <w:rsid w:val="00C26058"/>
    <w:rsid w:val="00C26B0D"/>
    <w:rsid w:val="00C26B33"/>
    <w:rsid w:val="00C27141"/>
    <w:rsid w:val="00C3052F"/>
    <w:rsid w:val="00C30F65"/>
    <w:rsid w:val="00C30FA3"/>
    <w:rsid w:val="00C31999"/>
    <w:rsid w:val="00C326EE"/>
    <w:rsid w:val="00C329D8"/>
    <w:rsid w:val="00C32E19"/>
    <w:rsid w:val="00C3349D"/>
    <w:rsid w:val="00C33679"/>
    <w:rsid w:val="00C3396C"/>
    <w:rsid w:val="00C33FD6"/>
    <w:rsid w:val="00C34063"/>
    <w:rsid w:val="00C34D11"/>
    <w:rsid w:val="00C34E25"/>
    <w:rsid w:val="00C352C5"/>
    <w:rsid w:val="00C35CB8"/>
    <w:rsid w:val="00C35CC6"/>
    <w:rsid w:val="00C361EE"/>
    <w:rsid w:val="00C36325"/>
    <w:rsid w:val="00C365F5"/>
    <w:rsid w:val="00C366CE"/>
    <w:rsid w:val="00C377BD"/>
    <w:rsid w:val="00C37E58"/>
    <w:rsid w:val="00C40393"/>
    <w:rsid w:val="00C40843"/>
    <w:rsid w:val="00C40AFE"/>
    <w:rsid w:val="00C41654"/>
    <w:rsid w:val="00C41D84"/>
    <w:rsid w:val="00C41EFB"/>
    <w:rsid w:val="00C4234A"/>
    <w:rsid w:val="00C43021"/>
    <w:rsid w:val="00C438E8"/>
    <w:rsid w:val="00C440E0"/>
    <w:rsid w:val="00C4507D"/>
    <w:rsid w:val="00C450FF"/>
    <w:rsid w:val="00C452EB"/>
    <w:rsid w:val="00C45504"/>
    <w:rsid w:val="00C45694"/>
    <w:rsid w:val="00C45756"/>
    <w:rsid w:val="00C46B15"/>
    <w:rsid w:val="00C47B1E"/>
    <w:rsid w:val="00C47EF7"/>
    <w:rsid w:val="00C50BC2"/>
    <w:rsid w:val="00C50E11"/>
    <w:rsid w:val="00C50F63"/>
    <w:rsid w:val="00C5283A"/>
    <w:rsid w:val="00C5377E"/>
    <w:rsid w:val="00C539F6"/>
    <w:rsid w:val="00C5451C"/>
    <w:rsid w:val="00C54E9E"/>
    <w:rsid w:val="00C56242"/>
    <w:rsid w:val="00C5655C"/>
    <w:rsid w:val="00C56619"/>
    <w:rsid w:val="00C569AD"/>
    <w:rsid w:val="00C5756E"/>
    <w:rsid w:val="00C60079"/>
    <w:rsid w:val="00C60165"/>
    <w:rsid w:val="00C60298"/>
    <w:rsid w:val="00C61016"/>
    <w:rsid w:val="00C62636"/>
    <w:rsid w:val="00C62729"/>
    <w:rsid w:val="00C628F6"/>
    <w:rsid w:val="00C63005"/>
    <w:rsid w:val="00C632CA"/>
    <w:rsid w:val="00C63FB6"/>
    <w:rsid w:val="00C64464"/>
    <w:rsid w:val="00C649A3"/>
    <w:rsid w:val="00C64AB6"/>
    <w:rsid w:val="00C64C26"/>
    <w:rsid w:val="00C65619"/>
    <w:rsid w:val="00C657A3"/>
    <w:rsid w:val="00C66046"/>
    <w:rsid w:val="00C660A1"/>
    <w:rsid w:val="00C66EC4"/>
    <w:rsid w:val="00C67B0E"/>
    <w:rsid w:val="00C70437"/>
    <w:rsid w:val="00C704B2"/>
    <w:rsid w:val="00C70B0C"/>
    <w:rsid w:val="00C70D54"/>
    <w:rsid w:val="00C70E82"/>
    <w:rsid w:val="00C70EF7"/>
    <w:rsid w:val="00C71A21"/>
    <w:rsid w:val="00C71F0E"/>
    <w:rsid w:val="00C722A9"/>
    <w:rsid w:val="00C722D0"/>
    <w:rsid w:val="00C727BF"/>
    <w:rsid w:val="00C728DC"/>
    <w:rsid w:val="00C72CE8"/>
    <w:rsid w:val="00C72DA6"/>
    <w:rsid w:val="00C73019"/>
    <w:rsid w:val="00C73565"/>
    <w:rsid w:val="00C736E4"/>
    <w:rsid w:val="00C73D4F"/>
    <w:rsid w:val="00C73D70"/>
    <w:rsid w:val="00C756B7"/>
    <w:rsid w:val="00C7579E"/>
    <w:rsid w:val="00C75828"/>
    <w:rsid w:val="00C75DDB"/>
    <w:rsid w:val="00C75F41"/>
    <w:rsid w:val="00C7613B"/>
    <w:rsid w:val="00C76A9D"/>
    <w:rsid w:val="00C76E1D"/>
    <w:rsid w:val="00C772F2"/>
    <w:rsid w:val="00C8060E"/>
    <w:rsid w:val="00C80B8B"/>
    <w:rsid w:val="00C80F43"/>
    <w:rsid w:val="00C80F94"/>
    <w:rsid w:val="00C81789"/>
    <w:rsid w:val="00C82050"/>
    <w:rsid w:val="00C82528"/>
    <w:rsid w:val="00C82F53"/>
    <w:rsid w:val="00C83022"/>
    <w:rsid w:val="00C83A14"/>
    <w:rsid w:val="00C83ABE"/>
    <w:rsid w:val="00C848C7"/>
    <w:rsid w:val="00C84C83"/>
    <w:rsid w:val="00C85AF7"/>
    <w:rsid w:val="00C85D4F"/>
    <w:rsid w:val="00C8676F"/>
    <w:rsid w:val="00C87259"/>
    <w:rsid w:val="00C90359"/>
    <w:rsid w:val="00C90536"/>
    <w:rsid w:val="00C90833"/>
    <w:rsid w:val="00C90F8F"/>
    <w:rsid w:val="00C90FF0"/>
    <w:rsid w:val="00C91817"/>
    <w:rsid w:val="00C92C21"/>
    <w:rsid w:val="00C94A7E"/>
    <w:rsid w:val="00C94B95"/>
    <w:rsid w:val="00C94D3E"/>
    <w:rsid w:val="00C9630D"/>
    <w:rsid w:val="00C97B5D"/>
    <w:rsid w:val="00C97EFE"/>
    <w:rsid w:val="00CA00DE"/>
    <w:rsid w:val="00CA0AE5"/>
    <w:rsid w:val="00CA0CF1"/>
    <w:rsid w:val="00CA13F5"/>
    <w:rsid w:val="00CA1E20"/>
    <w:rsid w:val="00CA21BC"/>
    <w:rsid w:val="00CA220F"/>
    <w:rsid w:val="00CA26A7"/>
    <w:rsid w:val="00CA4022"/>
    <w:rsid w:val="00CA4BC9"/>
    <w:rsid w:val="00CA4F7A"/>
    <w:rsid w:val="00CA51E1"/>
    <w:rsid w:val="00CA6007"/>
    <w:rsid w:val="00CA64D3"/>
    <w:rsid w:val="00CA6B16"/>
    <w:rsid w:val="00CA6C56"/>
    <w:rsid w:val="00CA7A8C"/>
    <w:rsid w:val="00CB0476"/>
    <w:rsid w:val="00CB17DB"/>
    <w:rsid w:val="00CB2105"/>
    <w:rsid w:val="00CB221D"/>
    <w:rsid w:val="00CB2329"/>
    <w:rsid w:val="00CB2E29"/>
    <w:rsid w:val="00CB2EFD"/>
    <w:rsid w:val="00CB36B7"/>
    <w:rsid w:val="00CB3D9F"/>
    <w:rsid w:val="00CB3E99"/>
    <w:rsid w:val="00CB536B"/>
    <w:rsid w:val="00CB5D7D"/>
    <w:rsid w:val="00CB5DB4"/>
    <w:rsid w:val="00CB60BA"/>
    <w:rsid w:val="00CB6287"/>
    <w:rsid w:val="00CB7B63"/>
    <w:rsid w:val="00CB7FB3"/>
    <w:rsid w:val="00CC00B9"/>
    <w:rsid w:val="00CC0162"/>
    <w:rsid w:val="00CC028A"/>
    <w:rsid w:val="00CC0BDA"/>
    <w:rsid w:val="00CC14F2"/>
    <w:rsid w:val="00CC16AA"/>
    <w:rsid w:val="00CC1ADE"/>
    <w:rsid w:val="00CC287B"/>
    <w:rsid w:val="00CC2FC9"/>
    <w:rsid w:val="00CC2FF8"/>
    <w:rsid w:val="00CC38E8"/>
    <w:rsid w:val="00CC3C4D"/>
    <w:rsid w:val="00CC3F96"/>
    <w:rsid w:val="00CC40E6"/>
    <w:rsid w:val="00CC467B"/>
    <w:rsid w:val="00CC5147"/>
    <w:rsid w:val="00CC6136"/>
    <w:rsid w:val="00CC7002"/>
    <w:rsid w:val="00CC767C"/>
    <w:rsid w:val="00CC7B35"/>
    <w:rsid w:val="00CC7EEF"/>
    <w:rsid w:val="00CD0190"/>
    <w:rsid w:val="00CD0837"/>
    <w:rsid w:val="00CD0E05"/>
    <w:rsid w:val="00CD2008"/>
    <w:rsid w:val="00CD2081"/>
    <w:rsid w:val="00CD233C"/>
    <w:rsid w:val="00CD2925"/>
    <w:rsid w:val="00CD2BD7"/>
    <w:rsid w:val="00CD438F"/>
    <w:rsid w:val="00CD4FBC"/>
    <w:rsid w:val="00CD50B0"/>
    <w:rsid w:val="00CD5188"/>
    <w:rsid w:val="00CD52A3"/>
    <w:rsid w:val="00CD5578"/>
    <w:rsid w:val="00CD594C"/>
    <w:rsid w:val="00CD6363"/>
    <w:rsid w:val="00CD6419"/>
    <w:rsid w:val="00CD65A5"/>
    <w:rsid w:val="00CD6618"/>
    <w:rsid w:val="00CD68AC"/>
    <w:rsid w:val="00CD6C24"/>
    <w:rsid w:val="00CD6D07"/>
    <w:rsid w:val="00CD6D20"/>
    <w:rsid w:val="00CD749F"/>
    <w:rsid w:val="00CD7FEC"/>
    <w:rsid w:val="00CE039B"/>
    <w:rsid w:val="00CE0898"/>
    <w:rsid w:val="00CE08F4"/>
    <w:rsid w:val="00CE09A5"/>
    <w:rsid w:val="00CE13C2"/>
    <w:rsid w:val="00CE29BB"/>
    <w:rsid w:val="00CE3934"/>
    <w:rsid w:val="00CE4346"/>
    <w:rsid w:val="00CE4512"/>
    <w:rsid w:val="00CE456F"/>
    <w:rsid w:val="00CE4660"/>
    <w:rsid w:val="00CE4A7D"/>
    <w:rsid w:val="00CE4B63"/>
    <w:rsid w:val="00CE51C6"/>
    <w:rsid w:val="00CE54A1"/>
    <w:rsid w:val="00CE5EEE"/>
    <w:rsid w:val="00CE6998"/>
    <w:rsid w:val="00CE733F"/>
    <w:rsid w:val="00CE7700"/>
    <w:rsid w:val="00CE771F"/>
    <w:rsid w:val="00CE7A29"/>
    <w:rsid w:val="00CE7EA2"/>
    <w:rsid w:val="00CF0D87"/>
    <w:rsid w:val="00CF115A"/>
    <w:rsid w:val="00CF1F7C"/>
    <w:rsid w:val="00CF2752"/>
    <w:rsid w:val="00CF27A1"/>
    <w:rsid w:val="00CF28B7"/>
    <w:rsid w:val="00CF3473"/>
    <w:rsid w:val="00CF369A"/>
    <w:rsid w:val="00CF5535"/>
    <w:rsid w:val="00CF684C"/>
    <w:rsid w:val="00CF6896"/>
    <w:rsid w:val="00CF6B78"/>
    <w:rsid w:val="00CF7125"/>
    <w:rsid w:val="00CF7B1E"/>
    <w:rsid w:val="00CF7B39"/>
    <w:rsid w:val="00CF7C24"/>
    <w:rsid w:val="00CF7CEB"/>
    <w:rsid w:val="00CF7DCC"/>
    <w:rsid w:val="00CF7E2C"/>
    <w:rsid w:val="00D00112"/>
    <w:rsid w:val="00D006C7"/>
    <w:rsid w:val="00D00913"/>
    <w:rsid w:val="00D01933"/>
    <w:rsid w:val="00D0194B"/>
    <w:rsid w:val="00D01BF5"/>
    <w:rsid w:val="00D01CF3"/>
    <w:rsid w:val="00D0335E"/>
    <w:rsid w:val="00D03401"/>
    <w:rsid w:val="00D03477"/>
    <w:rsid w:val="00D037F0"/>
    <w:rsid w:val="00D04D52"/>
    <w:rsid w:val="00D05485"/>
    <w:rsid w:val="00D058C1"/>
    <w:rsid w:val="00D05F1B"/>
    <w:rsid w:val="00D061B4"/>
    <w:rsid w:val="00D06213"/>
    <w:rsid w:val="00D06C0B"/>
    <w:rsid w:val="00D07449"/>
    <w:rsid w:val="00D07598"/>
    <w:rsid w:val="00D07926"/>
    <w:rsid w:val="00D07D43"/>
    <w:rsid w:val="00D114AC"/>
    <w:rsid w:val="00D120A5"/>
    <w:rsid w:val="00D12286"/>
    <w:rsid w:val="00D1252D"/>
    <w:rsid w:val="00D131F3"/>
    <w:rsid w:val="00D133A2"/>
    <w:rsid w:val="00D13D16"/>
    <w:rsid w:val="00D13F7D"/>
    <w:rsid w:val="00D14598"/>
    <w:rsid w:val="00D148D2"/>
    <w:rsid w:val="00D14D89"/>
    <w:rsid w:val="00D157DB"/>
    <w:rsid w:val="00D15919"/>
    <w:rsid w:val="00D159F6"/>
    <w:rsid w:val="00D15C8D"/>
    <w:rsid w:val="00D15F46"/>
    <w:rsid w:val="00D16119"/>
    <w:rsid w:val="00D16519"/>
    <w:rsid w:val="00D16AE6"/>
    <w:rsid w:val="00D17837"/>
    <w:rsid w:val="00D20336"/>
    <w:rsid w:val="00D205E6"/>
    <w:rsid w:val="00D20A9F"/>
    <w:rsid w:val="00D21611"/>
    <w:rsid w:val="00D216CF"/>
    <w:rsid w:val="00D21A18"/>
    <w:rsid w:val="00D21DC8"/>
    <w:rsid w:val="00D21F68"/>
    <w:rsid w:val="00D22047"/>
    <w:rsid w:val="00D222C2"/>
    <w:rsid w:val="00D22B80"/>
    <w:rsid w:val="00D22F69"/>
    <w:rsid w:val="00D23167"/>
    <w:rsid w:val="00D23EE1"/>
    <w:rsid w:val="00D241AA"/>
    <w:rsid w:val="00D24395"/>
    <w:rsid w:val="00D24492"/>
    <w:rsid w:val="00D244CC"/>
    <w:rsid w:val="00D25DCC"/>
    <w:rsid w:val="00D25EC3"/>
    <w:rsid w:val="00D26029"/>
    <w:rsid w:val="00D26479"/>
    <w:rsid w:val="00D26A17"/>
    <w:rsid w:val="00D26CF2"/>
    <w:rsid w:val="00D26E9F"/>
    <w:rsid w:val="00D3018F"/>
    <w:rsid w:val="00D30227"/>
    <w:rsid w:val="00D31672"/>
    <w:rsid w:val="00D31903"/>
    <w:rsid w:val="00D31BBE"/>
    <w:rsid w:val="00D31DFA"/>
    <w:rsid w:val="00D321AF"/>
    <w:rsid w:val="00D3346A"/>
    <w:rsid w:val="00D33671"/>
    <w:rsid w:val="00D33A78"/>
    <w:rsid w:val="00D33ECB"/>
    <w:rsid w:val="00D3426C"/>
    <w:rsid w:val="00D34875"/>
    <w:rsid w:val="00D34946"/>
    <w:rsid w:val="00D34966"/>
    <w:rsid w:val="00D34EDE"/>
    <w:rsid w:val="00D35583"/>
    <w:rsid w:val="00D3581E"/>
    <w:rsid w:val="00D37EFA"/>
    <w:rsid w:val="00D403E6"/>
    <w:rsid w:val="00D411E6"/>
    <w:rsid w:val="00D419EB"/>
    <w:rsid w:val="00D42447"/>
    <w:rsid w:val="00D4270B"/>
    <w:rsid w:val="00D42728"/>
    <w:rsid w:val="00D430E3"/>
    <w:rsid w:val="00D435EB"/>
    <w:rsid w:val="00D44B1E"/>
    <w:rsid w:val="00D454CD"/>
    <w:rsid w:val="00D45978"/>
    <w:rsid w:val="00D46652"/>
    <w:rsid w:val="00D46AB4"/>
    <w:rsid w:val="00D46CC1"/>
    <w:rsid w:val="00D46D31"/>
    <w:rsid w:val="00D46E33"/>
    <w:rsid w:val="00D4755B"/>
    <w:rsid w:val="00D476DA"/>
    <w:rsid w:val="00D47720"/>
    <w:rsid w:val="00D503E5"/>
    <w:rsid w:val="00D51147"/>
    <w:rsid w:val="00D514FB"/>
    <w:rsid w:val="00D51821"/>
    <w:rsid w:val="00D51827"/>
    <w:rsid w:val="00D5190E"/>
    <w:rsid w:val="00D51ADB"/>
    <w:rsid w:val="00D51AEF"/>
    <w:rsid w:val="00D523A3"/>
    <w:rsid w:val="00D52A7A"/>
    <w:rsid w:val="00D52C3D"/>
    <w:rsid w:val="00D52EF0"/>
    <w:rsid w:val="00D52FBF"/>
    <w:rsid w:val="00D5347E"/>
    <w:rsid w:val="00D535ED"/>
    <w:rsid w:val="00D540A2"/>
    <w:rsid w:val="00D54202"/>
    <w:rsid w:val="00D5490B"/>
    <w:rsid w:val="00D5556D"/>
    <w:rsid w:val="00D55963"/>
    <w:rsid w:val="00D56824"/>
    <w:rsid w:val="00D56CEB"/>
    <w:rsid w:val="00D577FF"/>
    <w:rsid w:val="00D611F8"/>
    <w:rsid w:val="00D6180F"/>
    <w:rsid w:val="00D61D7E"/>
    <w:rsid w:val="00D61F13"/>
    <w:rsid w:val="00D62680"/>
    <w:rsid w:val="00D62EED"/>
    <w:rsid w:val="00D65E96"/>
    <w:rsid w:val="00D67045"/>
    <w:rsid w:val="00D67804"/>
    <w:rsid w:val="00D67AE6"/>
    <w:rsid w:val="00D67D37"/>
    <w:rsid w:val="00D67DBC"/>
    <w:rsid w:val="00D67FFB"/>
    <w:rsid w:val="00D70372"/>
    <w:rsid w:val="00D703A0"/>
    <w:rsid w:val="00D7176F"/>
    <w:rsid w:val="00D71A92"/>
    <w:rsid w:val="00D737AF"/>
    <w:rsid w:val="00D743E5"/>
    <w:rsid w:val="00D749EC"/>
    <w:rsid w:val="00D74A4B"/>
    <w:rsid w:val="00D74E21"/>
    <w:rsid w:val="00D757E7"/>
    <w:rsid w:val="00D758C2"/>
    <w:rsid w:val="00D75E87"/>
    <w:rsid w:val="00D76799"/>
    <w:rsid w:val="00D76BF9"/>
    <w:rsid w:val="00D77028"/>
    <w:rsid w:val="00D7730F"/>
    <w:rsid w:val="00D77986"/>
    <w:rsid w:val="00D77C76"/>
    <w:rsid w:val="00D77DB8"/>
    <w:rsid w:val="00D810D3"/>
    <w:rsid w:val="00D81764"/>
    <w:rsid w:val="00D8196D"/>
    <w:rsid w:val="00D82884"/>
    <w:rsid w:val="00D829F1"/>
    <w:rsid w:val="00D83014"/>
    <w:rsid w:val="00D83267"/>
    <w:rsid w:val="00D833C6"/>
    <w:rsid w:val="00D834A8"/>
    <w:rsid w:val="00D839FC"/>
    <w:rsid w:val="00D84448"/>
    <w:rsid w:val="00D8514D"/>
    <w:rsid w:val="00D856D4"/>
    <w:rsid w:val="00D86311"/>
    <w:rsid w:val="00D86EC1"/>
    <w:rsid w:val="00D87A9B"/>
    <w:rsid w:val="00D87D04"/>
    <w:rsid w:val="00D907DD"/>
    <w:rsid w:val="00D90971"/>
    <w:rsid w:val="00D910CA"/>
    <w:rsid w:val="00D910FA"/>
    <w:rsid w:val="00D91DA8"/>
    <w:rsid w:val="00D925EE"/>
    <w:rsid w:val="00D92888"/>
    <w:rsid w:val="00D92C13"/>
    <w:rsid w:val="00D93041"/>
    <w:rsid w:val="00D93188"/>
    <w:rsid w:val="00D93B8C"/>
    <w:rsid w:val="00D93BC7"/>
    <w:rsid w:val="00D94524"/>
    <w:rsid w:val="00D95082"/>
    <w:rsid w:val="00D95877"/>
    <w:rsid w:val="00D95A98"/>
    <w:rsid w:val="00D95F3D"/>
    <w:rsid w:val="00D97311"/>
    <w:rsid w:val="00D974A0"/>
    <w:rsid w:val="00D97B21"/>
    <w:rsid w:val="00DA02BE"/>
    <w:rsid w:val="00DA0CB9"/>
    <w:rsid w:val="00DA0D2A"/>
    <w:rsid w:val="00DA297C"/>
    <w:rsid w:val="00DA3132"/>
    <w:rsid w:val="00DA41CC"/>
    <w:rsid w:val="00DA4843"/>
    <w:rsid w:val="00DA4C58"/>
    <w:rsid w:val="00DA54CB"/>
    <w:rsid w:val="00DA568C"/>
    <w:rsid w:val="00DA5AC8"/>
    <w:rsid w:val="00DA5FB8"/>
    <w:rsid w:val="00DA63DF"/>
    <w:rsid w:val="00DA7D59"/>
    <w:rsid w:val="00DB0C47"/>
    <w:rsid w:val="00DB147B"/>
    <w:rsid w:val="00DB155B"/>
    <w:rsid w:val="00DB1813"/>
    <w:rsid w:val="00DB1829"/>
    <w:rsid w:val="00DB31B2"/>
    <w:rsid w:val="00DB37BA"/>
    <w:rsid w:val="00DB41A7"/>
    <w:rsid w:val="00DB5812"/>
    <w:rsid w:val="00DB58B6"/>
    <w:rsid w:val="00DB5C13"/>
    <w:rsid w:val="00DB5C4C"/>
    <w:rsid w:val="00DB5E06"/>
    <w:rsid w:val="00DB60E1"/>
    <w:rsid w:val="00DB6207"/>
    <w:rsid w:val="00DB6C82"/>
    <w:rsid w:val="00DB7C4B"/>
    <w:rsid w:val="00DB7F42"/>
    <w:rsid w:val="00DC04E7"/>
    <w:rsid w:val="00DC1EFB"/>
    <w:rsid w:val="00DC2B41"/>
    <w:rsid w:val="00DC2D7F"/>
    <w:rsid w:val="00DC38A3"/>
    <w:rsid w:val="00DC3EF3"/>
    <w:rsid w:val="00DC3F0B"/>
    <w:rsid w:val="00DC4926"/>
    <w:rsid w:val="00DC4A20"/>
    <w:rsid w:val="00DC4F6A"/>
    <w:rsid w:val="00DC521A"/>
    <w:rsid w:val="00DC5342"/>
    <w:rsid w:val="00DC57CC"/>
    <w:rsid w:val="00DC59A5"/>
    <w:rsid w:val="00DC5ADF"/>
    <w:rsid w:val="00DC68BA"/>
    <w:rsid w:val="00DC6B92"/>
    <w:rsid w:val="00DC71B1"/>
    <w:rsid w:val="00DC754B"/>
    <w:rsid w:val="00DC7B1E"/>
    <w:rsid w:val="00DD0E3B"/>
    <w:rsid w:val="00DD0E63"/>
    <w:rsid w:val="00DD11A6"/>
    <w:rsid w:val="00DD15C5"/>
    <w:rsid w:val="00DD16D8"/>
    <w:rsid w:val="00DD1B27"/>
    <w:rsid w:val="00DD212D"/>
    <w:rsid w:val="00DD2E2C"/>
    <w:rsid w:val="00DD4550"/>
    <w:rsid w:val="00DD55C0"/>
    <w:rsid w:val="00DD5A49"/>
    <w:rsid w:val="00DD69C3"/>
    <w:rsid w:val="00DD7846"/>
    <w:rsid w:val="00DD785D"/>
    <w:rsid w:val="00DD7DBF"/>
    <w:rsid w:val="00DE06BA"/>
    <w:rsid w:val="00DE075A"/>
    <w:rsid w:val="00DE0A96"/>
    <w:rsid w:val="00DE1260"/>
    <w:rsid w:val="00DE2015"/>
    <w:rsid w:val="00DE2648"/>
    <w:rsid w:val="00DE2749"/>
    <w:rsid w:val="00DE282B"/>
    <w:rsid w:val="00DE354A"/>
    <w:rsid w:val="00DE38EA"/>
    <w:rsid w:val="00DE3AB1"/>
    <w:rsid w:val="00DE3D69"/>
    <w:rsid w:val="00DE3EBC"/>
    <w:rsid w:val="00DE3ECE"/>
    <w:rsid w:val="00DE4617"/>
    <w:rsid w:val="00DE495C"/>
    <w:rsid w:val="00DE4C93"/>
    <w:rsid w:val="00DE4CA4"/>
    <w:rsid w:val="00DE57C5"/>
    <w:rsid w:val="00DE5F6C"/>
    <w:rsid w:val="00DE66E2"/>
    <w:rsid w:val="00DE6779"/>
    <w:rsid w:val="00DE67A6"/>
    <w:rsid w:val="00DE78E3"/>
    <w:rsid w:val="00DE7BF8"/>
    <w:rsid w:val="00DF053E"/>
    <w:rsid w:val="00DF2204"/>
    <w:rsid w:val="00DF297F"/>
    <w:rsid w:val="00DF29C0"/>
    <w:rsid w:val="00DF2B32"/>
    <w:rsid w:val="00DF2F7F"/>
    <w:rsid w:val="00DF3385"/>
    <w:rsid w:val="00DF458A"/>
    <w:rsid w:val="00DF4921"/>
    <w:rsid w:val="00DF55AB"/>
    <w:rsid w:val="00DF580C"/>
    <w:rsid w:val="00DF5B66"/>
    <w:rsid w:val="00DF5D3F"/>
    <w:rsid w:val="00DF5E0C"/>
    <w:rsid w:val="00DF5E72"/>
    <w:rsid w:val="00DF6454"/>
    <w:rsid w:val="00DF64D7"/>
    <w:rsid w:val="00DF66AD"/>
    <w:rsid w:val="00DF6C23"/>
    <w:rsid w:val="00DF7594"/>
    <w:rsid w:val="00DF7752"/>
    <w:rsid w:val="00E0037D"/>
    <w:rsid w:val="00E01008"/>
    <w:rsid w:val="00E01D3A"/>
    <w:rsid w:val="00E02001"/>
    <w:rsid w:val="00E0378E"/>
    <w:rsid w:val="00E0379C"/>
    <w:rsid w:val="00E03FB4"/>
    <w:rsid w:val="00E04FC5"/>
    <w:rsid w:val="00E0579A"/>
    <w:rsid w:val="00E05C6F"/>
    <w:rsid w:val="00E05ED4"/>
    <w:rsid w:val="00E07BCE"/>
    <w:rsid w:val="00E07F1F"/>
    <w:rsid w:val="00E115ED"/>
    <w:rsid w:val="00E1341E"/>
    <w:rsid w:val="00E139FE"/>
    <w:rsid w:val="00E140D0"/>
    <w:rsid w:val="00E16731"/>
    <w:rsid w:val="00E16C02"/>
    <w:rsid w:val="00E17EAF"/>
    <w:rsid w:val="00E21254"/>
    <w:rsid w:val="00E215BB"/>
    <w:rsid w:val="00E21A47"/>
    <w:rsid w:val="00E21E7B"/>
    <w:rsid w:val="00E22D8A"/>
    <w:rsid w:val="00E23DB8"/>
    <w:rsid w:val="00E244CA"/>
    <w:rsid w:val="00E26999"/>
    <w:rsid w:val="00E27F17"/>
    <w:rsid w:val="00E30D34"/>
    <w:rsid w:val="00E31974"/>
    <w:rsid w:val="00E31DF8"/>
    <w:rsid w:val="00E326AB"/>
    <w:rsid w:val="00E32ADC"/>
    <w:rsid w:val="00E32D4B"/>
    <w:rsid w:val="00E332B3"/>
    <w:rsid w:val="00E3420A"/>
    <w:rsid w:val="00E34A1F"/>
    <w:rsid w:val="00E34DF7"/>
    <w:rsid w:val="00E352D4"/>
    <w:rsid w:val="00E3572B"/>
    <w:rsid w:val="00E360D9"/>
    <w:rsid w:val="00E36720"/>
    <w:rsid w:val="00E3710F"/>
    <w:rsid w:val="00E3735D"/>
    <w:rsid w:val="00E373D0"/>
    <w:rsid w:val="00E3753A"/>
    <w:rsid w:val="00E375D3"/>
    <w:rsid w:val="00E37AE5"/>
    <w:rsid w:val="00E4098D"/>
    <w:rsid w:val="00E40BCE"/>
    <w:rsid w:val="00E40DAD"/>
    <w:rsid w:val="00E4132D"/>
    <w:rsid w:val="00E4241D"/>
    <w:rsid w:val="00E42932"/>
    <w:rsid w:val="00E432D1"/>
    <w:rsid w:val="00E443EC"/>
    <w:rsid w:val="00E446DB"/>
    <w:rsid w:val="00E44B3A"/>
    <w:rsid w:val="00E503C5"/>
    <w:rsid w:val="00E504FE"/>
    <w:rsid w:val="00E50C5B"/>
    <w:rsid w:val="00E51632"/>
    <w:rsid w:val="00E51AEC"/>
    <w:rsid w:val="00E52B81"/>
    <w:rsid w:val="00E52C08"/>
    <w:rsid w:val="00E532E6"/>
    <w:rsid w:val="00E54379"/>
    <w:rsid w:val="00E54855"/>
    <w:rsid w:val="00E555DB"/>
    <w:rsid w:val="00E56F98"/>
    <w:rsid w:val="00E5752D"/>
    <w:rsid w:val="00E5766E"/>
    <w:rsid w:val="00E57760"/>
    <w:rsid w:val="00E57DF5"/>
    <w:rsid w:val="00E606D7"/>
    <w:rsid w:val="00E60EDC"/>
    <w:rsid w:val="00E61C9B"/>
    <w:rsid w:val="00E62764"/>
    <w:rsid w:val="00E62C37"/>
    <w:rsid w:val="00E63175"/>
    <w:rsid w:val="00E63448"/>
    <w:rsid w:val="00E63986"/>
    <w:rsid w:val="00E63CB8"/>
    <w:rsid w:val="00E64206"/>
    <w:rsid w:val="00E650C5"/>
    <w:rsid w:val="00E65D5C"/>
    <w:rsid w:val="00E6646C"/>
    <w:rsid w:val="00E6657C"/>
    <w:rsid w:val="00E67328"/>
    <w:rsid w:val="00E6753D"/>
    <w:rsid w:val="00E70340"/>
    <w:rsid w:val="00E7168A"/>
    <w:rsid w:val="00E72C98"/>
    <w:rsid w:val="00E73060"/>
    <w:rsid w:val="00E7336F"/>
    <w:rsid w:val="00E73D3E"/>
    <w:rsid w:val="00E73D7B"/>
    <w:rsid w:val="00E73E18"/>
    <w:rsid w:val="00E74D53"/>
    <w:rsid w:val="00E75918"/>
    <w:rsid w:val="00E75C30"/>
    <w:rsid w:val="00E75FB4"/>
    <w:rsid w:val="00E7623A"/>
    <w:rsid w:val="00E76C78"/>
    <w:rsid w:val="00E76E6C"/>
    <w:rsid w:val="00E76F3F"/>
    <w:rsid w:val="00E77027"/>
    <w:rsid w:val="00E771DA"/>
    <w:rsid w:val="00E7731D"/>
    <w:rsid w:val="00E773C5"/>
    <w:rsid w:val="00E81361"/>
    <w:rsid w:val="00E814A2"/>
    <w:rsid w:val="00E81676"/>
    <w:rsid w:val="00E8198B"/>
    <w:rsid w:val="00E82699"/>
    <w:rsid w:val="00E82C98"/>
    <w:rsid w:val="00E83488"/>
    <w:rsid w:val="00E83B55"/>
    <w:rsid w:val="00E83FE4"/>
    <w:rsid w:val="00E8420D"/>
    <w:rsid w:val="00E846C7"/>
    <w:rsid w:val="00E84AB2"/>
    <w:rsid w:val="00E850E6"/>
    <w:rsid w:val="00E85B2D"/>
    <w:rsid w:val="00E865E5"/>
    <w:rsid w:val="00E87A48"/>
    <w:rsid w:val="00E87D2B"/>
    <w:rsid w:val="00E90192"/>
    <w:rsid w:val="00E905B4"/>
    <w:rsid w:val="00E90604"/>
    <w:rsid w:val="00E9060D"/>
    <w:rsid w:val="00E9067B"/>
    <w:rsid w:val="00E90C77"/>
    <w:rsid w:val="00E90E76"/>
    <w:rsid w:val="00E90EF9"/>
    <w:rsid w:val="00E91B08"/>
    <w:rsid w:val="00E91F1F"/>
    <w:rsid w:val="00E9200D"/>
    <w:rsid w:val="00E9253F"/>
    <w:rsid w:val="00E92D45"/>
    <w:rsid w:val="00E93878"/>
    <w:rsid w:val="00E93B4B"/>
    <w:rsid w:val="00E9445C"/>
    <w:rsid w:val="00E94DD6"/>
    <w:rsid w:val="00E9552E"/>
    <w:rsid w:val="00E975A2"/>
    <w:rsid w:val="00E97630"/>
    <w:rsid w:val="00E976A4"/>
    <w:rsid w:val="00EA085C"/>
    <w:rsid w:val="00EA0B6A"/>
    <w:rsid w:val="00EA0DD7"/>
    <w:rsid w:val="00EA1874"/>
    <w:rsid w:val="00EA2252"/>
    <w:rsid w:val="00EA2B3C"/>
    <w:rsid w:val="00EA2FE5"/>
    <w:rsid w:val="00EA3036"/>
    <w:rsid w:val="00EA333F"/>
    <w:rsid w:val="00EA37AB"/>
    <w:rsid w:val="00EA3C0A"/>
    <w:rsid w:val="00EA4043"/>
    <w:rsid w:val="00EA426C"/>
    <w:rsid w:val="00EA4B0F"/>
    <w:rsid w:val="00EA4D7D"/>
    <w:rsid w:val="00EA61CC"/>
    <w:rsid w:val="00EA7553"/>
    <w:rsid w:val="00EA7FD8"/>
    <w:rsid w:val="00EB0461"/>
    <w:rsid w:val="00EB0783"/>
    <w:rsid w:val="00EB1369"/>
    <w:rsid w:val="00EB1F59"/>
    <w:rsid w:val="00EB2C15"/>
    <w:rsid w:val="00EB2FF4"/>
    <w:rsid w:val="00EB3E12"/>
    <w:rsid w:val="00EB4015"/>
    <w:rsid w:val="00EB477D"/>
    <w:rsid w:val="00EB639D"/>
    <w:rsid w:val="00EB73F5"/>
    <w:rsid w:val="00EB7A64"/>
    <w:rsid w:val="00EB7AD3"/>
    <w:rsid w:val="00EB7B4E"/>
    <w:rsid w:val="00EB7BAB"/>
    <w:rsid w:val="00EC0927"/>
    <w:rsid w:val="00EC10FF"/>
    <w:rsid w:val="00EC12A9"/>
    <w:rsid w:val="00EC1385"/>
    <w:rsid w:val="00EC1568"/>
    <w:rsid w:val="00EC2207"/>
    <w:rsid w:val="00EC2417"/>
    <w:rsid w:val="00EC2627"/>
    <w:rsid w:val="00EC3539"/>
    <w:rsid w:val="00EC35E1"/>
    <w:rsid w:val="00EC3C73"/>
    <w:rsid w:val="00EC4628"/>
    <w:rsid w:val="00EC4806"/>
    <w:rsid w:val="00EC4D3C"/>
    <w:rsid w:val="00EC4FEE"/>
    <w:rsid w:val="00EC6154"/>
    <w:rsid w:val="00EC6766"/>
    <w:rsid w:val="00EC6834"/>
    <w:rsid w:val="00EC74FD"/>
    <w:rsid w:val="00EC77E6"/>
    <w:rsid w:val="00EC7DA7"/>
    <w:rsid w:val="00EC7FDE"/>
    <w:rsid w:val="00ED021B"/>
    <w:rsid w:val="00ED03CE"/>
    <w:rsid w:val="00ED0495"/>
    <w:rsid w:val="00ED1DDC"/>
    <w:rsid w:val="00ED1F26"/>
    <w:rsid w:val="00ED2AE4"/>
    <w:rsid w:val="00ED2F74"/>
    <w:rsid w:val="00ED3153"/>
    <w:rsid w:val="00ED33EF"/>
    <w:rsid w:val="00ED3502"/>
    <w:rsid w:val="00ED3891"/>
    <w:rsid w:val="00ED3A2B"/>
    <w:rsid w:val="00ED4CAC"/>
    <w:rsid w:val="00ED5B94"/>
    <w:rsid w:val="00ED6910"/>
    <w:rsid w:val="00ED7835"/>
    <w:rsid w:val="00ED7A2E"/>
    <w:rsid w:val="00EE025F"/>
    <w:rsid w:val="00EE029B"/>
    <w:rsid w:val="00EE0C30"/>
    <w:rsid w:val="00EE121D"/>
    <w:rsid w:val="00EE18B3"/>
    <w:rsid w:val="00EE1A64"/>
    <w:rsid w:val="00EE1B41"/>
    <w:rsid w:val="00EE1DF8"/>
    <w:rsid w:val="00EE1DF9"/>
    <w:rsid w:val="00EE21C8"/>
    <w:rsid w:val="00EE250A"/>
    <w:rsid w:val="00EE2520"/>
    <w:rsid w:val="00EE26B9"/>
    <w:rsid w:val="00EE3059"/>
    <w:rsid w:val="00EE355A"/>
    <w:rsid w:val="00EE3661"/>
    <w:rsid w:val="00EE3898"/>
    <w:rsid w:val="00EE54F1"/>
    <w:rsid w:val="00EE5553"/>
    <w:rsid w:val="00EE5A1C"/>
    <w:rsid w:val="00EE5B60"/>
    <w:rsid w:val="00EE61EE"/>
    <w:rsid w:val="00EE6422"/>
    <w:rsid w:val="00EE77F1"/>
    <w:rsid w:val="00EF018D"/>
    <w:rsid w:val="00EF0512"/>
    <w:rsid w:val="00EF06F1"/>
    <w:rsid w:val="00EF0F25"/>
    <w:rsid w:val="00EF214C"/>
    <w:rsid w:val="00EF27C3"/>
    <w:rsid w:val="00EF28A6"/>
    <w:rsid w:val="00EF28C1"/>
    <w:rsid w:val="00EF2FBF"/>
    <w:rsid w:val="00EF3356"/>
    <w:rsid w:val="00EF3BF7"/>
    <w:rsid w:val="00EF59DE"/>
    <w:rsid w:val="00F0022E"/>
    <w:rsid w:val="00F005D0"/>
    <w:rsid w:val="00F00DD1"/>
    <w:rsid w:val="00F00E2C"/>
    <w:rsid w:val="00F01A36"/>
    <w:rsid w:val="00F02160"/>
    <w:rsid w:val="00F024E3"/>
    <w:rsid w:val="00F028FD"/>
    <w:rsid w:val="00F02D60"/>
    <w:rsid w:val="00F03592"/>
    <w:rsid w:val="00F03A8F"/>
    <w:rsid w:val="00F04D66"/>
    <w:rsid w:val="00F056A6"/>
    <w:rsid w:val="00F058F3"/>
    <w:rsid w:val="00F06293"/>
    <w:rsid w:val="00F06D60"/>
    <w:rsid w:val="00F07950"/>
    <w:rsid w:val="00F11544"/>
    <w:rsid w:val="00F11B5F"/>
    <w:rsid w:val="00F11D2C"/>
    <w:rsid w:val="00F12767"/>
    <w:rsid w:val="00F12AB4"/>
    <w:rsid w:val="00F13178"/>
    <w:rsid w:val="00F13CA0"/>
    <w:rsid w:val="00F14046"/>
    <w:rsid w:val="00F1433E"/>
    <w:rsid w:val="00F14DFE"/>
    <w:rsid w:val="00F14E0D"/>
    <w:rsid w:val="00F151F3"/>
    <w:rsid w:val="00F15EAF"/>
    <w:rsid w:val="00F1634D"/>
    <w:rsid w:val="00F1637C"/>
    <w:rsid w:val="00F167B4"/>
    <w:rsid w:val="00F16FE7"/>
    <w:rsid w:val="00F203BA"/>
    <w:rsid w:val="00F211B6"/>
    <w:rsid w:val="00F212FA"/>
    <w:rsid w:val="00F2147A"/>
    <w:rsid w:val="00F21B55"/>
    <w:rsid w:val="00F228DB"/>
    <w:rsid w:val="00F22D68"/>
    <w:rsid w:val="00F230CF"/>
    <w:rsid w:val="00F24095"/>
    <w:rsid w:val="00F2506F"/>
    <w:rsid w:val="00F25255"/>
    <w:rsid w:val="00F2557C"/>
    <w:rsid w:val="00F255C0"/>
    <w:rsid w:val="00F25D0B"/>
    <w:rsid w:val="00F25D57"/>
    <w:rsid w:val="00F25D8F"/>
    <w:rsid w:val="00F25FC8"/>
    <w:rsid w:val="00F26059"/>
    <w:rsid w:val="00F273BA"/>
    <w:rsid w:val="00F276EB"/>
    <w:rsid w:val="00F27E0D"/>
    <w:rsid w:val="00F30A2B"/>
    <w:rsid w:val="00F30EF9"/>
    <w:rsid w:val="00F31576"/>
    <w:rsid w:val="00F31672"/>
    <w:rsid w:val="00F319BC"/>
    <w:rsid w:val="00F31F0F"/>
    <w:rsid w:val="00F3226F"/>
    <w:rsid w:val="00F323CE"/>
    <w:rsid w:val="00F32A0A"/>
    <w:rsid w:val="00F32CAB"/>
    <w:rsid w:val="00F33C96"/>
    <w:rsid w:val="00F3461E"/>
    <w:rsid w:val="00F35436"/>
    <w:rsid w:val="00F35A84"/>
    <w:rsid w:val="00F3626D"/>
    <w:rsid w:val="00F36A13"/>
    <w:rsid w:val="00F371D6"/>
    <w:rsid w:val="00F37A0E"/>
    <w:rsid w:val="00F400E9"/>
    <w:rsid w:val="00F4025C"/>
    <w:rsid w:val="00F402B3"/>
    <w:rsid w:val="00F40403"/>
    <w:rsid w:val="00F40648"/>
    <w:rsid w:val="00F40708"/>
    <w:rsid w:val="00F40833"/>
    <w:rsid w:val="00F40929"/>
    <w:rsid w:val="00F41010"/>
    <w:rsid w:val="00F410B4"/>
    <w:rsid w:val="00F410CA"/>
    <w:rsid w:val="00F41E91"/>
    <w:rsid w:val="00F41FEA"/>
    <w:rsid w:val="00F42091"/>
    <w:rsid w:val="00F431AC"/>
    <w:rsid w:val="00F437CB"/>
    <w:rsid w:val="00F439E9"/>
    <w:rsid w:val="00F43A93"/>
    <w:rsid w:val="00F441B0"/>
    <w:rsid w:val="00F45096"/>
    <w:rsid w:val="00F46A0F"/>
    <w:rsid w:val="00F47935"/>
    <w:rsid w:val="00F4797E"/>
    <w:rsid w:val="00F47F79"/>
    <w:rsid w:val="00F47F92"/>
    <w:rsid w:val="00F50159"/>
    <w:rsid w:val="00F50C56"/>
    <w:rsid w:val="00F50E1A"/>
    <w:rsid w:val="00F50F5E"/>
    <w:rsid w:val="00F51886"/>
    <w:rsid w:val="00F524BA"/>
    <w:rsid w:val="00F533F6"/>
    <w:rsid w:val="00F5481B"/>
    <w:rsid w:val="00F55D63"/>
    <w:rsid w:val="00F569B0"/>
    <w:rsid w:val="00F56A76"/>
    <w:rsid w:val="00F56CA0"/>
    <w:rsid w:val="00F570AB"/>
    <w:rsid w:val="00F57521"/>
    <w:rsid w:val="00F575EB"/>
    <w:rsid w:val="00F5785E"/>
    <w:rsid w:val="00F6063A"/>
    <w:rsid w:val="00F60736"/>
    <w:rsid w:val="00F60850"/>
    <w:rsid w:val="00F60ADA"/>
    <w:rsid w:val="00F61648"/>
    <w:rsid w:val="00F617FD"/>
    <w:rsid w:val="00F61880"/>
    <w:rsid w:val="00F6188A"/>
    <w:rsid w:val="00F619E8"/>
    <w:rsid w:val="00F61AA3"/>
    <w:rsid w:val="00F62BAD"/>
    <w:rsid w:val="00F62F46"/>
    <w:rsid w:val="00F6335B"/>
    <w:rsid w:val="00F639F3"/>
    <w:rsid w:val="00F64568"/>
    <w:rsid w:val="00F648C9"/>
    <w:rsid w:val="00F64951"/>
    <w:rsid w:val="00F64BA4"/>
    <w:rsid w:val="00F64C66"/>
    <w:rsid w:val="00F65122"/>
    <w:rsid w:val="00F65323"/>
    <w:rsid w:val="00F65DC6"/>
    <w:rsid w:val="00F6609C"/>
    <w:rsid w:val="00F66A9C"/>
    <w:rsid w:val="00F66AE2"/>
    <w:rsid w:val="00F671F3"/>
    <w:rsid w:val="00F67D83"/>
    <w:rsid w:val="00F67D9C"/>
    <w:rsid w:val="00F67F4D"/>
    <w:rsid w:val="00F70A41"/>
    <w:rsid w:val="00F70CF1"/>
    <w:rsid w:val="00F718B1"/>
    <w:rsid w:val="00F71AF6"/>
    <w:rsid w:val="00F71E31"/>
    <w:rsid w:val="00F71EB2"/>
    <w:rsid w:val="00F726A8"/>
    <w:rsid w:val="00F72FC9"/>
    <w:rsid w:val="00F743F6"/>
    <w:rsid w:val="00F7477E"/>
    <w:rsid w:val="00F752E2"/>
    <w:rsid w:val="00F75893"/>
    <w:rsid w:val="00F75C19"/>
    <w:rsid w:val="00F7631E"/>
    <w:rsid w:val="00F763A2"/>
    <w:rsid w:val="00F7680E"/>
    <w:rsid w:val="00F76848"/>
    <w:rsid w:val="00F76F23"/>
    <w:rsid w:val="00F76FCF"/>
    <w:rsid w:val="00F774F8"/>
    <w:rsid w:val="00F778C9"/>
    <w:rsid w:val="00F80115"/>
    <w:rsid w:val="00F8021A"/>
    <w:rsid w:val="00F80527"/>
    <w:rsid w:val="00F80988"/>
    <w:rsid w:val="00F810D8"/>
    <w:rsid w:val="00F814FD"/>
    <w:rsid w:val="00F8158F"/>
    <w:rsid w:val="00F81CBC"/>
    <w:rsid w:val="00F81F83"/>
    <w:rsid w:val="00F820F7"/>
    <w:rsid w:val="00F82230"/>
    <w:rsid w:val="00F826C0"/>
    <w:rsid w:val="00F8335B"/>
    <w:rsid w:val="00F83D54"/>
    <w:rsid w:val="00F8413A"/>
    <w:rsid w:val="00F84E42"/>
    <w:rsid w:val="00F85C12"/>
    <w:rsid w:val="00F85C7F"/>
    <w:rsid w:val="00F86699"/>
    <w:rsid w:val="00F86780"/>
    <w:rsid w:val="00F87407"/>
    <w:rsid w:val="00F87AD8"/>
    <w:rsid w:val="00F90758"/>
    <w:rsid w:val="00F90BE0"/>
    <w:rsid w:val="00F90C05"/>
    <w:rsid w:val="00F90CDA"/>
    <w:rsid w:val="00F91527"/>
    <w:rsid w:val="00F9213D"/>
    <w:rsid w:val="00F92216"/>
    <w:rsid w:val="00F9307C"/>
    <w:rsid w:val="00F93754"/>
    <w:rsid w:val="00F93C26"/>
    <w:rsid w:val="00F93E84"/>
    <w:rsid w:val="00F941E0"/>
    <w:rsid w:val="00F9429B"/>
    <w:rsid w:val="00F94800"/>
    <w:rsid w:val="00F94A2A"/>
    <w:rsid w:val="00F95016"/>
    <w:rsid w:val="00F9537D"/>
    <w:rsid w:val="00F956E7"/>
    <w:rsid w:val="00F96C0E"/>
    <w:rsid w:val="00F96C14"/>
    <w:rsid w:val="00F96CDC"/>
    <w:rsid w:val="00F97B35"/>
    <w:rsid w:val="00F97D83"/>
    <w:rsid w:val="00FA0E7C"/>
    <w:rsid w:val="00FA16BE"/>
    <w:rsid w:val="00FA1D41"/>
    <w:rsid w:val="00FA1FCD"/>
    <w:rsid w:val="00FA24C8"/>
    <w:rsid w:val="00FA2AE6"/>
    <w:rsid w:val="00FA3867"/>
    <w:rsid w:val="00FA41FE"/>
    <w:rsid w:val="00FA4D7F"/>
    <w:rsid w:val="00FA51AD"/>
    <w:rsid w:val="00FA51D9"/>
    <w:rsid w:val="00FA578D"/>
    <w:rsid w:val="00FA59C5"/>
    <w:rsid w:val="00FA5B98"/>
    <w:rsid w:val="00FA6285"/>
    <w:rsid w:val="00FA6DE6"/>
    <w:rsid w:val="00FA732E"/>
    <w:rsid w:val="00FA7A44"/>
    <w:rsid w:val="00FB18FF"/>
    <w:rsid w:val="00FB1D04"/>
    <w:rsid w:val="00FB2D8D"/>
    <w:rsid w:val="00FB318C"/>
    <w:rsid w:val="00FB352A"/>
    <w:rsid w:val="00FB3787"/>
    <w:rsid w:val="00FB3831"/>
    <w:rsid w:val="00FB397C"/>
    <w:rsid w:val="00FB4807"/>
    <w:rsid w:val="00FB4BCC"/>
    <w:rsid w:val="00FB52F8"/>
    <w:rsid w:val="00FB5510"/>
    <w:rsid w:val="00FB5650"/>
    <w:rsid w:val="00FB6316"/>
    <w:rsid w:val="00FB6746"/>
    <w:rsid w:val="00FB6A9A"/>
    <w:rsid w:val="00FB6BEB"/>
    <w:rsid w:val="00FB6C0C"/>
    <w:rsid w:val="00FB6F47"/>
    <w:rsid w:val="00FB7842"/>
    <w:rsid w:val="00FC0661"/>
    <w:rsid w:val="00FC18F3"/>
    <w:rsid w:val="00FC19F2"/>
    <w:rsid w:val="00FC219D"/>
    <w:rsid w:val="00FC28E2"/>
    <w:rsid w:val="00FC4717"/>
    <w:rsid w:val="00FC491B"/>
    <w:rsid w:val="00FC5C42"/>
    <w:rsid w:val="00FC5E0A"/>
    <w:rsid w:val="00FC5E97"/>
    <w:rsid w:val="00FC642C"/>
    <w:rsid w:val="00FC6926"/>
    <w:rsid w:val="00FC74AE"/>
    <w:rsid w:val="00FC7B2E"/>
    <w:rsid w:val="00FC7BAF"/>
    <w:rsid w:val="00FC7D15"/>
    <w:rsid w:val="00FD00F4"/>
    <w:rsid w:val="00FD093A"/>
    <w:rsid w:val="00FD1355"/>
    <w:rsid w:val="00FD15CC"/>
    <w:rsid w:val="00FD230A"/>
    <w:rsid w:val="00FD276F"/>
    <w:rsid w:val="00FD2BC3"/>
    <w:rsid w:val="00FD319C"/>
    <w:rsid w:val="00FD3C46"/>
    <w:rsid w:val="00FD3C87"/>
    <w:rsid w:val="00FD3E76"/>
    <w:rsid w:val="00FD41BF"/>
    <w:rsid w:val="00FD41E0"/>
    <w:rsid w:val="00FD4E17"/>
    <w:rsid w:val="00FD5185"/>
    <w:rsid w:val="00FD573D"/>
    <w:rsid w:val="00FD5CC3"/>
    <w:rsid w:val="00FD65EA"/>
    <w:rsid w:val="00FD678F"/>
    <w:rsid w:val="00FD6B04"/>
    <w:rsid w:val="00FD73D2"/>
    <w:rsid w:val="00FD740F"/>
    <w:rsid w:val="00FD7CDB"/>
    <w:rsid w:val="00FE0725"/>
    <w:rsid w:val="00FE1383"/>
    <w:rsid w:val="00FE188B"/>
    <w:rsid w:val="00FE195A"/>
    <w:rsid w:val="00FE1AA6"/>
    <w:rsid w:val="00FE218B"/>
    <w:rsid w:val="00FE26A2"/>
    <w:rsid w:val="00FE3B7A"/>
    <w:rsid w:val="00FE4CCB"/>
    <w:rsid w:val="00FE60D2"/>
    <w:rsid w:val="00FE683C"/>
    <w:rsid w:val="00FE694D"/>
    <w:rsid w:val="00FE6DFC"/>
    <w:rsid w:val="00FE7714"/>
    <w:rsid w:val="00FF0573"/>
    <w:rsid w:val="00FF0B06"/>
    <w:rsid w:val="00FF0E55"/>
    <w:rsid w:val="00FF108A"/>
    <w:rsid w:val="00FF177B"/>
    <w:rsid w:val="00FF1798"/>
    <w:rsid w:val="00FF1D61"/>
    <w:rsid w:val="00FF32D5"/>
    <w:rsid w:val="00FF4D21"/>
    <w:rsid w:val="00FF527E"/>
    <w:rsid w:val="00FF727D"/>
    <w:rsid w:val="00FF7BAC"/>
    <w:rsid w:val="159D5745"/>
    <w:rsid w:val="4AAE4630"/>
    <w:rsid w:val="58D827C2"/>
    <w:rsid w:val="747A5B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D82F7"/>
  <w15:docId w15:val="{D7EC3C56-2423-4C9A-BBA9-3B196C63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2E5A" w:themeColor="text1"/>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BodyText"/>
    <w:qFormat/>
    <w:rsid w:val="003F386A"/>
    <w:pPr>
      <w:spacing w:before="120" w:after="0" w:line="264" w:lineRule="auto"/>
      <w:jc w:val="both"/>
    </w:pPr>
    <w:rPr>
      <w:rFonts w:ascii="Source Sans Pro" w:hAnsi="Source Sans Pro"/>
      <w:sz w:val="22"/>
      <w:lang w:val="en-US"/>
    </w:rPr>
  </w:style>
  <w:style w:type="paragraph" w:styleId="Titolo1">
    <w:name w:val="heading 1"/>
    <w:aliases w:val="~SectionHeading,Titolo pagine interne"/>
    <w:basedOn w:val="SecHeadNonToc"/>
    <w:next w:val="Normale"/>
    <w:link w:val="Titolo1Carattere"/>
    <w:uiPriority w:val="9"/>
    <w:qFormat/>
    <w:rsid w:val="00103E88"/>
    <w:pPr>
      <w:spacing w:before="0"/>
      <w:outlineLvl w:val="0"/>
    </w:pPr>
  </w:style>
  <w:style w:type="paragraph" w:styleId="Titolo2">
    <w:name w:val="heading 2"/>
    <w:aliases w:val="~SubHeading,pag interna"/>
    <w:basedOn w:val="ExecSumSubHead"/>
    <w:next w:val="Normale"/>
    <w:link w:val="Titolo2Carattere"/>
    <w:uiPriority w:val="9"/>
    <w:unhideWhenUsed/>
    <w:qFormat/>
    <w:rsid w:val="00361227"/>
    <w:rPr>
      <w:szCs w:val="40"/>
    </w:rPr>
  </w:style>
  <w:style w:type="paragraph" w:styleId="Titolo3">
    <w:name w:val="heading 3"/>
    <w:aliases w:val="~MinorSubHeading"/>
    <w:basedOn w:val="Titolo2"/>
    <w:next w:val="Normale"/>
    <w:link w:val="Titolo3Carattere"/>
    <w:uiPriority w:val="9"/>
    <w:unhideWhenUsed/>
    <w:qFormat/>
    <w:rsid w:val="00F273BA"/>
    <w:pPr>
      <w:numPr>
        <w:ilvl w:val="2"/>
      </w:numPr>
      <w:outlineLvl w:val="2"/>
    </w:pPr>
    <w:rPr>
      <w:sz w:val="32"/>
    </w:rPr>
  </w:style>
  <w:style w:type="paragraph" w:styleId="Titolo4">
    <w:name w:val="heading 4"/>
    <w:aliases w:val="~Level4Heading"/>
    <w:basedOn w:val="Titolo3"/>
    <w:next w:val="Normale"/>
    <w:link w:val="Titolo4Carattere"/>
    <w:uiPriority w:val="9"/>
    <w:unhideWhenUsed/>
    <w:qFormat/>
    <w:rsid w:val="00707671"/>
    <w:pPr>
      <w:numPr>
        <w:ilvl w:val="3"/>
      </w:numPr>
      <w:outlineLvl w:val="3"/>
    </w:pPr>
    <w:rPr>
      <w:i/>
      <w:sz w:val="28"/>
    </w:rPr>
  </w:style>
  <w:style w:type="paragraph" w:styleId="Titolo5">
    <w:name w:val="heading 5"/>
    <w:aliases w:val="~Level5Heading"/>
    <w:basedOn w:val="Titolo4"/>
    <w:next w:val="Normale"/>
    <w:link w:val="Titolo5Carattere"/>
    <w:uiPriority w:val="9"/>
    <w:unhideWhenUsed/>
    <w:qFormat/>
    <w:rsid w:val="00F273BA"/>
    <w:pPr>
      <w:keepLines/>
      <w:numPr>
        <w:ilvl w:val="4"/>
      </w:numPr>
      <w:spacing w:before="200"/>
      <w:outlineLvl w:val="4"/>
    </w:pPr>
    <w:rPr>
      <w:sz w:val="24"/>
    </w:rPr>
  </w:style>
  <w:style w:type="paragraph" w:styleId="Titolo6">
    <w:name w:val="heading 6"/>
    <w:basedOn w:val="Normale"/>
    <w:next w:val="Normale"/>
    <w:link w:val="Titolo6Carattere"/>
    <w:uiPriority w:val="9"/>
    <w:semiHidden/>
    <w:unhideWhenUsed/>
    <w:qFormat/>
    <w:rsid w:val="00F273BA"/>
    <w:pPr>
      <w:keepNext/>
      <w:keepLines/>
      <w:spacing w:before="200"/>
      <w:outlineLvl w:val="5"/>
    </w:pPr>
    <w:rPr>
      <w:rFonts w:asciiTheme="majorHAnsi" w:eastAsiaTheme="majorEastAsia" w:hAnsiTheme="majorHAnsi" w:cstheme="majorBidi"/>
      <w:i/>
      <w:iCs/>
      <w:color w:val="auto"/>
    </w:rPr>
  </w:style>
  <w:style w:type="paragraph" w:styleId="Titolo7">
    <w:name w:val="heading 7"/>
    <w:basedOn w:val="Normale"/>
    <w:next w:val="Normale"/>
    <w:link w:val="Titolo7Carattere"/>
    <w:uiPriority w:val="9"/>
    <w:semiHidden/>
    <w:qFormat/>
    <w:rsid w:val="00D321AF"/>
    <w:pPr>
      <w:keepNext/>
      <w:keepLines/>
      <w:spacing w:before="200"/>
      <w:outlineLvl w:val="6"/>
    </w:pPr>
    <w:rPr>
      <w:rFonts w:asciiTheme="majorHAnsi" w:eastAsiaTheme="majorEastAsia" w:hAnsiTheme="majorHAnsi" w:cstheme="majorBidi"/>
      <w:i/>
      <w:iCs/>
      <w:color w:val="33A1AB" w:themeColor="accent2"/>
    </w:rPr>
  </w:style>
  <w:style w:type="paragraph" w:styleId="Titolo8">
    <w:name w:val="heading 8"/>
    <w:basedOn w:val="Normale"/>
    <w:next w:val="Normale"/>
    <w:link w:val="Titolo8Carattere"/>
    <w:uiPriority w:val="9"/>
    <w:semiHidden/>
    <w:qFormat/>
    <w:rsid w:val="00D321AF"/>
    <w:pPr>
      <w:keepNext/>
      <w:keepLines/>
      <w:spacing w:before="200"/>
      <w:outlineLvl w:val="7"/>
    </w:pPr>
    <w:rPr>
      <w:rFonts w:asciiTheme="majorHAnsi" w:eastAsiaTheme="majorEastAsia" w:hAnsiTheme="majorHAnsi" w:cstheme="majorBidi"/>
      <w:color w:val="33A1AB" w:themeColor="accent2"/>
    </w:rPr>
  </w:style>
  <w:style w:type="paragraph" w:styleId="Titolo9">
    <w:name w:val="heading 9"/>
    <w:basedOn w:val="Normale"/>
    <w:next w:val="Normale"/>
    <w:link w:val="Titolo9Carattere"/>
    <w:uiPriority w:val="9"/>
    <w:semiHidden/>
    <w:qFormat/>
    <w:rsid w:val="00D321AF"/>
    <w:pPr>
      <w:keepNext/>
      <w:keepLines/>
      <w:spacing w:before="200"/>
      <w:outlineLvl w:val="8"/>
    </w:pPr>
    <w:rPr>
      <w:rFonts w:asciiTheme="majorHAnsi" w:eastAsiaTheme="majorEastAsia" w:hAnsiTheme="majorHAnsi" w:cstheme="majorBidi"/>
      <w:i/>
      <w:iCs/>
      <w:color w:val="33A1AB" w:themeColor="accent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F273B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aliases w:val="~BaseStyle"/>
    <w:link w:val="NessunaspaziaturaCarattere"/>
    <w:uiPriority w:val="1"/>
    <w:qFormat/>
    <w:rsid w:val="00F273BA"/>
    <w:pPr>
      <w:spacing w:after="0" w:line="240" w:lineRule="auto"/>
    </w:pPr>
    <w:rPr>
      <w:lang w:val="en-US"/>
    </w:rPr>
  </w:style>
  <w:style w:type="paragraph" w:customStyle="1" w:styleId="DocType">
    <w:name w:val="~DocType"/>
    <w:basedOn w:val="Normale"/>
    <w:rsid w:val="00770C11"/>
    <w:pPr>
      <w:framePr w:wrap="around" w:vAnchor="page" w:hAnchor="page" w:x="852" w:y="10491"/>
      <w:spacing w:line="240" w:lineRule="auto"/>
    </w:pPr>
    <w:rPr>
      <w:color w:val="FFFFFF" w:themeColor="background1"/>
      <w:sz w:val="32"/>
    </w:rPr>
  </w:style>
  <w:style w:type="paragraph" w:customStyle="1" w:styleId="DocDate">
    <w:name w:val="~DocDate"/>
    <w:basedOn w:val="Nessunaspaziatura"/>
    <w:rsid w:val="00A30DDC"/>
    <w:pPr>
      <w:jc w:val="right"/>
    </w:pPr>
    <w:rPr>
      <w:rFonts w:ascii="Source Sans Pro" w:eastAsiaTheme="minorHAnsi" w:hAnsi="Source Sans Pro"/>
      <w:szCs w:val="18"/>
    </w:rPr>
  </w:style>
  <w:style w:type="paragraph" w:customStyle="1" w:styleId="DocTitle">
    <w:name w:val="~DocTitle"/>
    <w:basedOn w:val="Normale"/>
    <w:rsid w:val="00663115"/>
    <w:pPr>
      <w:framePr w:wrap="around" w:vAnchor="page" w:hAnchor="page" w:x="852" w:y="10491"/>
      <w:spacing w:line="240" w:lineRule="auto"/>
    </w:pPr>
    <w:rPr>
      <w:bCs/>
      <w:iCs/>
      <w:color w:val="FFFFFF" w:themeColor="background1"/>
      <w:sz w:val="56"/>
    </w:rPr>
  </w:style>
  <w:style w:type="paragraph" w:customStyle="1" w:styleId="DocSubTitle">
    <w:name w:val="~DocSubTitle"/>
    <w:basedOn w:val="Normale"/>
    <w:rsid w:val="00033E5C"/>
    <w:pPr>
      <w:framePr w:wrap="around" w:vAnchor="page" w:hAnchor="page" w:x="852" w:y="10491"/>
      <w:spacing w:line="240" w:lineRule="auto"/>
      <w:contextualSpacing/>
    </w:pPr>
    <w:rPr>
      <w:color w:val="33A1AB" w:themeColor="accent2"/>
      <w:sz w:val="38"/>
    </w:rPr>
  </w:style>
  <w:style w:type="paragraph" w:customStyle="1" w:styleId="DocClient">
    <w:name w:val="~DocClient"/>
    <w:basedOn w:val="Nessunaspaziatura"/>
    <w:rsid w:val="00A13FE2"/>
    <w:rPr>
      <w:rFonts w:ascii="Source Sans Pro" w:eastAsiaTheme="minorHAnsi" w:hAnsi="Source Sans Pro"/>
      <w:color w:val="FFFFFF" w:themeColor="background1"/>
      <w:szCs w:val="18"/>
    </w:rPr>
  </w:style>
  <w:style w:type="paragraph" w:customStyle="1" w:styleId="Confidential">
    <w:name w:val="~Confidential"/>
    <w:basedOn w:val="Nessunaspaziatura"/>
    <w:rsid w:val="00A76172"/>
    <w:pPr>
      <w:spacing w:after="60"/>
    </w:pPr>
    <w:rPr>
      <w:rFonts w:ascii="Source Sans Pro" w:eastAsiaTheme="minorHAnsi" w:hAnsi="Source Sans Pro"/>
      <w:color w:val="AEAEB4"/>
      <w:szCs w:val="18"/>
    </w:rPr>
  </w:style>
  <w:style w:type="paragraph" w:customStyle="1" w:styleId="Draft">
    <w:name w:val="~Draft"/>
    <w:basedOn w:val="Nessunaspaziatura"/>
    <w:rsid w:val="00DB147B"/>
    <w:pPr>
      <w:jc w:val="right"/>
    </w:pPr>
    <w:rPr>
      <w:rFonts w:ascii="Source Sans Pro" w:eastAsiaTheme="minorHAnsi" w:hAnsi="Source Sans Pro"/>
      <w:caps/>
      <w:color w:val="AEAEB4"/>
      <w:sz w:val="40"/>
      <w:szCs w:val="18"/>
    </w:rPr>
  </w:style>
  <w:style w:type="paragraph" w:customStyle="1" w:styleId="SecHeadNonToc">
    <w:name w:val="~SecHeadNonToc"/>
    <w:basedOn w:val="Nessunaspaziatura"/>
    <w:next w:val="Normale"/>
    <w:qFormat/>
    <w:rsid w:val="0027175E"/>
    <w:pPr>
      <w:keepNext/>
      <w:pageBreakBefore/>
      <w:spacing w:before="40" w:after="360"/>
    </w:pPr>
    <w:rPr>
      <w:rFonts w:ascii="Source Sans Pro" w:eastAsiaTheme="majorEastAsia" w:hAnsi="Source Sans Pro" w:cstheme="majorBidi"/>
      <w:color w:val="33A1AB" w:themeColor="accent2"/>
      <w:sz w:val="52"/>
      <w:szCs w:val="48"/>
    </w:rPr>
  </w:style>
  <w:style w:type="paragraph" w:customStyle="1" w:styleId="AppendixDivider">
    <w:name w:val="~AppendixDivider"/>
    <w:basedOn w:val="SecHeadNonToc"/>
    <w:next w:val="Normale"/>
    <w:rsid w:val="00103E88"/>
    <w:pPr>
      <w:keepNext w:val="0"/>
      <w:ind w:left="-1276"/>
      <w:outlineLvl w:val="0"/>
    </w:pPr>
    <w:rPr>
      <w:sz w:val="80"/>
    </w:rPr>
  </w:style>
  <w:style w:type="paragraph" w:customStyle="1" w:styleId="AppHead">
    <w:name w:val="~AppHead"/>
    <w:basedOn w:val="SecHeadNonToc"/>
    <w:next w:val="Normale"/>
    <w:qFormat/>
    <w:rsid w:val="002F4617"/>
    <w:pPr>
      <w:outlineLvl w:val="1"/>
    </w:pPr>
    <w:rPr>
      <w:bCs/>
      <w:color w:val="002E5A" w:themeColor="text1"/>
    </w:rPr>
  </w:style>
  <w:style w:type="paragraph" w:customStyle="1" w:styleId="AppSubHead">
    <w:name w:val="~AppSubHead"/>
    <w:basedOn w:val="AppHead"/>
    <w:next w:val="Normale"/>
    <w:qFormat/>
    <w:rsid w:val="002F4617"/>
    <w:pPr>
      <w:pageBreakBefore w:val="0"/>
      <w:numPr>
        <w:ilvl w:val="1"/>
      </w:numPr>
      <w:spacing w:before="240" w:after="240"/>
    </w:pPr>
    <w:rPr>
      <w:sz w:val="40"/>
    </w:rPr>
  </w:style>
  <w:style w:type="paragraph" w:customStyle="1" w:styleId="AppMinorSubHead">
    <w:name w:val="~AppMinorSubHead"/>
    <w:basedOn w:val="AppSubHead"/>
    <w:next w:val="Normale"/>
    <w:qFormat/>
    <w:rsid w:val="002F4617"/>
    <w:pPr>
      <w:numPr>
        <w:ilvl w:val="2"/>
      </w:numPr>
      <w:outlineLvl w:val="2"/>
    </w:pPr>
    <w:rPr>
      <w:sz w:val="32"/>
    </w:rPr>
  </w:style>
  <w:style w:type="paragraph" w:customStyle="1" w:styleId="BodyHeading">
    <w:name w:val="~BodyHeading"/>
    <w:basedOn w:val="Normale"/>
    <w:next w:val="Normale"/>
    <w:qFormat/>
    <w:rsid w:val="006000C4"/>
    <w:pPr>
      <w:keepNext/>
      <w:spacing w:before="240" w:after="120" w:line="240" w:lineRule="auto"/>
    </w:pPr>
    <w:rPr>
      <w:b/>
    </w:rPr>
  </w:style>
  <w:style w:type="paragraph" w:customStyle="1" w:styleId="Bullet1">
    <w:name w:val="~Bullet1"/>
    <w:basedOn w:val="Normale"/>
    <w:qFormat/>
    <w:rsid w:val="00C94B95"/>
    <w:pPr>
      <w:spacing w:before="60" w:after="60"/>
    </w:pPr>
  </w:style>
  <w:style w:type="paragraph" w:customStyle="1" w:styleId="Bullet2">
    <w:name w:val="~Bullet2"/>
    <w:basedOn w:val="Bullet1"/>
    <w:qFormat/>
    <w:rsid w:val="00C94B95"/>
    <w:pPr>
      <w:numPr>
        <w:numId w:val="15"/>
      </w:numPr>
      <w:ind w:left="680" w:hanging="323"/>
    </w:pPr>
  </w:style>
  <w:style w:type="paragraph" w:customStyle="1" w:styleId="Bullet3">
    <w:name w:val="~Bullet3"/>
    <w:basedOn w:val="Bullet2"/>
    <w:qFormat/>
    <w:rsid w:val="00935DE7"/>
    <w:pPr>
      <w:numPr>
        <w:numId w:val="16"/>
      </w:numPr>
      <w:ind w:left="1020" w:hanging="340"/>
    </w:pPr>
  </w:style>
  <w:style w:type="paragraph" w:styleId="Didascalia">
    <w:name w:val="caption"/>
    <w:aliases w:val="~Caption"/>
    <w:basedOn w:val="BodyHeading"/>
    <w:next w:val="Normale"/>
    <w:link w:val="DidascaliaCarattere"/>
    <w:uiPriority w:val="35"/>
    <w:qFormat/>
    <w:rsid w:val="00F273BA"/>
    <w:pPr>
      <w:spacing w:after="60"/>
    </w:pPr>
    <w:rPr>
      <w:rFonts w:cs="Arial"/>
      <w:sz w:val="18"/>
    </w:rPr>
  </w:style>
  <w:style w:type="paragraph" w:customStyle="1" w:styleId="CaptionWide">
    <w:name w:val="~CaptionWide"/>
    <w:basedOn w:val="Didascalia"/>
    <w:next w:val="Normale"/>
    <w:qFormat/>
    <w:rsid w:val="00361227"/>
    <w:pPr>
      <w:ind w:left="-1418"/>
    </w:pPr>
    <w:rPr>
      <w:b w:val="0"/>
      <w:bCs/>
    </w:rPr>
  </w:style>
  <w:style w:type="paragraph" w:customStyle="1" w:styleId="ExecSumHead">
    <w:name w:val="~ExecSumHead"/>
    <w:basedOn w:val="SecHeadNonToc"/>
    <w:next w:val="Normale"/>
    <w:qFormat/>
    <w:rsid w:val="0027175E"/>
    <w:pPr>
      <w:spacing w:before="0"/>
      <w:outlineLvl w:val="0"/>
    </w:pPr>
  </w:style>
  <w:style w:type="paragraph" w:customStyle="1" w:styleId="ExecSumSubHead">
    <w:name w:val="~ExecSumSubHead"/>
    <w:basedOn w:val="ExecSumHead"/>
    <w:next w:val="Normale"/>
    <w:qFormat/>
    <w:rsid w:val="00AF2903"/>
    <w:pPr>
      <w:pageBreakBefore w:val="0"/>
      <w:spacing w:before="240" w:after="240"/>
      <w:outlineLvl w:val="1"/>
    </w:pPr>
    <w:rPr>
      <w:color w:val="002E5A" w:themeColor="text1"/>
      <w:sz w:val="40"/>
      <w:szCs w:val="32"/>
    </w:rPr>
  </w:style>
  <w:style w:type="paragraph" w:customStyle="1" w:styleId="GraphicLeft">
    <w:name w:val="~GraphicLeft"/>
    <w:basedOn w:val="Nessunaspaziatura"/>
    <w:rsid w:val="00E65D5C"/>
    <w:pPr>
      <w:spacing w:before="120" w:after="60"/>
    </w:pPr>
    <w:rPr>
      <w:rFonts w:ascii="Source Sans Pro" w:hAnsi="Source Sans Pro"/>
    </w:rPr>
  </w:style>
  <w:style w:type="paragraph" w:customStyle="1" w:styleId="GraphicCentre">
    <w:name w:val="~GraphicCentre"/>
    <w:basedOn w:val="GraphicLeft"/>
    <w:qFormat/>
    <w:rsid w:val="005B24B9"/>
    <w:pPr>
      <w:jc w:val="center"/>
    </w:pPr>
  </w:style>
  <w:style w:type="paragraph" w:customStyle="1" w:styleId="GraphicRight">
    <w:name w:val="~GraphicRight"/>
    <w:basedOn w:val="GraphicLeft"/>
    <w:qFormat/>
    <w:rsid w:val="00F273BA"/>
    <w:pPr>
      <w:jc w:val="right"/>
    </w:pPr>
  </w:style>
  <w:style w:type="paragraph" w:customStyle="1" w:styleId="IntroText">
    <w:name w:val="~IntroText"/>
    <w:basedOn w:val="Normale"/>
    <w:next w:val="Normale"/>
    <w:qFormat/>
    <w:rsid w:val="00663115"/>
    <w:rPr>
      <w:sz w:val="24"/>
    </w:rPr>
  </w:style>
  <w:style w:type="paragraph" w:customStyle="1" w:styleId="NumBullet1">
    <w:name w:val="~NumBullet1"/>
    <w:basedOn w:val="Bullet1"/>
    <w:qFormat/>
    <w:rsid w:val="00F273BA"/>
    <w:pPr>
      <w:numPr>
        <w:numId w:val="2"/>
      </w:numPr>
    </w:pPr>
  </w:style>
  <w:style w:type="paragraph" w:customStyle="1" w:styleId="NumBullet2">
    <w:name w:val="~NumBullet2"/>
    <w:basedOn w:val="NumBullet1"/>
    <w:qFormat/>
    <w:rsid w:val="00F273BA"/>
    <w:pPr>
      <w:numPr>
        <w:ilvl w:val="1"/>
      </w:numPr>
    </w:pPr>
  </w:style>
  <w:style w:type="paragraph" w:customStyle="1" w:styleId="NumBullet3">
    <w:name w:val="~NumBullet3"/>
    <w:basedOn w:val="NumBullet2"/>
    <w:qFormat/>
    <w:rsid w:val="00140A64"/>
    <w:pPr>
      <w:numPr>
        <w:ilvl w:val="2"/>
      </w:numPr>
    </w:pPr>
  </w:style>
  <w:style w:type="paragraph" w:customStyle="1" w:styleId="Source">
    <w:name w:val="~Source"/>
    <w:basedOn w:val="Normale"/>
    <w:next w:val="Normale"/>
    <w:qFormat/>
    <w:rsid w:val="00663115"/>
    <w:pPr>
      <w:spacing w:before="60" w:after="120" w:line="240" w:lineRule="auto"/>
    </w:pPr>
    <w:rPr>
      <w:rFonts w:cs="Arial"/>
      <w:sz w:val="16"/>
    </w:rPr>
  </w:style>
  <w:style w:type="paragraph" w:customStyle="1" w:styleId="SourceWide">
    <w:name w:val="~SourceWide"/>
    <w:basedOn w:val="Source"/>
    <w:next w:val="Normale"/>
    <w:qFormat/>
    <w:rsid w:val="00F273BA"/>
    <w:pPr>
      <w:ind w:left="-284" w:hanging="1134"/>
    </w:pPr>
  </w:style>
  <w:style w:type="paragraph" w:customStyle="1" w:styleId="Spacer">
    <w:name w:val="~Spacer"/>
    <w:basedOn w:val="Nessunaspaziatura"/>
    <w:qFormat/>
    <w:rsid w:val="00F273BA"/>
    <w:rPr>
      <w:rFonts w:ascii="Arial" w:hAnsi="Arial"/>
      <w:sz w:val="2"/>
    </w:rPr>
  </w:style>
  <w:style w:type="paragraph" w:customStyle="1" w:styleId="TableTextLeft">
    <w:name w:val="~TableTextLeft"/>
    <w:basedOn w:val="Normale"/>
    <w:qFormat/>
    <w:rsid w:val="003E5A23"/>
    <w:pPr>
      <w:shd w:val="clear" w:color="auto" w:fill="FFFFFF"/>
      <w:spacing w:before="40" w:after="40" w:line="240" w:lineRule="auto"/>
      <w:jc w:val="left"/>
    </w:pPr>
    <w:rPr>
      <w:rFonts w:eastAsia="Times New Roman" w:cs="Open Sans"/>
      <w:color w:val="002E5A" w:themeColor="text2"/>
      <w:szCs w:val="22"/>
      <w:lang w:val="en-GB" w:eastAsia="en-GB"/>
    </w:rPr>
  </w:style>
  <w:style w:type="paragraph" w:customStyle="1" w:styleId="TableBullet1">
    <w:name w:val="~TableBullet1"/>
    <w:basedOn w:val="TableTextLeft"/>
    <w:qFormat/>
    <w:rsid w:val="00F8158F"/>
    <w:pPr>
      <w:numPr>
        <w:numId w:val="3"/>
      </w:numPr>
      <w:tabs>
        <w:tab w:val="left" w:pos="720"/>
      </w:tabs>
      <w:ind w:left="159" w:hanging="159"/>
    </w:pPr>
    <w:rPr>
      <w:bCs/>
      <w:szCs w:val="18"/>
    </w:rPr>
  </w:style>
  <w:style w:type="paragraph" w:customStyle="1" w:styleId="TableHeadingLeft">
    <w:name w:val="~TableHeadingLeft"/>
    <w:basedOn w:val="TableTextLeft"/>
    <w:qFormat/>
    <w:rsid w:val="00486FB8"/>
    <w:pPr>
      <w:keepNext/>
      <w:spacing w:line="264" w:lineRule="auto"/>
    </w:pPr>
    <w:rPr>
      <w:rFonts w:eastAsiaTheme="majorEastAsia" w:cstheme="majorBidi"/>
      <w:b/>
      <w:bCs/>
      <w:color w:val="33A1AB" w:themeColor="accent2"/>
      <w:szCs w:val="18"/>
    </w:rPr>
  </w:style>
  <w:style w:type="paragraph" w:customStyle="1" w:styleId="TableHeadingCentre">
    <w:name w:val="~TableHeadingCentre"/>
    <w:basedOn w:val="TableHeadingLeft"/>
    <w:qFormat/>
    <w:rsid w:val="00486FB8"/>
    <w:pPr>
      <w:jc w:val="center"/>
    </w:pPr>
  </w:style>
  <w:style w:type="paragraph" w:customStyle="1" w:styleId="TableHeadingRight">
    <w:name w:val="~TableHeadingRight"/>
    <w:basedOn w:val="TableHeadingLeft"/>
    <w:qFormat/>
    <w:rsid w:val="00486FB8"/>
    <w:pPr>
      <w:jc w:val="right"/>
    </w:pPr>
  </w:style>
  <w:style w:type="table" w:customStyle="1" w:styleId="IonTrading">
    <w:name w:val="~IonTrading"/>
    <w:basedOn w:val="Tabellanormale"/>
    <w:uiPriority w:val="99"/>
    <w:qFormat/>
    <w:rsid w:val="00F273BA"/>
    <w:pPr>
      <w:spacing w:after="0" w:line="240" w:lineRule="auto"/>
    </w:pPr>
    <w:rPr>
      <w:rFonts w:ascii="Source Sans Pro" w:hAnsi="Source Sans Pro"/>
      <w:color w:val="001437"/>
      <w:lang w:val="en-US"/>
    </w:rPr>
    <w:tblPr>
      <w:tblBorders>
        <w:top w:val="single" w:sz="8" w:space="0" w:color="FFFFFF" w:themeColor="background2"/>
        <w:left w:val="single" w:sz="8" w:space="0" w:color="FFFFFF" w:themeColor="background2"/>
        <w:bottom w:val="single" w:sz="8" w:space="0" w:color="FFFFFF" w:themeColor="background2"/>
        <w:right w:val="single" w:sz="8" w:space="0" w:color="FFFFFF" w:themeColor="background2"/>
        <w:insideH w:val="single" w:sz="8" w:space="0" w:color="FFFFFF" w:themeColor="background2"/>
        <w:insideV w:val="single" w:sz="8" w:space="0" w:color="FFFFFF" w:themeColor="background2"/>
      </w:tblBorders>
    </w:tblPr>
    <w:tblStylePr w:type="firstRow">
      <w:rPr>
        <w:rFonts w:ascii="(none)" w:hAnsi="(none)"/>
        <w:color w:val="F0E8E1"/>
      </w:rPr>
      <w:tblPr/>
      <w:tcPr>
        <w:tcBorders>
          <w:top w:val="nil"/>
          <w:left w:val="single" w:sz="8" w:space="0" w:color="002E5A" w:themeColor="text2"/>
          <w:bottom w:val="single" w:sz="8" w:space="0" w:color="002E5A" w:themeColor="text2"/>
          <w:right w:val="single" w:sz="8" w:space="0" w:color="002E5A" w:themeColor="text2"/>
          <w:insideH w:val="nil"/>
          <w:insideV w:val="single" w:sz="8" w:space="0" w:color="F2F2F2" w:themeColor="background1" w:themeShade="F2"/>
          <w:tl2br w:val="nil"/>
          <w:tr2bl w:val="nil"/>
        </w:tcBorders>
        <w:shd w:val="clear" w:color="auto" w:fill="002E5A" w:themeFill="text2"/>
      </w:tcPr>
    </w:tblStylePr>
  </w:style>
  <w:style w:type="paragraph" w:customStyle="1" w:styleId="TableTextCentre">
    <w:name w:val="~TableTextCentre"/>
    <w:basedOn w:val="TableTextLeft"/>
    <w:qFormat/>
    <w:rsid w:val="00486FB8"/>
    <w:pPr>
      <w:jc w:val="center"/>
    </w:pPr>
  </w:style>
  <w:style w:type="paragraph" w:customStyle="1" w:styleId="TableTextRight">
    <w:name w:val="~TableTextRight"/>
    <w:basedOn w:val="TableTextLeft"/>
    <w:qFormat/>
    <w:rsid w:val="00486FB8"/>
    <w:pPr>
      <w:jc w:val="right"/>
    </w:pPr>
  </w:style>
  <w:style w:type="paragraph" w:customStyle="1" w:styleId="TableTotalLeft">
    <w:name w:val="~TableTotalLeft"/>
    <w:basedOn w:val="TableTextLeft"/>
    <w:semiHidden/>
    <w:qFormat/>
    <w:rsid w:val="00486FB8"/>
    <w:rPr>
      <w:b/>
    </w:rPr>
  </w:style>
  <w:style w:type="paragraph" w:customStyle="1" w:styleId="TableTotalCentre">
    <w:name w:val="~TableTotalCentre"/>
    <w:basedOn w:val="TableTotalLeft"/>
    <w:semiHidden/>
    <w:qFormat/>
    <w:rsid w:val="00486FB8"/>
    <w:pPr>
      <w:framePr w:wrap="around" w:vAnchor="page" w:hAnchor="margin" w:y="1135"/>
      <w:suppressOverlap/>
      <w:jc w:val="center"/>
    </w:pPr>
  </w:style>
  <w:style w:type="paragraph" w:customStyle="1" w:styleId="TableTotalRight">
    <w:name w:val="~TableTotalRight"/>
    <w:basedOn w:val="TableTotalLeft"/>
    <w:semiHidden/>
    <w:qFormat/>
    <w:rsid w:val="00486FB8"/>
    <w:pPr>
      <w:framePr w:wrap="around" w:vAnchor="page" w:hAnchor="margin" w:y="1135"/>
      <w:suppressOverlap/>
      <w:jc w:val="right"/>
    </w:pPr>
  </w:style>
  <w:style w:type="paragraph" w:styleId="Pidipagina">
    <w:name w:val="footer"/>
    <w:aliases w:val="~Footer"/>
    <w:basedOn w:val="Nessunaspaziatura"/>
    <w:link w:val="PidipaginaCarattere"/>
    <w:uiPriority w:val="99"/>
    <w:qFormat/>
    <w:rsid w:val="00F273BA"/>
    <w:rPr>
      <w:sz w:val="18"/>
    </w:rPr>
  </w:style>
  <w:style w:type="character" w:customStyle="1" w:styleId="PidipaginaCarattere">
    <w:name w:val="Piè di pagina Carattere"/>
    <w:aliases w:val="~Footer Carattere"/>
    <w:basedOn w:val="Carpredefinitoparagrafo"/>
    <w:link w:val="Pidipagina"/>
    <w:uiPriority w:val="99"/>
    <w:rsid w:val="00F273BA"/>
    <w:rPr>
      <w:sz w:val="18"/>
      <w:lang w:val="en-US"/>
    </w:rPr>
  </w:style>
  <w:style w:type="character" w:styleId="Rimandonotaapidipagina">
    <w:name w:val="footnote reference"/>
    <w:basedOn w:val="Carpredefinitoparagrafo"/>
    <w:uiPriority w:val="99"/>
    <w:rsid w:val="00F273BA"/>
    <w:rPr>
      <w:rFonts w:asciiTheme="minorHAnsi" w:hAnsiTheme="minorHAnsi"/>
      <w:vertAlign w:val="superscript"/>
      <w:lang w:val="en-US"/>
    </w:rPr>
  </w:style>
  <w:style w:type="paragraph" w:styleId="Testonotaapidipagina">
    <w:name w:val="footnote text"/>
    <w:aliases w:val="~FootnoteText"/>
    <w:basedOn w:val="Nessunaspaziatura"/>
    <w:link w:val="TestonotaapidipaginaCarattere"/>
    <w:uiPriority w:val="99"/>
    <w:rsid w:val="00F273BA"/>
    <w:pPr>
      <w:ind w:left="284" w:hanging="284"/>
    </w:pPr>
    <w:rPr>
      <w:rFonts w:ascii="Source Sans Pro" w:hAnsi="Source Sans Pro"/>
      <w:color w:val="001437"/>
      <w:sz w:val="18"/>
    </w:rPr>
  </w:style>
  <w:style w:type="character" w:customStyle="1" w:styleId="TestonotaapidipaginaCarattere">
    <w:name w:val="Testo nota a piè di pagina Carattere"/>
    <w:aliases w:val="~FootnoteText Carattere"/>
    <w:basedOn w:val="Carpredefinitoparagrafo"/>
    <w:link w:val="Testonotaapidipagina"/>
    <w:uiPriority w:val="99"/>
    <w:rsid w:val="00F273BA"/>
    <w:rPr>
      <w:rFonts w:ascii="Source Sans Pro" w:hAnsi="Source Sans Pro"/>
      <w:color w:val="001437"/>
      <w:sz w:val="18"/>
      <w:lang w:val="en-US"/>
    </w:rPr>
  </w:style>
  <w:style w:type="paragraph" w:styleId="Intestazione">
    <w:name w:val="header"/>
    <w:aliases w:val="~Header"/>
    <w:basedOn w:val="Nessunaspaziatura"/>
    <w:link w:val="IntestazioneCarattere"/>
    <w:uiPriority w:val="99"/>
    <w:qFormat/>
    <w:rsid w:val="00D411E6"/>
    <w:pPr>
      <w:spacing w:before="20"/>
    </w:pPr>
    <w:rPr>
      <w:rFonts w:ascii="Source Sans Pro" w:hAnsi="Source Sans Pro"/>
      <w:color w:val="002E5A" w:themeColor="text2"/>
      <w:sz w:val="14"/>
    </w:rPr>
  </w:style>
  <w:style w:type="character" w:customStyle="1" w:styleId="IntestazioneCarattere">
    <w:name w:val="Intestazione Carattere"/>
    <w:aliases w:val="~Header Carattere"/>
    <w:basedOn w:val="Carpredefinitoparagrafo"/>
    <w:link w:val="Intestazione"/>
    <w:uiPriority w:val="99"/>
    <w:rsid w:val="00D411E6"/>
    <w:rPr>
      <w:rFonts w:ascii="Source Sans Pro" w:hAnsi="Source Sans Pro"/>
      <w:color w:val="002E5A" w:themeColor="text2"/>
      <w:sz w:val="14"/>
      <w:lang w:val="en-US"/>
    </w:rPr>
  </w:style>
  <w:style w:type="character" w:customStyle="1" w:styleId="Titolo1Carattere">
    <w:name w:val="Titolo 1 Carattere"/>
    <w:aliases w:val="~SectionHeading Carattere,Titolo pagine interne Carattere"/>
    <w:basedOn w:val="Carpredefinitoparagrafo"/>
    <w:link w:val="Titolo1"/>
    <w:uiPriority w:val="9"/>
    <w:rsid w:val="00103E88"/>
    <w:rPr>
      <w:rFonts w:ascii="Source Sans Pro" w:eastAsiaTheme="majorEastAsia" w:hAnsi="Source Sans Pro" w:cstheme="majorBidi"/>
      <w:color w:val="33A1AB" w:themeColor="accent2"/>
      <w:sz w:val="52"/>
      <w:szCs w:val="48"/>
      <w:lang w:val="en-US"/>
    </w:rPr>
  </w:style>
  <w:style w:type="character" w:customStyle="1" w:styleId="Titolo2Carattere">
    <w:name w:val="Titolo 2 Carattere"/>
    <w:aliases w:val="~SubHeading Carattere,pag interna Carattere"/>
    <w:basedOn w:val="Carpredefinitoparagrafo"/>
    <w:link w:val="Titolo2"/>
    <w:uiPriority w:val="9"/>
    <w:rsid w:val="00361227"/>
    <w:rPr>
      <w:rFonts w:ascii="Source Sans Pro" w:eastAsiaTheme="majorEastAsia" w:hAnsi="Source Sans Pro" w:cstheme="majorBidi"/>
      <w:sz w:val="40"/>
      <w:szCs w:val="40"/>
      <w:lang w:val="en-US"/>
    </w:rPr>
  </w:style>
  <w:style w:type="character" w:customStyle="1" w:styleId="Titolo3Carattere">
    <w:name w:val="Titolo 3 Carattere"/>
    <w:aliases w:val="~MinorSubHeading Carattere"/>
    <w:basedOn w:val="Carpredefinitoparagrafo"/>
    <w:link w:val="Titolo3"/>
    <w:uiPriority w:val="9"/>
    <w:rsid w:val="00F273BA"/>
    <w:rPr>
      <w:rFonts w:ascii="Source Sans Pro SemiBold" w:eastAsiaTheme="majorEastAsia" w:hAnsi="Source Sans Pro SemiBold" w:cstheme="majorBidi"/>
      <w:sz w:val="32"/>
      <w:szCs w:val="40"/>
      <w:lang w:val="en-US"/>
    </w:rPr>
  </w:style>
  <w:style w:type="character" w:customStyle="1" w:styleId="Titolo4Carattere">
    <w:name w:val="Titolo 4 Carattere"/>
    <w:aliases w:val="~Level4Heading Carattere"/>
    <w:basedOn w:val="Carpredefinitoparagrafo"/>
    <w:link w:val="Titolo4"/>
    <w:uiPriority w:val="9"/>
    <w:rsid w:val="00707671"/>
    <w:rPr>
      <w:rFonts w:ascii="Arial" w:eastAsiaTheme="majorEastAsia" w:hAnsi="Arial" w:cstheme="majorBidi"/>
      <w:i/>
      <w:sz w:val="28"/>
      <w:szCs w:val="40"/>
      <w:lang w:val="en-US"/>
    </w:rPr>
  </w:style>
  <w:style w:type="paragraph" w:styleId="Sommario1">
    <w:name w:val="toc 1"/>
    <w:aliases w:val="~SectionHeadings"/>
    <w:basedOn w:val="Nessunaspaziatura"/>
    <w:next w:val="Normale"/>
    <w:uiPriority w:val="39"/>
    <w:rsid w:val="00D47720"/>
    <w:pPr>
      <w:tabs>
        <w:tab w:val="right" w:leader="dot" w:pos="8448"/>
      </w:tabs>
      <w:spacing w:before="180" w:after="60"/>
      <w:ind w:right="624"/>
    </w:pPr>
    <w:rPr>
      <w:rFonts w:ascii="Source Sans Pro" w:hAnsi="Source Sans Pro"/>
      <w:noProof/>
      <w:color w:val="33A1AB" w:themeColor="accent2"/>
    </w:rPr>
  </w:style>
  <w:style w:type="paragraph" w:styleId="Sommario2">
    <w:name w:val="toc 2"/>
    <w:aliases w:val="~SubHeadings"/>
    <w:basedOn w:val="Sommario1"/>
    <w:next w:val="Normale"/>
    <w:uiPriority w:val="39"/>
    <w:rsid w:val="00A87CBB"/>
    <w:pPr>
      <w:spacing w:before="0"/>
      <w:ind w:left="340"/>
    </w:pPr>
    <w:rPr>
      <w:color w:val="002E5A" w:themeColor="text2"/>
    </w:rPr>
  </w:style>
  <w:style w:type="paragraph" w:styleId="Sommario3">
    <w:name w:val="toc 3"/>
    <w:aliases w:val="~MinorSubheadings"/>
    <w:basedOn w:val="Sommario2"/>
    <w:next w:val="Normale"/>
    <w:uiPriority w:val="39"/>
    <w:rsid w:val="00A87CBB"/>
    <w:pPr>
      <w:ind w:left="964"/>
    </w:pPr>
  </w:style>
  <w:style w:type="paragraph" w:styleId="Sommario4">
    <w:name w:val="toc 4"/>
    <w:aliases w:val="~FourthHeadLevel"/>
    <w:basedOn w:val="Sommario3"/>
    <w:next w:val="Normale"/>
    <w:uiPriority w:val="39"/>
    <w:rsid w:val="00F35A84"/>
    <w:pPr>
      <w:tabs>
        <w:tab w:val="left" w:pos="2098"/>
      </w:tabs>
      <w:ind w:left="2098" w:hanging="794"/>
    </w:pPr>
  </w:style>
  <w:style w:type="paragraph" w:styleId="Sommario5">
    <w:name w:val="toc 5"/>
    <w:aliases w:val="~ExecSumHeading"/>
    <w:basedOn w:val="Sommario1"/>
    <w:next w:val="Normale"/>
    <w:uiPriority w:val="39"/>
    <w:rsid w:val="00F35A84"/>
    <w:pPr>
      <w:spacing w:before="0"/>
    </w:pPr>
  </w:style>
  <w:style w:type="paragraph" w:styleId="Sommario6">
    <w:name w:val="toc 6"/>
    <w:aliases w:val="~AppDivider"/>
    <w:basedOn w:val="Sommario1"/>
    <w:next w:val="Normale"/>
    <w:uiPriority w:val="39"/>
    <w:rsid w:val="00F35A84"/>
    <w:pPr>
      <w:tabs>
        <w:tab w:val="right" w:pos="9214"/>
      </w:tabs>
      <w:spacing w:before="240" w:after="120"/>
    </w:pPr>
    <w:rPr>
      <w:color w:val="7A7B7E"/>
      <w:sz w:val="28"/>
    </w:rPr>
  </w:style>
  <w:style w:type="paragraph" w:styleId="Sommario7">
    <w:name w:val="toc 7"/>
    <w:aliases w:val="~AppHeadings"/>
    <w:basedOn w:val="Sommario1"/>
    <w:next w:val="Normale"/>
    <w:uiPriority w:val="39"/>
    <w:rsid w:val="00F35A84"/>
    <w:pPr>
      <w:spacing w:before="60"/>
    </w:pPr>
  </w:style>
  <w:style w:type="paragraph" w:styleId="Sommario8">
    <w:name w:val="toc 8"/>
    <w:aliases w:val="~AppSubHeadings"/>
    <w:basedOn w:val="Sommario2"/>
    <w:next w:val="Normale"/>
    <w:uiPriority w:val="39"/>
    <w:rsid w:val="00F35A84"/>
  </w:style>
  <w:style w:type="character" w:customStyle="1" w:styleId="DidascaliaCarattere">
    <w:name w:val="Didascalia Carattere"/>
    <w:aliases w:val="~Caption Carattere"/>
    <w:basedOn w:val="Carpredefinitoparagrafo"/>
    <w:link w:val="Didascalia"/>
    <w:rsid w:val="00F273BA"/>
    <w:rPr>
      <w:rFonts w:ascii="Source Sans Pro SemiBold" w:hAnsi="Source Sans Pro SemiBold" w:cs="Arial"/>
      <w:sz w:val="18"/>
      <w:lang w:val="en-US"/>
    </w:rPr>
  </w:style>
  <w:style w:type="paragraph" w:styleId="Paragrafoelenco">
    <w:name w:val="List Paragraph"/>
    <w:basedOn w:val="Normale"/>
    <w:link w:val="ParagrafoelencoCarattere"/>
    <w:uiPriority w:val="34"/>
    <w:qFormat/>
    <w:rsid w:val="00F273BA"/>
    <w:pPr>
      <w:ind w:left="720"/>
      <w:contextualSpacing/>
    </w:pPr>
  </w:style>
  <w:style w:type="paragraph" w:styleId="Testofumetto">
    <w:name w:val="Balloon Text"/>
    <w:basedOn w:val="Normale"/>
    <w:link w:val="TestofumettoCarattere"/>
    <w:uiPriority w:val="99"/>
    <w:semiHidden/>
    <w:unhideWhenUsed/>
    <w:rsid w:val="00F273BA"/>
    <w:pPr>
      <w:spacing w:before="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273BA"/>
    <w:rPr>
      <w:rFonts w:ascii="Tahoma" w:hAnsi="Tahoma" w:cs="Tahoma"/>
      <w:sz w:val="16"/>
      <w:szCs w:val="16"/>
      <w:lang w:val="en-US"/>
    </w:rPr>
  </w:style>
  <w:style w:type="paragraph" w:customStyle="1" w:styleId="KeyMsgBoxText">
    <w:name w:val="~KeyMsgBoxText"/>
    <w:basedOn w:val="Normale"/>
    <w:qFormat/>
    <w:rsid w:val="00F273BA"/>
    <w:pPr>
      <w:spacing w:before="0" w:after="120"/>
    </w:pPr>
  </w:style>
  <w:style w:type="paragraph" w:customStyle="1" w:styleId="KeyMsgBoxHead">
    <w:name w:val="~KeyMsgBoxHead"/>
    <w:basedOn w:val="KeyMsgBoxText"/>
    <w:qFormat/>
    <w:rsid w:val="00024547"/>
    <w:pPr>
      <w:keepNext/>
      <w:spacing w:before="120" w:after="60" w:line="240" w:lineRule="auto"/>
    </w:pPr>
    <w:rPr>
      <w:color w:val="33A1AB" w:themeColor="accent2"/>
      <w:sz w:val="24"/>
    </w:rPr>
  </w:style>
  <w:style w:type="paragraph" w:customStyle="1" w:styleId="QuoteBoxText">
    <w:name w:val="~QuoteBoxText"/>
    <w:basedOn w:val="Normale"/>
    <w:qFormat/>
    <w:rsid w:val="00F273BA"/>
    <w:pPr>
      <w:keepNext/>
      <w:spacing w:before="0"/>
    </w:pPr>
  </w:style>
  <w:style w:type="table" w:customStyle="1" w:styleId="NormalTable0">
    <w:name w:val="Normal Table0"/>
    <w:basedOn w:val="Tabellanormale"/>
    <w:semiHidden/>
    <w:rsid w:val="00486FB8"/>
    <w:pPr>
      <w:spacing w:after="0" w:line="240" w:lineRule="auto"/>
    </w:pPr>
    <w:rPr>
      <w:lang w:val="en-US"/>
    </w:rPr>
    <w:tblPr/>
  </w:style>
  <w:style w:type="paragraph" w:styleId="Titolosommario">
    <w:name w:val="TOC Heading"/>
    <w:basedOn w:val="Titolo1"/>
    <w:next w:val="Normale"/>
    <w:uiPriority w:val="39"/>
    <w:qFormat/>
    <w:rsid w:val="00F273BA"/>
    <w:pPr>
      <w:keepLines/>
      <w:spacing w:before="480" w:after="0" w:line="264" w:lineRule="auto"/>
      <w:jc w:val="both"/>
      <w:outlineLvl w:val="9"/>
    </w:pPr>
    <w:rPr>
      <w:bCs/>
      <w:color w:val="auto"/>
      <w:sz w:val="28"/>
      <w:szCs w:val="28"/>
    </w:rPr>
  </w:style>
  <w:style w:type="character" w:customStyle="1" w:styleId="Titolo5Carattere">
    <w:name w:val="Titolo 5 Carattere"/>
    <w:aliases w:val="~Level5Heading Carattere"/>
    <w:basedOn w:val="Carpredefinitoparagrafo"/>
    <w:link w:val="Titolo5"/>
    <w:uiPriority w:val="9"/>
    <w:rsid w:val="00F273BA"/>
    <w:rPr>
      <w:rFonts w:ascii="Georgia" w:eastAsiaTheme="majorEastAsia" w:hAnsi="Georgia" w:cstheme="majorBidi"/>
      <w:i/>
      <w:sz w:val="24"/>
      <w:szCs w:val="40"/>
      <w:lang w:val="en-US"/>
    </w:rPr>
  </w:style>
  <w:style w:type="character" w:customStyle="1" w:styleId="Titolo6Carattere">
    <w:name w:val="Titolo 6 Carattere"/>
    <w:basedOn w:val="Carpredefinitoparagrafo"/>
    <w:link w:val="Titolo6"/>
    <w:uiPriority w:val="9"/>
    <w:semiHidden/>
    <w:rsid w:val="00F273BA"/>
    <w:rPr>
      <w:rFonts w:asciiTheme="majorHAnsi" w:eastAsiaTheme="majorEastAsia" w:hAnsiTheme="majorHAnsi" w:cstheme="majorBidi"/>
      <w:i/>
      <w:iCs/>
      <w:color w:val="auto"/>
      <w:sz w:val="22"/>
      <w:lang w:val="en-US"/>
    </w:rPr>
  </w:style>
  <w:style w:type="character" w:styleId="Collegamentoipertestuale">
    <w:name w:val="Hyperlink"/>
    <w:aliases w:val="~HyperLink"/>
    <w:basedOn w:val="Carpredefinitoparagrafo"/>
    <w:uiPriority w:val="99"/>
    <w:unhideWhenUsed/>
    <w:rsid w:val="004505DF"/>
    <w:rPr>
      <w:rFonts w:ascii="Source Sans Pro" w:hAnsi="Source Sans Pro"/>
      <w:color w:val="33A1AB" w:themeColor="accent2"/>
      <w:u w:val="single"/>
      <w:lang w:val="en-US"/>
    </w:rPr>
  </w:style>
  <w:style w:type="paragraph" w:customStyle="1" w:styleId="Hidden">
    <w:name w:val="~Hidden"/>
    <w:basedOn w:val="Nessunaspaziatura"/>
    <w:qFormat/>
    <w:rsid w:val="00F273BA"/>
    <w:pPr>
      <w:framePr w:wrap="around" w:vAnchor="page" w:hAnchor="page" w:xAlign="right" w:yAlign="bottom"/>
    </w:pPr>
    <w:rPr>
      <w:color w:val="C00000"/>
    </w:rPr>
  </w:style>
  <w:style w:type="character" w:styleId="Testosegnaposto">
    <w:name w:val="Placeholder Text"/>
    <w:basedOn w:val="Carpredefinitoparagrafo"/>
    <w:uiPriority w:val="99"/>
    <w:semiHidden/>
    <w:rsid w:val="00F273BA"/>
    <w:rPr>
      <w:color w:val="808080"/>
      <w:lang w:val="en-US"/>
    </w:rPr>
  </w:style>
  <w:style w:type="table" w:customStyle="1" w:styleId="TableClear">
    <w:name w:val="~TableClear"/>
    <w:basedOn w:val="Tabellanormale"/>
    <w:uiPriority w:val="99"/>
    <w:rsid w:val="00486FB8"/>
    <w:pPr>
      <w:spacing w:after="0" w:line="240" w:lineRule="auto"/>
    </w:pPr>
    <w:rPr>
      <w:lang w:val="en-US"/>
    </w:rPr>
    <w:tblPr/>
  </w:style>
  <w:style w:type="table" w:styleId="Sfondomedio2-Colore1">
    <w:name w:val="Medium Shading 2 Accent 1"/>
    <w:basedOn w:val="Tabellanormale"/>
    <w:uiPriority w:val="64"/>
    <w:rsid w:val="00F273BA"/>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80B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80B8" w:themeFill="accent1"/>
      </w:tcPr>
    </w:tblStylePr>
    <w:tblStylePr w:type="lastCol">
      <w:rPr>
        <w:b/>
        <w:bCs/>
        <w:color w:val="FFFFFF" w:themeColor="background1"/>
      </w:rPr>
      <w:tblPr/>
      <w:tcPr>
        <w:tcBorders>
          <w:left w:val="nil"/>
          <w:right w:val="nil"/>
          <w:insideH w:val="nil"/>
          <w:insideV w:val="nil"/>
        </w:tcBorders>
        <w:shd w:val="clear" w:color="auto" w:fill="5080B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Titolo7Carattere">
    <w:name w:val="Titolo 7 Carattere"/>
    <w:basedOn w:val="Carpredefinitoparagrafo"/>
    <w:link w:val="Titolo7"/>
    <w:uiPriority w:val="9"/>
    <w:semiHidden/>
    <w:rsid w:val="00D321AF"/>
    <w:rPr>
      <w:rFonts w:asciiTheme="majorHAnsi" w:eastAsiaTheme="majorEastAsia" w:hAnsiTheme="majorHAnsi" w:cstheme="majorBidi"/>
      <w:i/>
      <w:iCs/>
      <w:color w:val="33A1AB" w:themeColor="accent2"/>
      <w:sz w:val="22"/>
      <w:lang w:val="en-US"/>
    </w:rPr>
  </w:style>
  <w:style w:type="character" w:customStyle="1" w:styleId="Titolo8Carattere">
    <w:name w:val="Titolo 8 Carattere"/>
    <w:basedOn w:val="Carpredefinitoparagrafo"/>
    <w:link w:val="Titolo8"/>
    <w:uiPriority w:val="9"/>
    <w:semiHidden/>
    <w:rsid w:val="00D321AF"/>
    <w:rPr>
      <w:rFonts w:asciiTheme="majorHAnsi" w:eastAsiaTheme="majorEastAsia" w:hAnsiTheme="majorHAnsi" w:cstheme="majorBidi"/>
      <w:color w:val="33A1AB" w:themeColor="accent2"/>
      <w:sz w:val="22"/>
      <w:lang w:val="en-US"/>
    </w:rPr>
  </w:style>
  <w:style w:type="character" w:customStyle="1" w:styleId="Titolo9Carattere">
    <w:name w:val="Titolo 9 Carattere"/>
    <w:basedOn w:val="Carpredefinitoparagrafo"/>
    <w:link w:val="Titolo9"/>
    <w:uiPriority w:val="9"/>
    <w:semiHidden/>
    <w:rsid w:val="00D321AF"/>
    <w:rPr>
      <w:rFonts w:asciiTheme="majorHAnsi" w:eastAsiaTheme="majorEastAsia" w:hAnsiTheme="majorHAnsi" w:cstheme="majorBidi"/>
      <w:i/>
      <w:iCs/>
      <w:color w:val="33A1AB" w:themeColor="accent2"/>
      <w:sz w:val="22"/>
      <w:lang w:val="en-US"/>
    </w:rPr>
  </w:style>
  <w:style w:type="character" w:customStyle="1" w:styleId="NessunaspaziaturaCarattere">
    <w:name w:val="Nessuna spaziatura Carattere"/>
    <w:aliases w:val="~BaseStyle Carattere"/>
    <w:basedOn w:val="Carpredefinitoparagrafo"/>
    <w:link w:val="Nessunaspaziatura"/>
    <w:uiPriority w:val="1"/>
    <w:rsid w:val="00F273BA"/>
    <w:rPr>
      <w:lang w:val="en-US"/>
    </w:rPr>
  </w:style>
  <w:style w:type="paragraph" w:customStyle="1" w:styleId="BodyTextNum">
    <w:name w:val="~BodyTextNum"/>
    <w:basedOn w:val="Normale"/>
    <w:qFormat/>
    <w:rsid w:val="00F273BA"/>
    <w:pPr>
      <w:tabs>
        <w:tab w:val="left" w:pos="284"/>
      </w:tabs>
      <w:ind w:left="284" w:hanging="284"/>
    </w:pPr>
  </w:style>
  <w:style w:type="paragraph" w:styleId="Sommario9">
    <w:name w:val="toc 9"/>
    <w:basedOn w:val="Normale"/>
    <w:next w:val="Normale"/>
    <w:uiPriority w:val="39"/>
    <w:rsid w:val="00F35A84"/>
    <w:pPr>
      <w:spacing w:after="100"/>
      <w:ind w:left="1600"/>
    </w:pPr>
    <w:rPr>
      <w:color w:val="auto"/>
    </w:rPr>
  </w:style>
  <w:style w:type="character" w:styleId="Rimandocommento">
    <w:name w:val="annotation reference"/>
    <w:basedOn w:val="Carpredefinitoparagrafo"/>
    <w:uiPriority w:val="99"/>
    <w:semiHidden/>
    <w:unhideWhenUsed/>
    <w:rsid w:val="00F273BA"/>
    <w:rPr>
      <w:sz w:val="16"/>
      <w:szCs w:val="16"/>
      <w:lang w:val="en-US"/>
    </w:rPr>
  </w:style>
  <w:style w:type="paragraph" w:styleId="Testocommento">
    <w:name w:val="annotation text"/>
    <w:basedOn w:val="Normale"/>
    <w:link w:val="TestocommentoCarattere"/>
    <w:uiPriority w:val="99"/>
    <w:unhideWhenUsed/>
    <w:rsid w:val="00F273BA"/>
    <w:pPr>
      <w:spacing w:line="240" w:lineRule="auto"/>
    </w:pPr>
    <w:rPr>
      <w:color w:val="auto"/>
    </w:rPr>
  </w:style>
  <w:style w:type="character" w:customStyle="1" w:styleId="TestocommentoCarattere">
    <w:name w:val="Testo commento Carattere"/>
    <w:basedOn w:val="Carpredefinitoparagrafo"/>
    <w:link w:val="Testocommento"/>
    <w:uiPriority w:val="99"/>
    <w:rsid w:val="00F273BA"/>
    <w:rPr>
      <w:rFonts w:ascii="Source Sans Pro" w:hAnsi="Source Sans Pro"/>
      <w:color w:val="auto"/>
      <w:sz w:val="22"/>
      <w:lang w:val="en-US"/>
    </w:rPr>
  </w:style>
  <w:style w:type="paragraph" w:styleId="Soggettocommento">
    <w:name w:val="annotation subject"/>
    <w:basedOn w:val="Testocommento"/>
    <w:next w:val="Testocommento"/>
    <w:link w:val="SoggettocommentoCarattere"/>
    <w:uiPriority w:val="99"/>
    <w:semiHidden/>
    <w:unhideWhenUsed/>
    <w:rsid w:val="00F273BA"/>
    <w:rPr>
      <w:b/>
      <w:bCs/>
    </w:rPr>
  </w:style>
  <w:style w:type="character" w:customStyle="1" w:styleId="SoggettocommentoCarattere">
    <w:name w:val="Soggetto commento Carattere"/>
    <w:basedOn w:val="TestocommentoCarattere"/>
    <w:link w:val="Soggettocommento"/>
    <w:uiPriority w:val="99"/>
    <w:semiHidden/>
    <w:rsid w:val="00F273BA"/>
    <w:rPr>
      <w:rFonts w:ascii="Source Sans Pro" w:hAnsi="Source Sans Pro"/>
      <w:b/>
      <w:bCs/>
      <w:color w:val="auto"/>
      <w:sz w:val="22"/>
      <w:lang w:val="en-US"/>
    </w:rPr>
  </w:style>
  <w:style w:type="paragraph" w:customStyle="1" w:styleId="TableTitleLeft">
    <w:name w:val="~TableTitleLeft"/>
    <w:basedOn w:val="TableTextLeft"/>
    <w:semiHidden/>
    <w:qFormat/>
    <w:rsid w:val="00486FB8"/>
    <w:rPr>
      <w:b/>
      <w:color w:val="FFFFFF" w:themeColor="background1"/>
      <w:szCs w:val="26"/>
    </w:rPr>
  </w:style>
  <w:style w:type="paragraph" w:styleId="Revisione">
    <w:name w:val="Revision"/>
    <w:hidden/>
    <w:uiPriority w:val="99"/>
    <w:semiHidden/>
    <w:rsid w:val="00B9779C"/>
    <w:pPr>
      <w:spacing w:after="0" w:line="240" w:lineRule="auto"/>
    </w:pPr>
    <w:rPr>
      <w:lang w:val="en-US"/>
    </w:rPr>
  </w:style>
  <w:style w:type="character" w:styleId="Collegamentovisitato">
    <w:name w:val="FollowedHyperlink"/>
    <w:aliases w:val="~FollowedHyperlink"/>
    <w:basedOn w:val="Carpredefinitoparagrafo"/>
    <w:uiPriority w:val="99"/>
    <w:rsid w:val="006B746B"/>
    <w:rPr>
      <w:rFonts w:ascii="Source Sans Pro" w:hAnsi="Source Sans Pro"/>
      <w:color w:val="AFAFB4" w:themeColor="accent4"/>
      <w:u w:val="single"/>
      <w:lang w:val="en-US"/>
    </w:rPr>
  </w:style>
  <w:style w:type="paragraph" w:customStyle="1" w:styleId="QuoteBoxSource">
    <w:name w:val="~QuoteBoxSource"/>
    <w:basedOn w:val="QuoteBoxText"/>
    <w:qFormat/>
    <w:rsid w:val="00F273BA"/>
    <w:pPr>
      <w:spacing w:after="120"/>
    </w:pPr>
    <w:rPr>
      <w:sz w:val="18"/>
    </w:rPr>
  </w:style>
  <w:style w:type="paragraph" w:customStyle="1" w:styleId="SecHeader">
    <w:name w:val="~SecHeader"/>
    <w:basedOn w:val="AppendixDivider"/>
    <w:next w:val="Normale"/>
    <w:rsid w:val="00103E88"/>
    <w:pPr>
      <w:ind w:left="0"/>
      <w:outlineLvl w:val="9"/>
    </w:pPr>
    <w:rPr>
      <w:sz w:val="52"/>
    </w:rPr>
  </w:style>
  <w:style w:type="paragraph" w:customStyle="1" w:styleId="Disclaimer">
    <w:name w:val="~Disclaimer"/>
    <w:basedOn w:val="Normale"/>
    <w:rsid w:val="00DE2749"/>
  </w:style>
  <w:style w:type="paragraph" w:customStyle="1" w:styleId="DraftRef">
    <w:name w:val="~DraftRef"/>
    <w:basedOn w:val="Draft"/>
    <w:rsid w:val="00F273BA"/>
    <w:rPr>
      <w:caps w:val="0"/>
      <w:sz w:val="48"/>
    </w:rPr>
  </w:style>
  <w:style w:type="paragraph" w:styleId="Indicedellefigure">
    <w:name w:val="table of figures"/>
    <w:basedOn w:val="Normale"/>
    <w:next w:val="Normale"/>
    <w:uiPriority w:val="99"/>
    <w:unhideWhenUsed/>
    <w:rsid w:val="00E31974"/>
    <w:pPr>
      <w:tabs>
        <w:tab w:val="left" w:pos="1134"/>
        <w:tab w:val="left" w:pos="1560"/>
        <w:tab w:val="right" w:leader="dot" w:pos="8448"/>
      </w:tabs>
      <w:spacing w:before="60" w:after="60"/>
      <w:ind w:left="1134" w:right="624" w:hanging="1134"/>
    </w:pPr>
    <w:rPr>
      <w:rFonts w:eastAsiaTheme="minorHAnsi"/>
      <w:noProof/>
      <w:color w:val="33A1AB" w:themeColor="accent2"/>
      <w:sz w:val="20"/>
    </w:rPr>
  </w:style>
  <w:style w:type="paragraph" w:customStyle="1" w:styleId="DocIssue">
    <w:name w:val="~DocIssue"/>
    <w:basedOn w:val="Nessunaspaziatura"/>
    <w:rsid w:val="00137A83"/>
    <w:pPr>
      <w:framePr w:wrap="around" w:vAnchor="page" w:hAnchor="page" w:x="852" w:y="10491"/>
      <w:spacing w:line="288" w:lineRule="auto"/>
      <w:contextualSpacing/>
    </w:pPr>
    <w:rPr>
      <w:rFonts w:ascii="Source Sans Pro" w:hAnsi="Source Sans Pro"/>
      <w:color w:val="FFFFFF" w:themeColor="background1"/>
    </w:rPr>
  </w:style>
  <w:style w:type="paragraph" w:customStyle="1" w:styleId="DocVersion">
    <w:name w:val="~DocVersion"/>
    <w:basedOn w:val="Nessunaspaziatura"/>
    <w:rsid w:val="003A4310"/>
    <w:pPr>
      <w:spacing w:line="288" w:lineRule="auto"/>
    </w:pPr>
    <w:rPr>
      <w:rFonts w:ascii="Source Sans Pro" w:hAnsi="Source Sans Pro"/>
      <w:color w:val="FFFFFF" w:themeColor="background1"/>
    </w:rPr>
  </w:style>
  <w:style w:type="paragraph" w:customStyle="1" w:styleId="Bullet4">
    <w:name w:val="~Bullet4"/>
    <w:basedOn w:val="Bullet3"/>
    <w:qFormat/>
    <w:rsid w:val="00955B0A"/>
    <w:pPr>
      <w:numPr>
        <w:numId w:val="17"/>
      </w:numPr>
      <w:ind w:left="1361" w:hanging="340"/>
    </w:pPr>
  </w:style>
  <w:style w:type="paragraph" w:customStyle="1" w:styleId="Bullet5">
    <w:name w:val="~Bullet5"/>
    <w:basedOn w:val="Bullet4"/>
    <w:qFormat/>
    <w:rsid w:val="00955B0A"/>
    <w:pPr>
      <w:numPr>
        <w:numId w:val="18"/>
      </w:numPr>
      <w:ind w:left="1701" w:hanging="340"/>
    </w:pPr>
  </w:style>
  <w:style w:type="paragraph" w:customStyle="1" w:styleId="IndentText1">
    <w:name w:val="~IndentText1"/>
    <w:basedOn w:val="Normale"/>
    <w:rsid w:val="00F273BA"/>
    <w:pPr>
      <w:spacing w:before="60" w:after="60"/>
      <w:ind w:left="340"/>
    </w:pPr>
  </w:style>
  <w:style w:type="paragraph" w:customStyle="1" w:styleId="IndentText2">
    <w:name w:val="~IndentText2"/>
    <w:basedOn w:val="IndentText1"/>
    <w:qFormat/>
    <w:rsid w:val="00F273BA"/>
    <w:pPr>
      <w:ind w:left="680"/>
    </w:pPr>
  </w:style>
  <w:style w:type="paragraph" w:customStyle="1" w:styleId="IndentText3">
    <w:name w:val="~IndentText3"/>
    <w:basedOn w:val="IndentText2"/>
    <w:qFormat/>
    <w:rsid w:val="00F273BA"/>
    <w:pPr>
      <w:ind w:left="1021"/>
    </w:pPr>
  </w:style>
  <w:style w:type="paragraph" w:customStyle="1" w:styleId="IndentText4">
    <w:name w:val="~IndentText4"/>
    <w:basedOn w:val="IndentText3"/>
    <w:qFormat/>
    <w:rsid w:val="00F273BA"/>
    <w:pPr>
      <w:ind w:left="1361"/>
    </w:pPr>
  </w:style>
  <w:style w:type="paragraph" w:customStyle="1" w:styleId="IndentText5">
    <w:name w:val="~IndentText5"/>
    <w:basedOn w:val="IndentText4"/>
    <w:qFormat/>
    <w:rsid w:val="00F273BA"/>
    <w:pPr>
      <w:ind w:left="1701"/>
    </w:pPr>
  </w:style>
  <w:style w:type="paragraph" w:customStyle="1" w:styleId="DocProductName">
    <w:name w:val="~DocProductName"/>
    <w:basedOn w:val="DocTitle"/>
    <w:rsid w:val="00A8435F"/>
    <w:pPr>
      <w:framePr w:wrap="around"/>
    </w:pPr>
  </w:style>
  <w:style w:type="paragraph" w:customStyle="1" w:styleId="NumBullet4">
    <w:name w:val="~NumBullet4"/>
    <w:basedOn w:val="NumBullet3"/>
    <w:qFormat/>
    <w:rsid w:val="00140A64"/>
    <w:pPr>
      <w:numPr>
        <w:ilvl w:val="3"/>
      </w:numPr>
    </w:pPr>
  </w:style>
  <w:style w:type="paragraph" w:customStyle="1" w:styleId="NumBullet5">
    <w:name w:val="~NumBullet5"/>
    <w:basedOn w:val="NumBullet4"/>
    <w:qFormat/>
    <w:rsid w:val="00140A64"/>
    <w:pPr>
      <w:numPr>
        <w:ilvl w:val="4"/>
      </w:numPr>
    </w:pPr>
  </w:style>
  <w:style w:type="character" w:customStyle="1" w:styleId="CodeBlack">
    <w:name w:val="~Code Black"/>
    <w:basedOn w:val="Carpredefinitoparagrafo"/>
    <w:uiPriority w:val="1"/>
    <w:qFormat/>
    <w:rsid w:val="006B746B"/>
    <w:rPr>
      <w:rFonts w:ascii="Courier New" w:hAnsi="Courier New"/>
      <w:color w:val="002E5A" w:themeColor="text1"/>
      <w:sz w:val="20"/>
      <w:lang w:val="en-US"/>
    </w:rPr>
  </w:style>
  <w:style w:type="character" w:customStyle="1" w:styleId="CodeBlue">
    <w:name w:val="~Code Blue"/>
    <w:basedOn w:val="Carpredefinitoparagrafo"/>
    <w:uiPriority w:val="1"/>
    <w:qFormat/>
    <w:rsid w:val="00663115"/>
    <w:rPr>
      <w:rFonts w:ascii="Courier New" w:hAnsi="Courier New"/>
      <w:color w:val="00AFE6"/>
      <w:sz w:val="20"/>
      <w:lang w:val="en-US"/>
    </w:rPr>
  </w:style>
  <w:style w:type="character" w:customStyle="1" w:styleId="CodeRed">
    <w:name w:val="~Code Red"/>
    <w:basedOn w:val="Carpredefinitoparagrafo"/>
    <w:uiPriority w:val="1"/>
    <w:qFormat/>
    <w:rsid w:val="00707671"/>
    <w:rPr>
      <w:rFonts w:ascii="Courier New" w:hAnsi="Courier New"/>
      <w:color w:val="D74641"/>
      <w:sz w:val="20"/>
      <w:lang w:val="en-US"/>
    </w:rPr>
  </w:style>
  <w:style w:type="character" w:customStyle="1" w:styleId="CodeGreen">
    <w:name w:val="~Code Green"/>
    <w:basedOn w:val="Carpredefinitoparagrafo"/>
    <w:uiPriority w:val="1"/>
    <w:qFormat/>
    <w:rsid w:val="00663115"/>
    <w:rPr>
      <w:rFonts w:ascii="Courier New" w:hAnsi="Courier New"/>
      <w:color w:val="00AF96"/>
      <w:sz w:val="20"/>
      <w:lang w:val="en-US"/>
    </w:rPr>
  </w:style>
  <w:style w:type="paragraph" w:customStyle="1" w:styleId="IconLeft">
    <w:name w:val="~IconLeft"/>
    <w:basedOn w:val="GraphicLeft"/>
    <w:qFormat/>
    <w:rsid w:val="00F273BA"/>
    <w:pPr>
      <w:spacing w:after="120" w:line="288" w:lineRule="auto"/>
    </w:pPr>
  </w:style>
  <w:style w:type="paragraph" w:customStyle="1" w:styleId="IconBoxText">
    <w:name w:val="~IconBoxText"/>
    <w:basedOn w:val="KeyMsgBoxText"/>
    <w:qFormat/>
    <w:rsid w:val="00F273BA"/>
    <w:pPr>
      <w:spacing w:before="120"/>
    </w:pPr>
  </w:style>
  <w:style w:type="paragraph" w:customStyle="1" w:styleId="DocIncidentDate">
    <w:name w:val="~DocIncidentDate"/>
    <w:basedOn w:val="Normale"/>
    <w:rsid w:val="00770C11"/>
    <w:pPr>
      <w:framePr w:wrap="around" w:vAnchor="page" w:hAnchor="page" w:x="852" w:y="10491"/>
      <w:spacing w:before="0" w:line="288" w:lineRule="auto"/>
    </w:pPr>
    <w:rPr>
      <w:color w:val="FFFFFF" w:themeColor="background1"/>
      <w:sz w:val="20"/>
    </w:rPr>
  </w:style>
  <w:style w:type="paragraph" w:customStyle="1" w:styleId="TableBullet2">
    <w:name w:val="~TableBullet2"/>
    <w:basedOn w:val="TableBullet1"/>
    <w:qFormat/>
    <w:rsid w:val="00F8158F"/>
    <w:pPr>
      <w:numPr>
        <w:numId w:val="4"/>
      </w:numPr>
      <w:ind w:left="329" w:hanging="170"/>
    </w:pPr>
  </w:style>
  <w:style w:type="paragraph" w:customStyle="1" w:styleId="TableBullet3">
    <w:name w:val="~TableBullet3"/>
    <w:basedOn w:val="TableBullet2"/>
    <w:qFormat/>
    <w:rsid w:val="00F8158F"/>
    <w:pPr>
      <w:numPr>
        <w:numId w:val="5"/>
      </w:numPr>
      <w:ind w:left="499" w:hanging="170"/>
    </w:pPr>
  </w:style>
  <w:style w:type="paragraph" w:customStyle="1" w:styleId="TableIndent1">
    <w:name w:val="~TableIndent1"/>
    <w:basedOn w:val="TableTextLeft"/>
    <w:qFormat/>
    <w:rsid w:val="00F8158F"/>
    <w:pPr>
      <w:ind w:left="159"/>
    </w:pPr>
    <w:rPr>
      <w:lang w:val="fr-FR"/>
    </w:rPr>
  </w:style>
  <w:style w:type="paragraph" w:customStyle="1" w:styleId="TableIndent2">
    <w:name w:val="~TableIndent2"/>
    <w:basedOn w:val="TableIndent1"/>
    <w:qFormat/>
    <w:rsid w:val="00F8158F"/>
    <w:pPr>
      <w:ind w:left="329"/>
    </w:pPr>
  </w:style>
  <w:style w:type="paragraph" w:customStyle="1" w:styleId="TableIndent3">
    <w:name w:val="~TableIndent3"/>
    <w:basedOn w:val="TableIndent2"/>
    <w:qFormat/>
    <w:rsid w:val="00F8158F"/>
    <w:pPr>
      <w:ind w:left="499"/>
    </w:pPr>
  </w:style>
  <w:style w:type="paragraph" w:customStyle="1" w:styleId="IconBoxHead">
    <w:name w:val="~IconBoxHead"/>
    <w:basedOn w:val="IconBoxText"/>
    <w:qFormat/>
    <w:rsid w:val="00F273BA"/>
    <w:pPr>
      <w:keepNext/>
      <w:spacing w:after="0"/>
    </w:pPr>
    <w:rPr>
      <w:i/>
    </w:rPr>
  </w:style>
  <w:style w:type="table" w:styleId="Elencochiaro-Colore1">
    <w:name w:val="Light List Accent 1"/>
    <w:basedOn w:val="Tabellanormale"/>
    <w:uiPriority w:val="61"/>
    <w:rsid w:val="00F273BA"/>
    <w:pPr>
      <w:spacing w:after="0" w:line="240" w:lineRule="auto"/>
    </w:pPr>
    <w:rPr>
      <w:lang w:val="en-US"/>
    </w:rPr>
    <w:tblPr>
      <w:tblStyleRowBandSize w:val="1"/>
      <w:tblStyleColBandSize w:val="1"/>
      <w:tblBorders>
        <w:top w:val="single" w:sz="8" w:space="0" w:color="5080B8" w:themeColor="accent1"/>
        <w:left w:val="single" w:sz="8" w:space="0" w:color="5080B8" w:themeColor="accent1"/>
        <w:bottom w:val="single" w:sz="8" w:space="0" w:color="5080B8" w:themeColor="accent1"/>
        <w:right w:val="single" w:sz="8" w:space="0" w:color="5080B8" w:themeColor="accent1"/>
      </w:tblBorders>
    </w:tblPr>
    <w:tblStylePr w:type="firstRow">
      <w:pPr>
        <w:spacing w:before="0" w:after="0" w:line="240" w:lineRule="auto"/>
      </w:pPr>
      <w:rPr>
        <w:b/>
        <w:bCs/>
        <w:color w:val="FFFFFF" w:themeColor="background1"/>
      </w:rPr>
      <w:tblPr/>
      <w:tcPr>
        <w:shd w:val="clear" w:color="auto" w:fill="5080B8" w:themeFill="accent1"/>
      </w:tcPr>
    </w:tblStylePr>
    <w:tblStylePr w:type="lastRow">
      <w:pPr>
        <w:spacing w:before="0" w:after="0" w:line="240" w:lineRule="auto"/>
      </w:pPr>
      <w:rPr>
        <w:b/>
        <w:bCs/>
      </w:rPr>
      <w:tblPr/>
      <w:tcPr>
        <w:tcBorders>
          <w:top w:val="double" w:sz="6" w:space="0" w:color="5080B8" w:themeColor="accent1"/>
          <w:left w:val="single" w:sz="8" w:space="0" w:color="5080B8" w:themeColor="accent1"/>
          <w:bottom w:val="single" w:sz="8" w:space="0" w:color="5080B8" w:themeColor="accent1"/>
          <w:right w:val="single" w:sz="8" w:space="0" w:color="5080B8" w:themeColor="accent1"/>
        </w:tcBorders>
      </w:tcPr>
    </w:tblStylePr>
    <w:tblStylePr w:type="firstCol">
      <w:rPr>
        <w:b/>
        <w:bCs/>
      </w:rPr>
    </w:tblStylePr>
    <w:tblStylePr w:type="lastCol">
      <w:rPr>
        <w:b/>
        <w:bCs/>
      </w:rPr>
    </w:tblStylePr>
    <w:tblStylePr w:type="band1Vert">
      <w:tblPr/>
      <w:tcPr>
        <w:tcBorders>
          <w:top w:val="single" w:sz="8" w:space="0" w:color="5080B8" w:themeColor="accent1"/>
          <w:left w:val="single" w:sz="8" w:space="0" w:color="5080B8" w:themeColor="accent1"/>
          <w:bottom w:val="single" w:sz="8" w:space="0" w:color="5080B8" w:themeColor="accent1"/>
          <w:right w:val="single" w:sz="8" w:space="0" w:color="5080B8" w:themeColor="accent1"/>
        </w:tcBorders>
      </w:tcPr>
    </w:tblStylePr>
    <w:tblStylePr w:type="band1Horz">
      <w:tblPr/>
      <w:tcPr>
        <w:tcBorders>
          <w:top w:val="single" w:sz="8" w:space="0" w:color="5080B8" w:themeColor="accent1"/>
          <w:left w:val="single" w:sz="8" w:space="0" w:color="5080B8" w:themeColor="accent1"/>
          <w:bottom w:val="single" w:sz="8" w:space="0" w:color="5080B8" w:themeColor="accent1"/>
          <w:right w:val="single" w:sz="8" w:space="0" w:color="5080B8" w:themeColor="accent1"/>
        </w:tcBorders>
      </w:tcPr>
    </w:tblStylePr>
  </w:style>
  <w:style w:type="paragraph" w:customStyle="1" w:styleId="HeaderBold">
    <w:name w:val="~HeaderBold"/>
    <w:basedOn w:val="Intestazione"/>
    <w:link w:val="HeaderBoldChar"/>
    <w:rsid w:val="003030D0"/>
    <w:rPr>
      <w:b/>
      <w:noProof/>
    </w:rPr>
  </w:style>
  <w:style w:type="character" w:customStyle="1" w:styleId="HeaderBoldChar">
    <w:name w:val="~HeaderBold Char"/>
    <w:basedOn w:val="IntestazioneCarattere"/>
    <w:link w:val="HeaderBold"/>
    <w:rsid w:val="003030D0"/>
    <w:rPr>
      <w:rFonts w:ascii="Source Sans Pro" w:hAnsi="Source Sans Pro"/>
      <w:b/>
      <w:noProof/>
      <w:color w:val="002E5A" w:themeColor="text2"/>
      <w:sz w:val="14"/>
      <w:lang w:val="en-US"/>
    </w:rPr>
  </w:style>
  <w:style w:type="character" w:customStyle="1" w:styleId="codeblack0">
    <w:name w:val="codeblack"/>
    <w:basedOn w:val="Carpredefinitoparagrafo"/>
    <w:uiPriority w:val="1"/>
    <w:semiHidden/>
    <w:qFormat/>
    <w:rsid w:val="00F273BA"/>
    <w:rPr>
      <w:rFonts w:ascii="Courier New" w:hAnsi="Courier New"/>
      <w:sz w:val="18"/>
      <w:lang w:val="en-US"/>
    </w:rPr>
  </w:style>
  <w:style w:type="paragraph" w:customStyle="1" w:styleId="BodyTextAfterList">
    <w:name w:val="~BodyTextAfterList"/>
    <w:basedOn w:val="Normale"/>
    <w:next w:val="Normale"/>
    <w:qFormat/>
    <w:rsid w:val="00F273BA"/>
    <w:pPr>
      <w:spacing w:before="180"/>
    </w:pPr>
  </w:style>
  <w:style w:type="paragraph" w:customStyle="1" w:styleId="Code">
    <w:name w:val="~Code"/>
    <w:basedOn w:val="Normale"/>
    <w:link w:val="CodeChar"/>
    <w:qFormat/>
    <w:rsid w:val="00707671"/>
    <w:pPr>
      <w:spacing w:before="60" w:line="288" w:lineRule="auto"/>
      <w:contextualSpacing/>
    </w:pPr>
    <w:rPr>
      <w:rFonts w:ascii="Courier New" w:hAnsi="Courier New" w:cs="Courier New"/>
      <w:noProof/>
      <w:sz w:val="20"/>
    </w:rPr>
  </w:style>
  <w:style w:type="character" w:customStyle="1" w:styleId="CodeChar">
    <w:name w:val="~Code Char"/>
    <w:basedOn w:val="Carpredefinitoparagrafo"/>
    <w:link w:val="Code"/>
    <w:rsid w:val="00707671"/>
    <w:rPr>
      <w:rFonts w:ascii="Courier New" w:hAnsi="Courier New" w:cs="Courier New"/>
      <w:noProof/>
      <w:lang w:val="en-US"/>
    </w:rPr>
  </w:style>
  <w:style w:type="paragraph" w:styleId="NormaleWeb">
    <w:name w:val="Normal (Web)"/>
    <w:basedOn w:val="Normale"/>
    <w:uiPriority w:val="99"/>
    <w:unhideWhenUsed/>
    <w:rsid w:val="00F273B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Corpotesto">
    <w:name w:val="Body Text"/>
    <w:basedOn w:val="Normale"/>
    <w:link w:val="CorpotestoCarattere"/>
    <w:uiPriority w:val="1"/>
    <w:qFormat/>
    <w:rsid w:val="00F273BA"/>
    <w:pPr>
      <w:widowControl w:val="0"/>
      <w:spacing w:before="0" w:line="240" w:lineRule="auto"/>
      <w:ind w:left="1385"/>
    </w:pPr>
    <w:rPr>
      <w:rFonts w:eastAsia="Arial"/>
      <w:color w:val="auto"/>
    </w:rPr>
  </w:style>
  <w:style w:type="character" w:customStyle="1" w:styleId="CorpotestoCarattere">
    <w:name w:val="Corpo testo Carattere"/>
    <w:basedOn w:val="Carpredefinitoparagrafo"/>
    <w:link w:val="Corpotesto"/>
    <w:uiPriority w:val="1"/>
    <w:rsid w:val="00F273BA"/>
    <w:rPr>
      <w:rFonts w:ascii="Source Sans Pro" w:eastAsia="Arial" w:hAnsi="Source Sans Pro"/>
      <w:color w:val="auto"/>
      <w:sz w:val="22"/>
      <w:lang w:val="en-US"/>
    </w:rPr>
  </w:style>
  <w:style w:type="paragraph" w:customStyle="1" w:styleId="TableParagraph">
    <w:name w:val="Table Paragraph"/>
    <w:basedOn w:val="Normale"/>
    <w:uiPriority w:val="1"/>
    <w:qFormat/>
    <w:rsid w:val="00F273BA"/>
    <w:pPr>
      <w:widowControl w:val="0"/>
      <w:spacing w:before="0" w:line="240" w:lineRule="auto"/>
    </w:pPr>
    <w:rPr>
      <w:rFonts w:asciiTheme="minorHAnsi" w:eastAsiaTheme="minorHAnsi" w:hAnsiTheme="minorHAnsi"/>
      <w:color w:val="auto"/>
      <w:szCs w:val="22"/>
    </w:rPr>
  </w:style>
  <w:style w:type="numbering" w:customStyle="1" w:styleId="Style1">
    <w:name w:val="Style1"/>
    <w:uiPriority w:val="99"/>
    <w:rsid w:val="00F273BA"/>
    <w:pPr>
      <w:numPr>
        <w:numId w:val="6"/>
      </w:numPr>
    </w:pPr>
  </w:style>
  <w:style w:type="numbering" w:customStyle="1" w:styleId="Style2">
    <w:name w:val="Style2"/>
    <w:uiPriority w:val="99"/>
    <w:rsid w:val="00F273BA"/>
    <w:pPr>
      <w:numPr>
        <w:numId w:val="7"/>
      </w:numPr>
    </w:pPr>
  </w:style>
  <w:style w:type="character" w:styleId="Enfasigrassetto">
    <w:name w:val="Strong"/>
    <w:basedOn w:val="Carpredefinitoparagrafo"/>
    <w:uiPriority w:val="22"/>
    <w:qFormat/>
    <w:rsid w:val="00F273BA"/>
    <w:rPr>
      <w:b/>
      <w:bCs/>
      <w:lang w:val="en-US"/>
    </w:rPr>
  </w:style>
  <w:style w:type="character" w:styleId="CodiceHTML">
    <w:name w:val="HTML Code"/>
    <w:basedOn w:val="Carpredefinitoparagrafo"/>
    <w:uiPriority w:val="99"/>
    <w:semiHidden/>
    <w:unhideWhenUsed/>
    <w:rsid w:val="00F273BA"/>
    <w:rPr>
      <w:rFonts w:ascii="Courier New" w:eastAsia="Times New Roman" w:hAnsi="Courier New" w:cs="Courier New"/>
      <w:sz w:val="20"/>
      <w:szCs w:val="20"/>
      <w:lang w:val="en-US"/>
    </w:rPr>
  </w:style>
  <w:style w:type="paragraph" w:styleId="PreformattatoHTML">
    <w:name w:val="HTML Preformatted"/>
    <w:basedOn w:val="Normale"/>
    <w:link w:val="PreformattatoHTMLCarattere"/>
    <w:uiPriority w:val="99"/>
    <w:semiHidden/>
    <w:unhideWhenUsed/>
    <w:rsid w:val="00F27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eastAsia="Times New Roman" w:hAnsi="Courier New" w:cs="Courier New"/>
      <w:color w:val="auto"/>
    </w:rPr>
  </w:style>
  <w:style w:type="character" w:customStyle="1" w:styleId="PreformattatoHTMLCarattere">
    <w:name w:val="Preformattato HTML Carattere"/>
    <w:basedOn w:val="Carpredefinitoparagrafo"/>
    <w:link w:val="PreformattatoHTML"/>
    <w:uiPriority w:val="99"/>
    <w:semiHidden/>
    <w:rsid w:val="00F273BA"/>
    <w:rPr>
      <w:rFonts w:ascii="Courier New" w:eastAsia="Times New Roman" w:hAnsi="Courier New" w:cs="Courier New"/>
      <w:color w:val="auto"/>
      <w:sz w:val="22"/>
      <w:lang w:val="en-US"/>
    </w:rPr>
  </w:style>
  <w:style w:type="character" w:customStyle="1" w:styleId="aui-icon">
    <w:name w:val="aui-icon"/>
    <w:basedOn w:val="Carpredefinitoparagrafo"/>
    <w:rsid w:val="00F273BA"/>
    <w:rPr>
      <w:lang w:val="en-US"/>
    </w:rPr>
  </w:style>
  <w:style w:type="character" w:styleId="Enfasicorsivo">
    <w:name w:val="Emphasis"/>
    <w:basedOn w:val="Carpredefinitoparagrafo"/>
    <w:uiPriority w:val="20"/>
    <w:qFormat/>
    <w:rsid w:val="00F273BA"/>
    <w:rPr>
      <w:i/>
      <w:iCs/>
      <w:lang w:val="en-US"/>
    </w:rPr>
  </w:style>
  <w:style w:type="character" w:customStyle="1" w:styleId="apple-converted-space">
    <w:name w:val="apple-converted-space"/>
    <w:basedOn w:val="Carpredefinitoparagrafo"/>
    <w:rsid w:val="00F273BA"/>
    <w:rPr>
      <w:lang w:val="en-US"/>
    </w:rPr>
  </w:style>
  <w:style w:type="character" w:customStyle="1" w:styleId="Blue">
    <w:name w:val="~Blue"/>
    <w:basedOn w:val="Carpredefinitoparagrafo"/>
    <w:uiPriority w:val="1"/>
    <w:qFormat/>
    <w:rsid w:val="00F273BA"/>
    <w:rPr>
      <w:color w:val="AFAFB4" w:themeColor="accent4"/>
      <w:lang w:val="en-US"/>
    </w:rPr>
  </w:style>
  <w:style w:type="character" w:customStyle="1" w:styleId="Red">
    <w:name w:val="~Red"/>
    <w:basedOn w:val="Carpredefinitoparagrafo"/>
    <w:uiPriority w:val="1"/>
    <w:qFormat/>
    <w:rsid w:val="00F273BA"/>
    <w:rPr>
      <w:color w:val="FF0000"/>
      <w:lang w:val="en-US"/>
    </w:rPr>
  </w:style>
  <w:style w:type="character" w:customStyle="1" w:styleId="Green">
    <w:name w:val="~Green"/>
    <w:basedOn w:val="Carpredefinitoparagrafo"/>
    <w:uiPriority w:val="1"/>
    <w:qFormat/>
    <w:rsid w:val="00F273BA"/>
    <w:rPr>
      <w:color w:val="00B050"/>
      <w:lang w:val="en-US"/>
    </w:rPr>
  </w:style>
  <w:style w:type="table" w:customStyle="1" w:styleId="PutClientName">
    <w:name w:val="~PutClientName"/>
    <w:basedOn w:val="Tabellanormale"/>
    <w:uiPriority w:val="99"/>
    <w:qFormat/>
    <w:rsid w:val="00F273BA"/>
    <w:pPr>
      <w:spacing w:after="0" w:line="240" w:lineRule="auto"/>
    </w:pPr>
    <w:rPr>
      <w:rFonts w:eastAsiaTheme="minorHAnsi"/>
      <w:color w:val="808080" w:themeColor="background1" w:themeShade="80"/>
      <w:lang w:val="en-US"/>
    </w:rPr>
    <w:tblPr>
      <w:tblBorders>
        <w:top w:val="single" w:sz="4" w:space="0" w:color="auto"/>
        <w:bottom w:val="single" w:sz="4" w:space="0" w:color="auto"/>
        <w:insideH w:val="single" w:sz="4" w:space="0" w:color="auto"/>
      </w:tblBorders>
    </w:tblPr>
    <w:tblStylePr w:type="firstRow">
      <w:tblPr/>
      <w:trPr>
        <w:cantSplit/>
        <w:tblHeader/>
      </w:trPr>
      <w:tcPr>
        <w:vAlign w:val="bottom"/>
      </w:tcPr>
    </w:tblStylePr>
  </w:style>
  <w:style w:type="table" w:styleId="Elencotabella7">
    <w:name w:val="Table List 7"/>
    <w:basedOn w:val="Tabellanormale"/>
    <w:uiPriority w:val="99"/>
    <w:semiHidden/>
    <w:unhideWhenUsed/>
    <w:rsid w:val="00F273BA"/>
    <w:pPr>
      <w:spacing w:before="120" w:after="0" w:line="264" w:lineRule="auto"/>
    </w:pPr>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customStyle="1" w:styleId="Normalnoindent">
    <w:name w:val="Normal no indent"/>
    <w:basedOn w:val="Normale"/>
    <w:link w:val="NormalnoindentChar"/>
    <w:uiPriority w:val="99"/>
    <w:locked/>
    <w:rsid w:val="00F273BA"/>
    <w:pPr>
      <w:suppressAutoHyphens/>
      <w:spacing w:before="0" w:line="240" w:lineRule="auto"/>
    </w:pPr>
    <w:rPr>
      <w:rFonts w:eastAsia="MS Mincho" w:cs="Tahoma"/>
      <w:color w:val="auto"/>
      <w:sz w:val="20"/>
    </w:rPr>
  </w:style>
  <w:style w:type="character" w:customStyle="1" w:styleId="NormalnoindentChar">
    <w:name w:val="Normal no indent Char"/>
    <w:basedOn w:val="Carpredefinitoparagrafo"/>
    <w:link w:val="Normalnoindent"/>
    <w:uiPriority w:val="99"/>
    <w:locked/>
    <w:rsid w:val="00F273BA"/>
    <w:rPr>
      <w:rFonts w:ascii="Arial" w:eastAsia="MS Mincho" w:hAnsi="Arial" w:cs="Tahoma"/>
      <w:color w:val="auto"/>
      <w:lang w:val="en-US"/>
    </w:rPr>
  </w:style>
  <w:style w:type="paragraph" w:customStyle="1" w:styleId="BulletList1">
    <w:name w:val="Bullet List 1"/>
    <w:basedOn w:val="Normale"/>
    <w:link w:val="BulletList1Char"/>
    <w:locked/>
    <w:rsid w:val="00F273BA"/>
    <w:pPr>
      <w:tabs>
        <w:tab w:val="num" w:pos="1080"/>
        <w:tab w:val="left" w:pos="1820"/>
      </w:tabs>
      <w:suppressAutoHyphens/>
      <w:spacing w:before="0" w:after="120" w:line="240" w:lineRule="auto"/>
      <w:ind w:left="1080" w:hanging="360"/>
    </w:pPr>
    <w:rPr>
      <w:rFonts w:eastAsia="Times New Roman" w:cs="Tahoma"/>
      <w:color w:val="auto"/>
      <w:sz w:val="20"/>
    </w:rPr>
  </w:style>
  <w:style w:type="paragraph" w:styleId="Numeroelenco">
    <w:name w:val="List Number"/>
    <w:basedOn w:val="Normale"/>
    <w:uiPriority w:val="99"/>
    <w:rsid w:val="00F273BA"/>
    <w:pPr>
      <w:tabs>
        <w:tab w:val="num" w:pos="360"/>
      </w:tabs>
      <w:suppressAutoHyphens/>
      <w:spacing w:before="0" w:line="240" w:lineRule="auto"/>
      <w:ind w:left="1775" w:hanging="357"/>
    </w:pPr>
    <w:rPr>
      <w:rFonts w:eastAsia="Times New Roman" w:cs="Tahoma"/>
      <w:color w:val="auto"/>
      <w:sz w:val="20"/>
    </w:rPr>
  </w:style>
  <w:style w:type="paragraph" w:styleId="Intestazionemessaggio">
    <w:name w:val="Message Header"/>
    <w:basedOn w:val="Normale"/>
    <w:link w:val="IntestazionemessaggioCarattere"/>
    <w:uiPriority w:val="99"/>
    <w:rsid w:val="00F273BA"/>
    <w:pPr>
      <w:pBdr>
        <w:top w:val="single" w:sz="6" w:space="1" w:color="auto"/>
        <w:left w:val="single" w:sz="6" w:space="1" w:color="auto"/>
        <w:bottom w:val="single" w:sz="6" w:space="1" w:color="auto"/>
        <w:right w:val="single" w:sz="6" w:space="1" w:color="auto"/>
      </w:pBdr>
      <w:shd w:val="pct20" w:color="auto" w:fill="auto"/>
      <w:tabs>
        <w:tab w:val="num" w:pos="1209"/>
      </w:tabs>
      <w:spacing w:before="0" w:line="240" w:lineRule="auto"/>
      <w:ind w:left="1209" w:hanging="360"/>
    </w:pPr>
    <w:rPr>
      <w:rFonts w:eastAsia="Times New Roman" w:cs="Arial"/>
      <w:color w:val="auto"/>
      <w:sz w:val="24"/>
      <w:szCs w:val="24"/>
    </w:rPr>
  </w:style>
  <w:style w:type="character" w:customStyle="1" w:styleId="IntestazionemessaggioCarattere">
    <w:name w:val="Intestazione messaggio Carattere"/>
    <w:basedOn w:val="Carpredefinitoparagrafo"/>
    <w:link w:val="Intestazionemessaggio"/>
    <w:uiPriority w:val="99"/>
    <w:rsid w:val="00F273BA"/>
    <w:rPr>
      <w:rFonts w:ascii="Arial" w:eastAsia="Times New Roman" w:hAnsi="Arial" w:cs="Arial"/>
      <w:color w:val="auto"/>
      <w:sz w:val="24"/>
      <w:szCs w:val="24"/>
      <w:shd w:val="pct20" w:color="auto" w:fill="auto"/>
      <w:lang w:val="en-US"/>
    </w:rPr>
  </w:style>
  <w:style w:type="character" w:customStyle="1" w:styleId="BulletList1Char">
    <w:name w:val="Bullet List 1 Char"/>
    <w:basedOn w:val="Carpredefinitoparagrafo"/>
    <w:link w:val="BulletList1"/>
    <w:locked/>
    <w:rsid w:val="00F273BA"/>
    <w:rPr>
      <w:rFonts w:ascii="Arial" w:eastAsia="Times New Roman" w:hAnsi="Arial" w:cs="Tahoma"/>
      <w:color w:val="auto"/>
      <w:lang w:val="en-US"/>
    </w:rPr>
  </w:style>
  <w:style w:type="paragraph" w:styleId="Rientronormale">
    <w:name w:val="Normal Indent"/>
    <w:basedOn w:val="Normale"/>
    <w:uiPriority w:val="99"/>
    <w:semiHidden/>
    <w:unhideWhenUsed/>
    <w:rsid w:val="00F273BA"/>
    <w:pPr>
      <w:ind w:left="720"/>
    </w:pPr>
    <w:rPr>
      <w:rFonts w:asciiTheme="minorHAnsi" w:hAnsiTheme="minorHAnsi"/>
      <w:sz w:val="20"/>
    </w:rPr>
  </w:style>
  <w:style w:type="paragraph" w:customStyle="1" w:styleId="Codesample">
    <w:name w:val="~Code sample"/>
    <w:basedOn w:val="Code"/>
    <w:rsid w:val="00F273BA"/>
    <w:pPr>
      <w:shd w:val="clear" w:color="auto" w:fill="F0E8E1"/>
    </w:pPr>
  </w:style>
  <w:style w:type="paragraph" w:customStyle="1" w:styleId="Note">
    <w:name w:val="~Note"/>
    <w:basedOn w:val="Normale"/>
    <w:next w:val="Normale"/>
    <w:rsid w:val="00AD5178"/>
    <w:pPr>
      <w:numPr>
        <w:numId w:val="8"/>
      </w:numPr>
      <w:spacing w:before="240" w:after="240"/>
      <w:ind w:left="1361" w:hanging="1361"/>
    </w:pPr>
  </w:style>
  <w:style w:type="paragraph" w:customStyle="1" w:styleId="ngMultiple115">
    <w:name w:val="ng:  Multiple 1.15..."/>
    <w:basedOn w:val="Normale"/>
    <w:rsid w:val="00F273BA"/>
    <w:pPr>
      <w:spacing w:before="0" w:after="200" w:line="276" w:lineRule="auto"/>
    </w:pPr>
  </w:style>
  <w:style w:type="paragraph" w:customStyle="1" w:styleId="Information">
    <w:name w:val="~Information"/>
    <w:basedOn w:val="Normale"/>
    <w:next w:val="Normale"/>
    <w:rsid w:val="00632D7B"/>
    <w:pPr>
      <w:numPr>
        <w:numId w:val="9"/>
      </w:numPr>
      <w:spacing w:before="240" w:after="240"/>
      <w:ind w:left="1361" w:hanging="1361"/>
    </w:pPr>
  </w:style>
  <w:style w:type="paragraph" w:customStyle="1" w:styleId="Tip">
    <w:name w:val="~Tip"/>
    <w:basedOn w:val="Normale"/>
    <w:next w:val="Normale"/>
    <w:rsid w:val="00180E07"/>
    <w:pPr>
      <w:numPr>
        <w:numId w:val="10"/>
      </w:numPr>
      <w:spacing w:before="240" w:after="240"/>
      <w:ind w:left="1361" w:hanging="1361"/>
    </w:pPr>
  </w:style>
  <w:style w:type="paragraph" w:customStyle="1" w:styleId="Warning">
    <w:name w:val="~Warning"/>
    <w:basedOn w:val="Normale"/>
    <w:next w:val="Normale"/>
    <w:rsid w:val="00B27C78"/>
    <w:pPr>
      <w:numPr>
        <w:numId w:val="11"/>
      </w:numPr>
      <w:spacing w:before="240" w:after="240"/>
      <w:ind w:left="1361" w:hanging="1361"/>
    </w:pPr>
  </w:style>
  <w:style w:type="paragraph" w:customStyle="1" w:styleId="Setting">
    <w:name w:val="~Setting"/>
    <w:basedOn w:val="Normale"/>
    <w:next w:val="Normale"/>
    <w:rsid w:val="00AD5178"/>
    <w:pPr>
      <w:numPr>
        <w:numId w:val="12"/>
      </w:numPr>
      <w:spacing w:before="240" w:after="240"/>
      <w:ind w:left="1361" w:hanging="1361"/>
    </w:pPr>
  </w:style>
  <w:style w:type="paragraph" w:customStyle="1" w:styleId="Developmentpoint">
    <w:name w:val="~Development point"/>
    <w:basedOn w:val="Normale"/>
    <w:next w:val="Normale"/>
    <w:rsid w:val="00E65D5C"/>
    <w:pPr>
      <w:numPr>
        <w:numId w:val="13"/>
      </w:numPr>
      <w:spacing w:before="240" w:after="240"/>
      <w:ind w:left="2155" w:hanging="2155"/>
    </w:pPr>
  </w:style>
  <w:style w:type="character" w:customStyle="1" w:styleId="Mention1">
    <w:name w:val="Mention1"/>
    <w:basedOn w:val="Carpredefinitoparagrafo"/>
    <w:uiPriority w:val="99"/>
    <w:semiHidden/>
    <w:unhideWhenUsed/>
    <w:rsid w:val="00F273BA"/>
    <w:rPr>
      <w:color w:val="2B579A"/>
      <w:shd w:val="clear" w:color="auto" w:fill="E6E6E6"/>
      <w:lang w:val="en-US"/>
    </w:rPr>
  </w:style>
  <w:style w:type="paragraph" w:styleId="Citazione">
    <w:name w:val="Quote"/>
    <w:basedOn w:val="Normale"/>
    <w:next w:val="Normale"/>
    <w:link w:val="CitazioneCarattere"/>
    <w:uiPriority w:val="29"/>
    <w:qFormat/>
    <w:rsid w:val="003017BD"/>
    <w:pPr>
      <w:spacing w:before="200" w:after="160"/>
      <w:ind w:left="864" w:right="864"/>
      <w:jc w:val="center"/>
    </w:pPr>
    <w:rPr>
      <w:i/>
      <w:iCs/>
      <w:color w:val="00A4E6"/>
    </w:rPr>
  </w:style>
  <w:style w:type="character" w:customStyle="1" w:styleId="CitazioneCarattere">
    <w:name w:val="Citazione Carattere"/>
    <w:basedOn w:val="Carpredefinitoparagrafo"/>
    <w:link w:val="Citazione"/>
    <w:uiPriority w:val="29"/>
    <w:rsid w:val="003017BD"/>
    <w:rPr>
      <w:rFonts w:ascii="Source Sans Pro" w:hAnsi="Source Sans Pro"/>
      <w:i/>
      <w:iCs/>
      <w:color w:val="00A4E6"/>
      <w:sz w:val="22"/>
      <w:lang w:val="en-US"/>
    </w:rPr>
  </w:style>
  <w:style w:type="paragraph" w:styleId="Sottotitolo">
    <w:name w:val="Subtitle"/>
    <w:aliases w:val="Sottotitolo cover"/>
    <w:basedOn w:val="Normale"/>
    <w:next w:val="Normale"/>
    <w:link w:val="SottotitoloCarattere"/>
    <w:uiPriority w:val="11"/>
    <w:qFormat/>
    <w:rsid w:val="003017BD"/>
    <w:pPr>
      <w:numPr>
        <w:ilvl w:val="1"/>
      </w:numPr>
      <w:spacing w:after="160"/>
    </w:pPr>
    <w:rPr>
      <w:rFonts w:asciiTheme="minorHAnsi" w:hAnsiTheme="minorHAnsi"/>
      <w:color w:val="00A4E6"/>
      <w:spacing w:val="15"/>
      <w:szCs w:val="22"/>
    </w:rPr>
  </w:style>
  <w:style w:type="character" w:customStyle="1" w:styleId="SottotitoloCarattere">
    <w:name w:val="Sottotitolo Carattere"/>
    <w:aliases w:val="Sottotitolo cover Carattere"/>
    <w:basedOn w:val="Carpredefinitoparagrafo"/>
    <w:link w:val="Sottotitolo"/>
    <w:uiPriority w:val="11"/>
    <w:rsid w:val="003017BD"/>
    <w:rPr>
      <w:color w:val="00A4E6"/>
      <w:spacing w:val="15"/>
      <w:sz w:val="22"/>
      <w:szCs w:val="22"/>
      <w:lang w:val="en-US"/>
    </w:rPr>
  </w:style>
  <w:style w:type="character" w:styleId="Enfasidelicata">
    <w:name w:val="Subtle Emphasis"/>
    <w:basedOn w:val="Carpredefinitoparagrafo"/>
    <w:uiPriority w:val="19"/>
    <w:qFormat/>
    <w:rsid w:val="003017BD"/>
    <w:rPr>
      <w:i/>
      <w:iCs/>
      <w:color w:val="00A4E6"/>
      <w:lang w:val="en-US"/>
    </w:rPr>
  </w:style>
  <w:style w:type="character" w:styleId="Riferimentodelicato">
    <w:name w:val="Subtle Reference"/>
    <w:basedOn w:val="Carpredefinitoparagrafo"/>
    <w:uiPriority w:val="31"/>
    <w:qFormat/>
    <w:rsid w:val="003017BD"/>
    <w:rPr>
      <w:smallCaps/>
      <w:color w:val="00A4E6"/>
      <w:lang w:val="en-US"/>
    </w:rPr>
  </w:style>
  <w:style w:type="paragraph" w:styleId="Testodelblocco">
    <w:name w:val="Block Text"/>
    <w:basedOn w:val="Normale"/>
    <w:uiPriority w:val="99"/>
    <w:semiHidden/>
    <w:unhideWhenUsed/>
    <w:rsid w:val="003017BD"/>
    <w:pPr>
      <w:pBdr>
        <w:top w:val="single" w:sz="2" w:space="10" w:color="5080B8" w:themeColor="accent1"/>
        <w:left w:val="single" w:sz="2" w:space="10" w:color="5080B8" w:themeColor="accent1"/>
        <w:bottom w:val="single" w:sz="2" w:space="10" w:color="5080B8" w:themeColor="accent1"/>
        <w:right w:val="single" w:sz="2" w:space="10" w:color="5080B8" w:themeColor="accent1"/>
      </w:pBdr>
      <w:ind w:left="1152" w:right="1152"/>
    </w:pPr>
    <w:rPr>
      <w:rFonts w:asciiTheme="minorHAnsi" w:hAnsiTheme="minorHAnsi"/>
      <w:i/>
      <w:iCs/>
      <w:color w:val="00A4E6"/>
    </w:rPr>
  </w:style>
  <w:style w:type="character" w:styleId="Enfasiintensa">
    <w:name w:val="Intense Emphasis"/>
    <w:basedOn w:val="Carpredefinitoparagrafo"/>
    <w:uiPriority w:val="21"/>
    <w:qFormat/>
    <w:rsid w:val="003017BD"/>
    <w:rPr>
      <w:i/>
      <w:iCs/>
      <w:color w:val="00A4E6"/>
      <w:lang w:val="en-US"/>
    </w:rPr>
  </w:style>
  <w:style w:type="paragraph" w:styleId="Citazioneintensa">
    <w:name w:val="Intense Quote"/>
    <w:basedOn w:val="Normale"/>
    <w:next w:val="Normale"/>
    <w:link w:val="CitazioneintensaCarattere"/>
    <w:uiPriority w:val="30"/>
    <w:qFormat/>
    <w:rsid w:val="003017BD"/>
    <w:pPr>
      <w:pBdr>
        <w:top w:val="single" w:sz="4" w:space="10" w:color="5080B8" w:themeColor="accent1"/>
        <w:bottom w:val="single" w:sz="4" w:space="10" w:color="5080B8" w:themeColor="accent1"/>
      </w:pBdr>
      <w:spacing w:before="360" w:after="360"/>
      <w:ind w:left="864" w:right="864"/>
      <w:jc w:val="center"/>
    </w:pPr>
    <w:rPr>
      <w:i/>
      <w:iCs/>
      <w:color w:val="00A4E6"/>
    </w:rPr>
  </w:style>
  <w:style w:type="character" w:customStyle="1" w:styleId="CitazioneintensaCarattere">
    <w:name w:val="Citazione intensa Carattere"/>
    <w:basedOn w:val="Carpredefinitoparagrafo"/>
    <w:link w:val="Citazioneintensa"/>
    <w:uiPriority w:val="30"/>
    <w:rsid w:val="003017BD"/>
    <w:rPr>
      <w:rFonts w:ascii="Source Sans Pro" w:hAnsi="Source Sans Pro"/>
      <w:i/>
      <w:iCs/>
      <w:color w:val="00A4E6"/>
      <w:sz w:val="22"/>
      <w:lang w:val="en-US"/>
    </w:rPr>
  </w:style>
  <w:style w:type="character" w:styleId="Riferimentointenso">
    <w:name w:val="Intense Reference"/>
    <w:basedOn w:val="Carpredefinitoparagrafo"/>
    <w:uiPriority w:val="32"/>
    <w:qFormat/>
    <w:rsid w:val="003017BD"/>
    <w:rPr>
      <w:b/>
      <w:bCs/>
      <w:smallCaps/>
      <w:color w:val="00A4E6"/>
      <w:spacing w:val="5"/>
      <w:lang w:val="en-US"/>
    </w:rPr>
  </w:style>
  <w:style w:type="paragraph" w:customStyle="1" w:styleId="TableofCodeSamples">
    <w:name w:val="Table of Code Samples"/>
    <w:basedOn w:val="Normale"/>
    <w:qFormat/>
    <w:rsid w:val="00FA41FE"/>
    <w:pPr>
      <w:tabs>
        <w:tab w:val="left" w:pos="1134"/>
        <w:tab w:val="left" w:pos="1560"/>
        <w:tab w:val="right" w:leader="dot" w:pos="8448"/>
      </w:tabs>
      <w:spacing w:before="180" w:after="60" w:line="240" w:lineRule="auto"/>
      <w:ind w:left="1134" w:right="567" w:hanging="1134"/>
    </w:pPr>
    <w:rPr>
      <w:rFonts w:eastAsiaTheme="minorHAnsi"/>
      <w:b/>
      <w:bCs/>
      <w:noProof/>
      <w:sz w:val="20"/>
    </w:rPr>
  </w:style>
  <w:style w:type="paragraph" w:customStyle="1" w:styleId="TableofTables">
    <w:name w:val="Table of Tables"/>
    <w:basedOn w:val="Normale"/>
    <w:qFormat/>
    <w:rsid w:val="006E5D61"/>
    <w:pPr>
      <w:tabs>
        <w:tab w:val="left" w:pos="1134"/>
        <w:tab w:val="left" w:pos="1559"/>
        <w:tab w:val="right" w:leader="dot" w:pos="8448"/>
      </w:tabs>
      <w:ind w:right="624"/>
    </w:pPr>
    <w:rPr>
      <w:rFonts w:eastAsiaTheme="minorHAnsi"/>
      <w:b/>
      <w:bCs/>
      <w:noProof/>
      <w:color w:val="002E5A" w:themeColor="text2"/>
      <w:sz w:val="20"/>
    </w:rPr>
  </w:style>
  <w:style w:type="table" w:styleId="Grigliatabellachiara">
    <w:name w:val="Grid Table Light"/>
    <w:basedOn w:val="Tabellanormale"/>
    <w:uiPriority w:val="40"/>
    <w:rsid w:val="00EC2417"/>
    <w:pPr>
      <w:spacing w:after="0" w:line="240" w:lineRule="auto"/>
    </w:pPr>
    <w:rPr>
      <w:rFonts w:eastAsiaTheme="minorHAnsi"/>
      <w:color w:val="auto"/>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asemplice-2">
    <w:name w:val="Plain Table 2"/>
    <w:basedOn w:val="Tabellanormale"/>
    <w:uiPriority w:val="42"/>
    <w:rsid w:val="00EC2417"/>
    <w:pPr>
      <w:spacing w:after="0" w:line="240" w:lineRule="auto"/>
    </w:pPr>
    <w:rPr>
      <w:lang w:val="en-US"/>
    </w:rPr>
    <w:tblPr>
      <w:tblStyleRowBandSize w:val="1"/>
      <w:tblStyleColBandSize w:val="1"/>
      <w:tblBorders>
        <w:top w:val="single" w:sz="4" w:space="0" w:color="2C97FF" w:themeColor="text1" w:themeTint="80"/>
        <w:bottom w:val="single" w:sz="4" w:space="0" w:color="2C97FF" w:themeColor="text1" w:themeTint="80"/>
      </w:tblBorders>
    </w:tblPr>
    <w:tblStylePr w:type="firstRow">
      <w:rPr>
        <w:b/>
        <w:bCs/>
      </w:rPr>
      <w:tblPr/>
      <w:tcPr>
        <w:tcBorders>
          <w:bottom w:val="single" w:sz="4" w:space="0" w:color="2C97FF" w:themeColor="text1" w:themeTint="80"/>
        </w:tcBorders>
      </w:tcPr>
    </w:tblStylePr>
    <w:tblStylePr w:type="lastRow">
      <w:rPr>
        <w:b/>
        <w:bCs/>
      </w:rPr>
      <w:tblPr/>
      <w:tcPr>
        <w:tcBorders>
          <w:top w:val="single" w:sz="4" w:space="0" w:color="2C97FF" w:themeColor="text1" w:themeTint="80"/>
        </w:tcBorders>
      </w:tcPr>
    </w:tblStylePr>
    <w:tblStylePr w:type="firstCol">
      <w:rPr>
        <w:b/>
        <w:bCs/>
      </w:rPr>
    </w:tblStylePr>
    <w:tblStylePr w:type="lastCol">
      <w:rPr>
        <w:b/>
        <w:bCs/>
      </w:rPr>
    </w:tblStylePr>
    <w:tblStylePr w:type="band1Vert">
      <w:tblPr/>
      <w:tcPr>
        <w:tcBorders>
          <w:left w:val="single" w:sz="4" w:space="0" w:color="2C97FF" w:themeColor="text1" w:themeTint="80"/>
          <w:right w:val="single" w:sz="4" w:space="0" w:color="2C97FF" w:themeColor="text1" w:themeTint="80"/>
        </w:tcBorders>
      </w:tcPr>
    </w:tblStylePr>
    <w:tblStylePr w:type="band2Vert">
      <w:tblPr/>
      <w:tcPr>
        <w:tcBorders>
          <w:left w:val="single" w:sz="4" w:space="0" w:color="2C97FF" w:themeColor="text1" w:themeTint="80"/>
          <w:right w:val="single" w:sz="4" w:space="0" w:color="2C97FF" w:themeColor="text1" w:themeTint="80"/>
        </w:tcBorders>
      </w:tcPr>
    </w:tblStylePr>
    <w:tblStylePr w:type="band1Horz">
      <w:tblPr/>
      <w:tcPr>
        <w:tcBorders>
          <w:top w:val="single" w:sz="4" w:space="0" w:color="2C97FF" w:themeColor="text1" w:themeTint="80"/>
          <w:bottom w:val="single" w:sz="4" w:space="0" w:color="2C97FF" w:themeColor="text1" w:themeTint="80"/>
        </w:tcBorders>
      </w:tcPr>
    </w:tblStylePr>
  </w:style>
  <w:style w:type="table" w:customStyle="1" w:styleId="Blank">
    <w:name w:val="Blank"/>
    <w:basedOn w:val="Tabellanormale"/>
    <w:uiPriority w:val="99"/>
    <w:rsid w:val="00D205E6"/>
    <w:pPr>
      <w:spacing w:after="0" w:line="240" w:lineRule="atLeast"/>
    </w:pPr>
    <w:rPr>
      <w:rFonts w:ascii="Source Sans Pro" w:eastAsiaTheme="minorHAnsi" w:hAnsi="Source Sans Pro"/>
      <w:color w:val="auto"/>
      <w:szCs w:val="18"/>
      <w:lang w:val="en-US"/>
    </w:rPr>
    <w:tblPr>
      <w:tblCellMar>
        <w:left w:w="0" w:type="dxa"/>
        <w:right w:w="0" w:type="dxa"/>
      </w:tblCellMar>
    </w:tblPr>
  </w:style>
  <w:style w:type="paragraph" w:styleId="Puntoelenco">
    <w:name w:val="List Bullet"/>
    <w:basedOn w:val="Normale"/>
    <w:uiPriority w:val="99"/>
    <w:semiHidden/>
    <w:unhideWhenUsed/>
    <w:rsid w:val="002508F2"/>
    <w:pPr>
      <w:numPr>
        <w:numId w:val="14"/>
      </w:numPr>
      <w:contextualSpacing/>
    </w:pPr>
  </w:style>
  <w:style w:type="paragraph" w:customStyle="1" w:styleId="DocDateCover">
    <w:name w:val="~DocDateCover"/>
    <w:basedOn w:val="DocDate"/>
    <w:qFormat/>
    <w:rsid w:val="00B70493"/>
    <w:rPr>
      <w:color w:val="FFFFFF" w:themeColor="background1"/>
    </w:rPr>
  </w:style>
  <w:style w:type="paragraph" w:customStyle="1" w:styleId="StyleDisclaimerBold">
    <w:name w:val="Style ~Disclaimer + Bold"/>
    <w:basedOn w:val="Disclaimer"/>
    <w:rsid w:val="00E8198B"/>
    <w:rPr>
      <w:b/>
      <w:bCs/>
    </w:rPr>
  </w:style>
  <w:style w:type="paragraph" w:customStyle="1" w:styleId="PageNumber">
    <w:name w:val="~PageNumber"/>
    <w:basedOn w:val="DocDate"/>
    <w:qFormat/>
    <w:rsid w:val="0097148E"/>
    <w:pPr>
      <w:ind w:right="28"/>
    </w:pPr>
    <w:rPr>
      <w:color w:val="auto"/>
      <w:sz w:val="16"/>
    </w:rPr>
  </w:style>
  <w:style w:type="paragraph" w:customStyle="1" w:styleId="TableTextLeftLevel1">
    <w:name w:val="~TableTextLeftLevel1"/>
    <w:basedOn w:val="Normale"/>
    <w:qFormat/>
    <w:rsid w:val="00486FB8"/>
    <w:pPr>
      <w:spacing w:before="40" w:after="40" w:line="240" w:lineRule="auto"/>
    </w:pPr>
    <w:rPr>
      <w:b/>
      <w:sz w:val="20"/>
    </w:rPr>
  </w:style>
  <w:style w:type="paragraph" w:customStyle="1" w:styleId="TableTextLeftLevel2">
    <w:name w:val="~TableTextLeftLevel2"/>
    <w:basedOn w:val="TableTextLeftLevel1"/>
    <w:qFormat/>
    <w:rsid w:val="00486FB8"/>
    <w:rPr>
      <w:b w:val="0"/>
      <w:bCs/>
    </w:rPr>
  </w:style>
  <w:style w:type="paragraph" w:styleId="Titolo">
    <w:name w:val="Title"/>
    <w:aliases w:val="cover"/>
    <w:basedOn w:val="Normale"/>
    <w:next w:val="Sottotitolo"/>
    <w:link w:val="TitoloCarattere"/>
    <w:autoRedefine/>
    <w:uiPriority w:val="10"/>
    <w:qFormat/>
    <w:rsid w:val="00327A17"/>
    <w:pPr>
      <w:spacing w:after="120" w:line="240" w:lineRule="auto"/>
      <w:contextualSpacing/>
      <w:jc w:val="center"/>
    </w:pPr>
    <w:rPr>
      <w:rFonts w:ascii="Candara" w:eastAsiaTheme="majorEastAsia" w:hAnsi="Candara" w:cstheme="majorBidi"/>
      <w:b/>
      <w:spacing w:val="-10"/>
      <w:kern w:val="28"/>
      <w:sz w:val="72"/>
      <w:szCs w:val="56"/>
      <w:lang w:val="it-IT"/>
    </w:rPr>
  </w:style>
  <w:style w:type="character" w:customStyle="1" w:styleId="TitoloCarattere">
    <w:name w:val="Titolo Carattere"/>
    <w:aliases w:val="cover Carattere"/>
    <w:basedOn w:val="Carpredefinitoparagrafo"/>
    <w:link w:val="Titolo"/>
    <w:uiPriority w:val="10"/>
    <w:rsid w:val="00327A17"/>
    <w:rPr>
      <w:rFonts w:ascii="Candara" w:eastAsiaTheme="majorEastAsia" w:hAnsi="Candara" w:cstheme="majorBidi"/>
      <w:b/>
      <w:spacing w:val="-10"/>
      <w:kern w:val="28"/>
      <w:sz w:val="72"/>
      <w:szCs w:val="56"/>
      <w:lang w:val="it-IT"/>
    </w:rPr>
  </w:style>
  <w:style w:type="paragraph" w:customStyle="1" w:styleId="elencopuntato">
    <w:name w:val="elenco puntato"/>
    <w:basedOn w:val="Paragrafoelenco"/>
    <w:link w:val="elencopuntatoCarattere"/>
    <w:autoRedefine/>
    <w:qFormat/>
    <w:rsid w:val="00327A17"/>
    <w:pPr>
      <w:spacing w:after="120" w:line="360" w:lineRule="auto"/>
      <w:ind w:left="0"/>
    </w:pPr>
    <w:rPr>
      <w:rFonts w:eastAsiaTheme="minorHAnsi"/>
      <w:szCs w:val="18"/>
    </w:rPr>
  </w:style>
  <w:style w:type="paragraph" w:customStyle="1" w:styleId="elencopuntato2">
    <w:name w:val="elenco puntato 2"/>
    <w:basedOn w:val="Paragrafoelenco"/>
    <w:autoRedefine/>
    <w:qFormat/>
    <w:rsid w:val="00327A17"/>
    <w:pPr>
      <w:numPr>
        <w:numId w:val="19"/>
      </w:numPr>
      <w:spacing w:after="120" w:line="240" w:lineRule="auto"/>
    </w:pPr>
    <w:rPr>
      <w:rFonts w:ascii="Segoe UI" w:eastAsiaTheme="minorHAnsi" w:hAnsi="Segoe UI"/>
      <w:color w:val="002E5A" w:themeColor="text2"/>
      <w:sz w:val="20"/>
      <w:lang w:val="it-IT"/>
    </w:rPr>
  </w:style>
  <w:style w:type="character" w:styleId="Numeropagina">
    <w:name w:val="page number"/>
    <w:basedOn w:val="Carpredefinitoparagrafo"/>
    <w:uiPriority w:val="99"/>
    <w:semiHidden/>
    <w:unhideWhenUsed/>
    <w:rsid w:val="00327A17"/>
  </w:style>
  <w:style w:type="paragraph" w:customStyle="1" w:styleId="elencopuntato3">
    <w:name w:val="elenco puntato 3"/>
    <w:basedOn w:val="elencopuntato2"/>
    <w:autoRedefine/>
    <w:qFormat/>
    <w:rsid w:val="00327A17"/>
    <w:pPr>
      <w:numPr>
        <w:ilvl w:val="1"/>
      </w:numPr>
    </w:pPr>
    <w:rPr>
      <w:lang w:val="en-US"/>
    </w:rPr>
  </w:style>
  <w:style w:type="table" w:styleId="Tabellagriglia4-colore2">
    <w:name w:val="Grid Table 4 Accent 2"/>
    <w:basedOn w:val="Tabellanormale"/>
    <w:uiPriority w:val="49"/>
    <w:rsid w:val="00327A17"/>
    <w:pPr>
      <w:spacing w:after="0" w:line="240" w:lineRule="auto"/>
    </w:pPr>
    <w:rPr>
      <w:rFonts w:eastAsiaTheme="minorHAnsi"/>
      <w:color w:val="auto"/>
      <w:sz w:val="24"/>
      <w:szCs w:val="24"/>
      <w:lang w:val="it-IT"/>
    </w:rPr>
    <w:tblPr>
      <w:tblStyleRowBandSize w:val="1"/>
      <w:tblStyleColBandSize w:val="1"/>
      <w:tblBorders>
        <w:top w:val="single" w:sz="4" w:space="0" w:color="79CFD7" w:themeColor="accent2" w:themeTint="99"/>
        <w:left w:val="single" w:sz="4" w:space="0" w:color="79CFD7" w:themeColor="accent2" w:themeTint="99"/>
        <w:bottom w:val="single" w:sz="4" w:space="0" w:color="79CFD7" w:themeColor="accent2" w:themeTint="99"/>
        <w:right w:val="single" w:sz="4" w:space="0" w:color="79CFD7" w:themeColor="accent2" w:themeTint="99"/>
        <w:insideH w:val="single" w:sz="4" w:space="0" w:color="79CFD7" w:themeColor="accent2" w:themeTint="99"/>
        <w:insideV w:val="single" w:sz="4" w:space="0" w:color="79CFD7" w:themeColor="accent2" w:themeTint="99"/>
      </w:tblBorders>
    </w:tblPr>
    <w:tblStylePr w:type="firstRow">
      <w:rPr>
        <w:b/>
        <w:bCs/>
        <w:color w:val="FFFFFF" w:themeColor="background1"/>
      </w:rPr>
      <w:tblPr/>
      <w:tcPr>
        <w:tcBorders>
          <w:top w:val="single" w:sz="4" w:space="0" w:color="33A1AB" w:themeColor="accent2"/>
          <w:left w:val="single" w:sz="4" w:space="0" w:color="33A1AB" w:themeColor="accent2"/>
          <w:bottom w:val="single" w:sz="4" w:space="0" w:color="33A1AB" w:themeColor="accent2"/>
          <w:right w:val="single" w:sz="4" w:space="0" w:color="33A1AB" w:themeColor="accent2"/>
          <w:insideH w:val="nil"/>
          <w:insideV w:val="nil"/>
        </w:tcBorders>
        <w:shd w:val="clear" w:color="auto" w:fill="33A1AB" w:themeFill="accent2"/>
      </w:tcPr>
    </w:tblStylePr>
    <w:tblStylePr w:type="lastRow">
      <w:rPr>
        <w:b/>
        <w:bCs/>
      </w:rPr>
      <w:tblPr/>
      <w:tcPr>
        <w:tcBorders>
          <w:top w:val="double" w:sz="4" w:space="0" w:color="33A1AB" w:themeColor="accent2"/>
        </w:tcBorders>
      </w:tcPr>
    </w:tblStylePr>
    <w:tblStylePr w:type="firstCol">
      <w:rPr>
        <w:b/>
        <w:bCs/>
      </w:rPr>
    </w:tblStylePr>
    <w:tblStylePr w:type="lastCol">
      <w:rPr>
        <w:b/>
        <w:bCs/>
      </w:rPr>
    </w:tblStylePr>
    <w:tblStylePr w:type="band1Vert">
      <w:tblPr/>
      <w:tcPr>
        <w:shd w:val="clear" w:color="auto" w:fill="D2EFF1" w:themeFill="accent2" w:themeFillTint="33"/>
      </w:tcPr>
    </w:tblStylePr>
    <w:tblStylePr w:type="band1Horz">
      <w:tblPr/>
      <w:tcPr>
        <w:shd w:val="clear" w:color="auto" w:fill="D2EFF1" w:themeFill="accent2" w:themeFillTint="33"/>
      </w:tcPr>
    </w:tblStylePr>
  </w:style>
  <w:style w:type="table" w:styleId="Tabellagriglia4-colore1">
    <w:name w:val="Grid Table 4 Accent 1"/>
    <w:basedOn w:val="Tabellanormale"/>
    <w:uiPriority w:val="49"/>
    <w:rsid w:val="00327A17"/>
    <w:pPr>
      <w:spacing w:after="0" w:line="240" w:lineRule="auto"/>
    </w:pPr>
    <w:rPr>
      <w:rFonts w:eastAsiaTheme="minorHAnsi"/>
      <w:color w:val="auto"/>
      <w:sz w:val="24"/>
      <w:szCs w:val="24"/>
      <w:lang w:val="it-IT"/>
    </w:rPr>
    <w:tblPr>
      <w:tblStyleRowBandSize w:val="1"/>
      <w:tblStyleColBandSize w:val="1"/>
      <w:tblBorders>
        <w:top w:val="single" w:sz="4" w:space="0" w:color="95B2D4" w:themeColor="accent1" w:themeTint="99"/>
        <w:left w:val="single" w:sz="4" w:space="0" w:color="95B2D4" w:themeColor="accent1" w:themeTint="99"/>
        <w:bottom w:val="single" w:sz="4" w:space="0" w:color="95B2D4" w:themeColor="accent1" w:themeTint="99"/>
        <w:right w:val="single" w:sz="4" w:space="0" w:color="95B2D4" w:themeColor="accent1" w:themeTint="99"/>
        <w:insideH w:val="single" w:sz="4" w:space="0" w:color="95B2D4" w:themeColor="accent1" w:themeTint="99"/>
        <w:insideV w:val="single" w:sz="4" w:space="0" w:color="95B2D4" w:themeColor="accent1" w:themeTint="99"/>
      </w:tblBorders>
    </w:tblPr>
    <w:tblStylePr w:type="firstRow">
      <w:rPr>
        <w:b/>
        <w:bCs/>
        <w:color w:val="FFFFFF" w:themeColor="background1"/>
      </w:rPr>
      <w:tblPr/>
      <w:tcPr>
        <w:tcBorders>
          <w:top w:val="single" w:sz="4" w:space="0" w:color="5080B8" w:themeColor="accent1"/>
          <w:left w:val="single" w:sz="4" w:space="0" w:color="5080B8" w:themeColor="accent1"/>
          <w:bottom w:val="single" w:sz="4" w:space="0" w:color="5080B8" w:themeColor="accent1"/>
          <w:right w:val="single" w:sz="4" w:space="0" w:color="5080B8" w:themeColor="accent1"/>
          <w:insideH w:val="nil"/>
          <w:insideV w:val="nil"/>
        </w:tcBorders>
        <w:shd w:val="clear" w:color="auto" w:fill="5080B8" w:themeFill="accent1"/>
      </w:tcPr>
    </w:tblStylePr>
    <w:tblStylePr w:type="lastRow">
      <w:rPr>
        <w:b/>
        <w:bCs/>
      </w:rPr>
      <w:tblPr/>
      <w:tcPr>
        <w:tcBorders>
          <w:top w:val="double" w:sz="4" w:space="0" w:color="5080B8" w:themeColor="accent1"/>
        </w:tcBorders>
      </w:tcPr>
    </w:tblStylePr>
    <w:tblStylePr w:type="firstCol">
      <w:rPr>
        <w:b/>
        <w:bCs/>
      </w:rPr>
    </w:tblStylePr>
    <w:tblStylePr w:type="lastCol">
      <w:rPr>
        <w:b/>
        <w:bCs/>
      </w:rPr>
    </w:tblStylePr>
    <w:tblStylePr w:type="band1Vert">
      <w:tblPr/>
      <w:tcPr>
        <w:shd w:val="clear" w:color="auto" w:fill="DBE5F0" w:themeFill="accent1" w:themeFillTint="33"/>
      </w:tcPr>
    </w:tblStylePr>
    <w:tblStylePr w:type="band1Horz">
      <w:tblPr/>
      <w:tcPr>
        <w:shd w:val="clear" w:color="auto" w:fill="DBE5F0" w:themeFill="accent1" w:themeFillTint="33"/>
      </w:tcPr>
    </w:tblStylePr>
  </w:style>
  <w:style w:type="table" w:styleId="Tabellaelenco3-colore2">
    <w:name w:val="List Table 3 Accent 2"/>
    <w:basedOn w:val="Tabellanormale"/>
    <w:uiPriority w:val="48"/>
    <w:rsid w:val="00327A17"/>
    <w:pPr>
      <w:spacing w:after="0" w:line="240" w:lineRule="auto"/>
    </w:pPr>
    <w:rPr>
      <w:rFonts w:eastAsiaTheme="minorHAnsi"/>
      <w:color w:val="auto"/>
      <w:sz w:val="24"/>
      <w:szCs w:val="24"/>
      <w:lang w:val="it-IT"/>
    </w:rPr>
    <w:tblPr>
      <w:tblStyleRowBandSize w:val="1"/>
      <w:tblStyleColBandSize w:val="1"/>
      <w:tblBorders>
        <w:top w:val="single" w:sz="4" w:space="0" w:color="33A1AB" w:themeColor="accent2"/>
        <w:left w:val="single" w:sz="4" w:space="0" w:color="33A1AB" w:themeColor="accent2"/>
        <w:bottom w:val="single" w:sz="4" w:space="0" w:color="33A1AB" w:themeColor="accent2"/>
        <w:right w:val="single" w:sz="4" w:space="0" w:color="33A1AB" w:themeColor="accent2"/>
      </w:tblBorders>
    </w:tblPr>
    <w:tblStylePr w:type="firstRow">
      <w:rPr>
        <w:b/>
        <w:bCs/>
        <w:color w:val="FFFFFF" w:themeColor="background1"/>
      </w:rPr>
      <w:tblPr/>
      <w:tcPr>
        <w:shd w:val="clear" w:color="auto" w:fill="33A1AB" w:themeFill="accent2"/>
      </w:tcPr>
    </w:tblStylePr>
    <w:tblStylePr w:type="lastRow">
      <w:rPr>
        <w:b/>
        <w:bCs/>
      </w:rPr>
      <w:tblPr/>
      <w:tcPr>
        <w:tcBorders>
          <w:top w:val="double" w:sz="4" w:space="0" w:color="33A1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A1AB" w:themeColor="accent2"/>
          <w:right w:val="single" w:sz="4" w:space="0" w:color="33A1AB" w:themeColor="accent2"/>
        </w:tcBorders>
      </w:tcPr>
    </w:tblStylePr>
    <w:tblStylePr w:type="band1Horz">
      <w:tblPr/>
      <w:tcPr>
        <w:tcBorders>
          <w:top w:val="single" w:sz="4" w:space="0" w:color="33A1AB" w:themeColor="accent2"/>
          <w:bottom w:val="single" w:sz="4" w:space="0" w:color="33A1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A1AB" w:themeColor="accent2"/>
          <w:left w:val="nil"/>
        </w:tcBorders>
      </w:tcPr>
    </w:tblStylePr>
    <w:tblStylePr w:type="swCell">
      <w:tblPr/>
      <w:tcPr>
        <w:tcBorders>
          <w:top w:val="double" w:sz="4" w:space="0" w:color="33A1AB" w:themeColor="accent2"/>
          <w:right w:val="nil"/>
        </w:tcBorders>
      </w:tcPr>
    </w:tblStylePr>
  </w:style>
  <w:style w:type="table" w:styleId="Tabellaelenco4-colore2">
    <w:name w:val="List Table 4 Accent 2"/>
    <w:basedOn w:val="Tabellanormale"/>
    <w:uiPriority w:val="49"/>
    <w:rsid w:val="00327A17"/>
    <w:pPr>
      <w:spacing w:after="0" w:line="240" w:lineRule="auto"/>
    </w:pPr>
    <w:rPr>
      <w:rFonts w:eastAsiaTheme="minorHAnsi"/>
      <w:color w:val="auto"/>
      <w:sz w:val="24"/>
      <w:szCs w:val="24"/>
      <w:lang w:val="it-IT"/>
    </w:rPr>
    <w:tblPr>
      <w:tblStyleRowBandSize w:val="1"/>
      <w:tblStyleColBandSize w:val="1"/>
      <w:tblBorders>
        <w:top w:val="single" w:sz="4" w:space="0" w:color="79CFD7" w:themeColor="accent2" w:themeTint="99"/>
        <w:left w:val="single" w:sz="4" w:space="0" w:color="79CFD7" w:themeColor="accent2" w:themeTint="99"/>
        <w:bottom w:val="single" w:sz="4" w:space="0" w:color="79CFD7" w:themeColor="accent2" w:themeTint="99"/>
        <w:right w:val="single" w:sz="4" w:space="0" w:color="79CFD7" w:themeColor="accent2" w:themeTint="99"/>
        <w:insideH w:val="single" w:sz="4" w:space="0" w:color="79CFD7" w:themeColor="accent2" w:themeTint="99"/>
      </w:tblBorders>
    </w:tblPr>
    <w:tblStylePr w:type="firstRow">
      <w:rPr>
        <w:b/>
        <w:bCs/>
        <w:color w:val="FFFFFF" w:themeColor="background1"/>
      </w:rPr>
      <w:tblPr/>
      <w:tcPr>
        <w:tcBorders>
          <w:top w:val="single" w:sz="4" w:space="0" w:color="33A1AB" w:themeColor="accent2"/>
          <w:left w:val="single" w:sz="4" w:space="0" w:color="33A1AB" w:themeColor="accent2"/>
          <w:bottom w:val="single" w:sz="4" w:space="0" w:color="33A1AB" w:themeColor="accent2"/>
          <w:right w:val="single" w:sz="4" w:space="0" w:color="33A1AB" w:themeColor="accent2"/>
          <w:insideH w:val="nil"/>
        </w:tcBorders>
        <w:shd w:val="clear" w:color="auto" w:fill="33A1AB" w:themeFill="accent2"/>
      </w:tcPr>
    </w:tblStylePr>
    <w:tblStylePr w:type="lastRow">
      <w:rPr>
        <w:b/>
        <w:bCs/>
      </w:rPr>
      <w:tblPr/>
      <w:tcPr>
        <w:tcBorders>
          <w:top w:val="double" w:sz="4" w:space="0" w:color="79CFD7" w:themeColor="accent2" w:themeTint="99"/>
        </w:tcBorders>
      </w:tcPr>
    </w:tblStylePr>
    <w:tblStylePr w:type="firstCol">
      <w:rPr>
        <w:b/>
        <w:bCs/>
      </w:rPr>
    </w:tblStylePr>
    <w:tblStylePr w:type="lastCol">
      <w:rPr>
        <w:b/>
        <w:bCs/>
      </w:rPr>
    </w:tblStylePr>
    <w:tblStylePr w:type="band1Vert">
      <w:tblPr/>
      <w:tcPr>
        <w:shd w:val="clear" w:color="auto" w:fill="D2EFF1" w:themeFill="accent2" w:themeFillTint="33"/>
      </w:tcPr>
    </w:tblStylePr>
    <w:tblStylePr w:type="band1Horz">
      <w:tblPr/>
      <w:tcPr>
        <w:shd w:val="clear" w:color="auto" w:fill="D2EFF1" w:themeFill="accent2" w:themeFillTint="33"/>
      </w:tcPr>
    </w:tblStylePr>
  </w:style>
  <w:style w:type="table" w:styleId="Tabellaelenco7acolori-colore3">
    <w:name w:val="List Table 7 Colorful Accent 3"/>
    <w:basedOn w:val="Tabellanormale"/>
    <w:uiPriority w:val="52"/>
    <w:rsid w:val="00327A17"/>
    <w:pPr>
      <w:spacing w:after="0" w:line="240" w:lineRule="auto"/>
    </w:pPr>
    <w:rPr>
      <w:rFonts w:eastAsiaTheme="minorHAnsi"/>
      <w:color w:val="6F1AD0" w:themeColor="accent3" w:themeShade="BF"/>
      <w:sz w:val="24"/>
      <w:szCs w:val="24"/>
      <w:lang w:val="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51E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51E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51E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51E9" w:themeColor="accent3"/>
        </w:tcBorders>
        <w:shd w:val="clear" w:color="auto" w:fill="FFFFFF" w:themeFill="background1"/>
      </w:tcPr>
    </w:tblStylePr>
    <w:tblStylePr w:type="band1Vert">
      <w:tblPr/>
      <w:tcPr>
        <w:shd w:val="clear" w:color="auto" w:fill="EADCFA" w:themeFill="accent3" w:themeFillTint="33"/>
      </w:tcPr>
    </w:tblStylePr>
    <w:tblStylePr w:type="band1Horz">
      <w:tblPr/>
      <w:tcPr>
        <w:shd w:val="clear" w:color="auto" w:fill="EADC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ella-intestazione">
    <w:name w:val="Tabella - intestazione"/>
    <w:basedOn w:val="Normale"/>
    <w:autoRedefine/>
    <w:qFormat/>
    <w:rsid w:val="00327A17"/>
    <w:pPr>
      <w:spacing w:after="120" w:line="240" w:lineRule="auto"/>
    </w:pPr>
    <w:rPr>
      <w:rFonts w:ascii="Segoe UI" w:eastAsiaTheme="minorHAnsi" w:hAnsi="Segoe UI"/>
      <w:b/>
      <w:bCs/>
      <w:caps/>
      <w:color w:val="FFFFFF" w:themeColor="background1"/>
      <w:sz w:val="20"/>
      <w:lang w:val="it-IT"/>
    </w:rPr>
  </w:style>
  <w:style w:type="paragraph" w:customStyle="1" w:styleId="Default">
    <w:name w:val="Default"/>
    <w:rsid w:val="00327A17"/>
    <w:pPr>
      <w:autoSpaceDE w:val="0"/>
      <w:autoSpaceDN w:val="0"/>
      <w:adjustRightInd w:val="0"/>
      <w:spacing w:after="0" w:line="240" w:lineRule="auto"/>
    </w:pPr>
    <w:rPr>
      <w:rFonts w:ascii="Calibri" w:eastAsiaTheme="minorHAnsi" w:hAnsi="Calibri" w:cs="Calibri"/>
      <w:color w:val="000000"/>
      <w:sz w:val="24"/>
      <w:szCs w:val="24"/>
      <w:lang w:val="it-IT"/>
    </w:rPr>
  </w:style>
  <w:style w:type="table" w:customStyle="1" w:styleId="Tabellagriglia4-colore21">
    <w:name w:val="Tabella griglia 4 - colore 21"/>
    <w:basedOn w:val="Tabellanormale"/>
    <w:uiPriority w:val="49"/>
    <w:rsid w:val="00327A17"/>
    <w:pPr>
      <w:spacing w:after="0" w:line="240" w:lineRule="auto"/>
    </w:pPr>
    <w:rPr>
      <w:rFonts w:eastAsiaTheme="minorHAnsi"/>
      <w:color w:val="auto"/>
      <w:sz w:val="24"/>
      <w:szCs w:val="24"/>
      <w:lang w:val="it-IT"/>
    </w:rPr>
    <w:tblPr>
      <w:tblStyleRowBandSize w:val="1"/>
      <w:tblStyleColBandSize w:val="1"/>
      <w:tblBorders>
        <w:top w:val="single" w:sz="4" w:space="0" w:color="79CFD7" w:themeColor="accent2" w:themeTint="99"/>
        <w:left w:val="single" w:sz="4" w:space="0" w:color="79CFD7" w:themeColor="accent2" w:themeTint="99"/>
        <w:bottom w:val="single" w:sz="4" w:space="0" w:color="79CFD7" w:themeColor="accent2" w:themeTint="99"/>
        <w:right w:val="single" w:sz="4" w:space="0" w:color="79CFD7" w:themeColor="accent2" w:themeTint="99"/>
        <w:insideH w:val="single" w:sz="4" w:space="0" w:color="79CFD7" w:themeColor="accent2" w:themeTint="99"/>
        <w:insideV w:val="single" w:sz="4" w:space="0" w:color="79CFD7" w:themeColor="accent2" w:themeTint="99"/>
      </w:tblBorders>
    </w:tblPr>
    <w:tblStylePr w:type="firstRow">
      <w:rPr>
        <w:b/>
        <w:bCs/>
        <w:color w:val="FFFFFF" w:themeColor="background1"/>
      </w:rPr>
      <w:tblPr/>
      <w:tcPr>
        <w:tcBorders>
          <w:top w:val="single" w:sz="4" w:space="0" w:color="33A1AB" w:themeColor="accent2"/>
          <w:left w:val="single" w:sz="4" w:space="0" w:color="33A1AB" w:themeColor="accent2"/>
          <w:bottom w:val="single" w:sz="4" w:space="0" w:color="33A1AB" w:themeColor="accent2"/>
          <w:right w:val="single" w:sz="4" w:space="0" w:color="33A1AB" w:themeColor="accent2"/>
          <w:insideH w:val="nil"/>
          <w:insideV w:val="nil"/>
        </w:tcBorders>
        <w:shd w:val="clear" w:color="auto" w:fill="33A1AB" w:themeFill="accent2"/>
      </w:tcPr>
    </w:tblStylePr>
    <w:tblStylePr w:type="lastRow">
      <w:rPr>
        <w:b/>
        <w:bCs/>
      </w:rPr>
      <w:tblPr/>
      <w:tcPr>
        <w:tcBorders>
          <w:top w:val="double" w:sz="4" w:space="0" w:color="33A1AB" w:themeColor="accent2"/>
        </w:tcBorders>
      </w:tcPr>
    </w:tblStylePr>
    <w:tblStylePr w:type="firstCol">
      <w:rPr>
        <w:b/>
        <w:bCs/>
      </w:rPr>
    </w:tblStylePr>
    <w:tblStylePr w:type="lastCol">
      <w:rPr>
        <w:b/>
        <w:bCs/>
      </w:rPr>
    </w:tblStylePr>
    <w:tblStylePr w:type="band1Vert">
      <w:tblPr/>
      <w:tcPr>
        <w:shd w:val="clear" w:color="auto" w:fill="D2EFF1" w:themeFill="accent2" w:themeFillTint="33"/>
      </w:tcPr>
    </w:tblStylePr>
    <w:tblStylePr w:type="band1Horz">
      <w:tblPr/>
      <w:tcPr>
        <w:shd w:val="clear" w:color="auto" w:fill="D2EFF1" w:themeFill="accent2" w:themeFillTint="33"/>
      </w:tcPr>
    </w:tblStylePr>
  </w:style>
  <w:style w:type="paragraph" w:customStyle="1" w:styleId="Indice">
    <w:name w:val="Indice"/>
    <w:basedOn w:val="Titolo1"/>
    <w:link w:val="IndiceCarattere"/>
    <w:qFormat/>
    <w:rsid w:val="00327A17"/>
    <w:pPr>
      <w:keepNext w:val="0"/>
      <w:pageBreakBefore w:val="0"/>
      <w:spacing w:before="120" w:after="120"/>
      <w:jc w:val="both"/>
    </w:pPr>
    <w:rPr>
      <w:rFonts w:ascii="Candara" w:eastAsiaTheme="minorHAnsi" w:hAnsi="Candara"/>
      <w:b/>
      <w:sz w:val="40"/>
      <w:szCs w:val="40"/>
      <w:lang w:val="it-IT"/>
    </w:rPr>
  </w:style>
  <w:style w:type="numbering" w:customStyle="1" w:styleId="Stile1">
    <w:name w:val="Stile1"/>
    <w:uiPriority w:val="99"/>
    <w:rsid w:val="00327A17"/>
    <w:pPr>
      <w:numPr>
        <w:numId w:val="20"/>
      </w:numPr>
    </w:pPr>
  </w:style>
  <w:style w:type="character" w:customStyle="1" w:styleId="IndiceCarattere">
    <w:name w:val="Indice Carattere"/>
    <w:basedOn w:val="Titolo1Carattere"/>
    <w:link w:val="Indice"/>
    <w:rsid w:val="00327A17"/>
    <w:rPr>
      <w:rFonts w:ascii="Candara" w:eastAsiaTheme="minorHAnsi" w:hAnsi="Candara" w:cstheme="majorBidi"/>
      <w:b/>
      <w:color w:val="33A1AB" w:themeColor="accent2"/>
      <w:sz w:val="40"/>
      <w:szCs w:val="40"/>
      <w:lang w:val="it-IT"/>
    </w:rPr>
  </w:style>
  <w:style w:type="table" w:customStyle="1" w:styleId="NormalTable00">
    <w:name w:val="Normal Table00"/>
    <w:uiPriority w:val="2"/>
    <w:semiHidden/>
    <w:unhideWhenUsed/>
    <w:qFormat/>
    <w:rsid w:val="00327A17"/>
    <w:pPr>
      <w:widowControl w:val="0"/>
      <w:autoSpaceDE w:val="0"/>
      <w:autoSpaceDN w:val="0"/>
      <w:spacing w:after="0" w:line="240" w:lineRule="auto"/>
    </w:pPr>
    <w:rPr>
      <w:rFonts w:eastAsiaTheme="minorHAnsi"/>
      <w:color w:val="auto"/>
      <w:sz w:val="22"/>
      <w:szCs w:val="22"/>
      <w:lang w:val="en-US"/>
    </w:rPr>
    <w:tblPr>
      <w:tblInd w:w="0" w:type="dxa"/>
      <w:tblCellMar>
        <w:top w:w="0" w:type="dxa"/>
        <w:left w:w="0" w:type="dxa"/>
        <w:bottom w:w="0" w:type="dxa"/>
        <w:right w:w="0" w:type="dxa"/>
      </w:tblCellMar>
    </w:tblPr>
  </w:style>
  <w:style w:type="paragraph" w:customStyle="1" w:styleId="Elencopuntatonumerato">
    <w:name w:val="Elenco puntato numerato"/>
    <w:basedOn w:val="elencopuntato"/>
    <w:link w:val="ElencopuntatonumeratoCarattere"/>
    <w:qFormat/>
    <w:rsid w:val="00327A17"/>
    <w:pPr>
      <w:numPr>
        <w:numId w:val="21"/>
      </w:numPr>
    </w:pPr>
    <w:rPr>
      <w:lang w:val="it-IT"/>
    </w:rPr>
  </w:style>
  <w:style w:type="character" w:customStyle="1" w:styleId="ParagrafoelencoCarattere">
    <w:name w:val="Paragrafo elenco Carattere"/>
    <w:basedOn w:val="Carpredefinitoparagrafo"/>
    <w:link w:val="Paragrafoelenco"/>
    <w:uiPriority w:val="34"/>
    <w:rsid w:val="00327A17"/>
    <w:rPr>
      <w:rFonts w:ascii="Source Sans Pro" w:hAnsi="Source Sans Pro"/>
      <w:sz w:val="22"/>
      <w:lang w:val="en-US"/>
    </w:rPr>
  </w:style>
  <w:style w:type="character" w:customStyle="1" w:styleId="elencopuntatoCarattere">
    <w:name w:val="elenco puntato Carattere"/>
    <w:basedOn w:val="ParagrafoelencoCarattere"/>
    <w:link w:val="elencopuntato"/>
    <w:rsid w:val="00327A17"/>
    <w:rPr>
      <w:rFonts w:ascii="Source Sans Pro" w:eastAsiaTheme="minorHAnsi" w:hAnsi="Source Sans Pro"/>
      <w:sz w:val="22"/>
      <w:szCs w:val="18"/>
      <w:lang w:val="en-US"/>
    </w:rPr>
  </w:style>
  <w:style w:type="character" w:customStyle="1" w:styleId="ElencopuntatonumeratoCarattere">
    <w:name w:val="Elenco puntato numerato Carattere"/>
    <w:basedOn w:val="elencopuntatoCarattere"/>
    <w:link w:val="Elencopuntatonumerato"/>
    <w:rsid w:val="00327A17"/>
    <w:rPr>
      <w:rFonts w:ascii="Source Sans Pro" w:eastAsiaTheme="minorHAnsi" w:hAnsi="Source Sans Pro"/>
      <w:sz w:val="22"/>
      <w:szCs w:val="18"/>
      <w:lang w:val="it-IT"/>
    </w:rPr>
  </w:style>
  <w:style w:type="table" w:customStyle="1" w:styleId="Grigliatabella1">
    <w:name w:val="Griglia tabella1"/>
    <w:basedOn w:val="Tabellanormale"/>
    <w:next w:val="Grigliatabella"/>
    <w:uiPriority w:val="59"/>
    <w:rsid w:val="00327A17"/>
    <w:pPr>
      <w:spacing w:after="0" w:line="240" w:lineRule="auto"/>
    </w:pPr>
    <w:rPr>
      <w:rFonts w:ascii="Times New Roman" w:eastAsia="Times New Roman" w:hAnsi="Times New Roman" w:cs="Times New Roman"/>
      <w:color w:val="auto"/>
      <w:lang w:val="it-IT"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Carpredefinitoparagrafo"/>
    <w:rsid w:val="00327A17"/>
  </w:style>
  <w:style w:type="table" w:styleId="Tabellagriglia2-colore2">
    <w:name w:val="Grid Table 2 Accent 2"/>
    <w:basedOn w:val="Tabellanormale"/>
    <w:uiPriority w:val="47"/>
    <w:rsid w:val="00327A17"/>
    <w:pPr>
      <w:spacing w:after="0" w:line="240" w:lineRule="auto"/>
    </w:pPr>
    <w:rPr>
      <w:rFonts w:eastAsiaTheme="minorHAnsi"/>
      <w:color w:val="auto"/>
      <w:sz w:val="24"/>
      <w:szCs w:val="24"/>
      <w:lang w:val="it-IT"/>
    </w:rPr>
    <w:tblPr>
      <w:tblStyleRowBandSize w:val="1"/>
      <w:tblStyleColBandSize w:val="1"/>
      <w:tblBorders>
        <w:top w:val="single" w:sz="2" w:space="0" w:color="79CFD7" w:themeColor="accent2" w:themeTint="99"/>
        <w:bottom w:val="single" w:sz="2" w:space="0" w:color="79CFD7" w:themeColor="accent2" w:themeTint="99"/>
        <w:insideH w:val="single" w:sz="2" w:space="0" w:color="79CFD7" w:themeColor="accent2" w:themeTint="99"/>
        <w:insideV w:val="single" w:sz="2" w:space="0" w:color="79CFD7" w:themeColor="accent2" w:themeTint="99"/>
      </w:tblBorders>
    </w:tblPr>
    <w:tblStylePr w:type="firstRow">
      <w:rPr>
        <w:b/>
        <w:bCs/>
      </w:rPr>
      <w:tblPr/>
      <w:tcPr>
        <w:tcBorders>
          <w:top w:val="nil"/>
          <w:bottom w:val="single" w:sz="12" w:space="0" w:color="79CFD7" w:themeColor="accent2" w:themeTint="99"/>
          <w:insideH w:val="nil"/>
          <w:insideV w:val="nil"/>
        </w:tcBorders>
        <w:shd w:val="clear" w:color="auto" w:fill="FFFFFF" w:themeFill="background1"/>
      </w:tcPr>
    </w:tblStylePr>
    <w:tblStylePr w:type="lastRow">
      <w:rPr>
        <w:b/>
        <w:bCs/>
      </w:rPr>
      <w:tblPr/>
      <w:tcPr>
        <w:tcBorders>
          <w:top w:val="double" w:sz="2" w:space="0" w:color="79CFD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EFF1" w:themeFill="accent2" w:themeFillTint="33"/>
      </w:tcPr>
    </w:tblStylePr>
    <w:tblStylePr w:type="band1Horz">
      <w:tblPr/>
      <w:tcPr>
        <w:shd w:val="clear" w:color="auto" w:fill="D2EFF1" w:themeFill="accent2" w:themeFillTint="33"/>
      </w:tcPr>
    </w:tblStylePr>
  </w:style>
  <w:style w:type="table" w:styleId="Tabellagriglia4-colore4">
    <w:name w:val="Grid Table 4 Accent 4"/>
    <w:basedOn w:val="Tabellanormale"/>
    <w:uiPriority w:val="49"/>
    <w:rsid w:val="00327A17"/>
    <w:pPr>
      <w:spacing w:after="0" w:line="240" w:lineRule="auto"/>
    </w:pPr>
    <w:rPr>
      <w:rFonts w:eastAsiaTheme="minorHAnsi"/>
      <w:color w:val="auto"/>
      <w:sz w:val="24"/>
      <w:szCs w:val="24"/>
      <w:lang w:val="it-IT"/>
    </w:rPr>
    <w:tblPr>
      <w:tblStyleRowBandSize w:val="1"/>
      <w:tblStyleColBandSize w:val="1"/>
      <w:tblBorders>
        <w:top w:val="single" w:sz="4" w:space="0" w:color="CFCFD2" w:themeColor="accent4" w:themeTint="99"/>
        <w:left w:val="single" w:sz="4" w:space="0" w:color="CFCFD2" w:themeColor="accent4" w:themeTint="99"/>
        <w:bottom w:val="single" w:sz="4" w:space="0" w:color="CFCFD2" w:themeColor="accent4" w:themeTint="99"/>
        <w:right w:val="single" w:sz="4" w:space="0" w:color="CFCFD2" w:themeColor="accent4" w:themeTint="99"/>
        <w:insideH w:val="single" w:sz="4" w:space="0" w:color="CFCFD2" w:themeColor="accent4" w:themeTint="99"/>
        <w:insideV w:val="single" w:sz="4" w:space="0" w:color="CFCFD2" w:themeColor="accent4" w:themeTint="99"/>
      </w:tblBorders>
    </w:tblPr>
    <w:tblStylePr w:type="firstRow">
      <w:rPr>
        <w:b/>
        <w:bCs/>
        <w:color w:val="FFFFFF" w:themeColor="background1"/>
      </w:rPr>
      <w:tblPr/>
      <w:tcPr>
        <w:tcBorders>
          <w:top w:val="single" w:sz="4" w:space="0" w:color="AFAFB4" w:themeColor="accent4"/>
          <w:left w:val="single" w:sz="4" w:space="0" w:color="AFAFB4" w:themeColor="accent4"/>
          <w:bottom w:val="single" w:sz="4" w:space="0" w:color="AFAFB4" w:themeColor="accent4"/>
          <w:right w:val="single" w:sz="4" w:space="0" w:color="AFAFB4" w:themeColor="accent4"/>
          <w:insideH w:val="nil"/>
          <w:insideV w:val="nil"/>
        </w:tcBorders>
        <w:shd w:val="clear" w:color="auto" w:fill="AFAFB4" w:themeFill="accent4"/>
      </w:tcPr>
    </w:tblStylePr>
    <w:tblStylePr w:type="lastRow">
      <w:rPr>
        <w:b/>
        <w:bCs/>
      </w:rPr>
      <w:tblPr/>
      <w:tcPr>
        <w:tcBorders>
          <w:top w:val="double" w:sz="4" w:space="0" w:color="AFAFB4" w:themeColor="accent4"/>
        </w:tcBorders>
      </w:tcPr>
    </w:tblStylePr>
    <w:tblStylePr w:type="firstCol">
      <w:rPr>
        <w:b/>
        <w:bCs/>
      </w:rPr>
    </w:tblStylePr>
    <w:tblStylePr w:type="lastCol">
      <w:rPr>
        <w:b/>
        <w:bCs/>
      </w:rPr>
    </w:tblStylePr>
    <w:tblStylePr w:type="band1Vert">
      <w:tblPr/>
      <w:tcPr>
        <w:shd w:val="clear" w:color="auto" w:fill="EFEFF0" w:themeFill="accent4" w:themeFillTint="33"/>
      </w:tcPr>
    </w:tblStylePr>
    <w:tblStylePr w:type="band1Horz">
      <w:tblPr/>
      <w:tcPr>
        <w:shd w:val="clear" w:color="auto" w:fill="EFEFF0" w:themeFill="accent4" w:themeFillTint="33"/>
      </w:tcPr>
    </w:tblStylePr>
  </w:style>
  <w:style w:type="character" w:styleId="Menzionenonrisolta">
    <w:name w:val="Unresolved Mention"/>
    <w:basedOn w:val="Carpredefinitoparagrafo"/>
    <w:uiPriority w:val="99"/>
    <w:semiHidden/>
    <w:unhideWhenUsed/>
    <w:rsid w:val="00327A17"/>
    <w:rPr>
      <w:color w:val="605E5C"/>
      <w:shd w:val="clear" w:color="auto" w:fill="E1DFDD"/>
    </w:rPr>
  </w:style>
  <w:style w:type="character" w:styleId="Menzione">
    <w:name w:val="Mention"/>
    <w:basedOn w:val="Carpredefinitoparagrafo"/>
    <w:uiPriority w:val="99"/>
    <w:unhideWhenUsed/>
    <w:rsid w:val="00043D26"/>
    <w:rPr>
      <w:color w:val="2B579A"/>
      <w:shd w:val="clear" w:color="auto" w:fill="E1DFDD"/>
    </w:rPr>
  </w:style>
  <w:style w:type="table" w:customStyle="1" w:styleId="Tabellagriglia4-colore11">
    <w:name w:val="Tabella griglia 4 - colore 11"/>
    <w:basedOn w:val="Tabellanormale"/>
    <w:uiPriority w:val="49"/>
    <w:rsid w:val="004101BF"/>
    <w:pPr>
      <w:spacing w:after="0" w:line="240" w:lineRule="auto"/>
    </w:pPr>
    <w:rPr>
      <w:rFonts w:eastAsiaTheme="minorHAnsi"/>
      <w:color w:val="auto"/>
      <w:sz w:val="24"/>
      <w:szCs w:val="24"/>
      <w:lang w:val="it-IT"/>
    </w:rPr>
    <w:tblPr>
      <w:tblStyleRowBandSize w:val="1"/>
      <w:tblStyleColBandSize w:val="1"/>
      <w:tblBorders>
        <w:top w:val="single" w:sz="4" w:space="0" w:color="95B2D4" w:themeColor="accent1" w:themeTint="99"/>
        <w:left w:val="single" w:sz="4" w:space="0" w:color="95B2D4" w:themeColor="accent1" w:themeTint="99"/>
        <w:bottom w:val="single" w:sz="4" w:space="0" w:color="95B2D4" w:themeColor="accent1" w:themeTint="99"/>
        <w:right w:val="single" w:sz="4" w:space="0" w:color="95B2D4" w:themeColor="accent1" w:themeTint="99"/>
        <w:insideH w:val="single" w:sz="4" w:space="0" w:color="95B2D4" w:themeColor="accent1" w:themeTint="99"/>
        <w:insideV w:val="single" w:sz="4" w:space="0" w:color="95B2D4" w:themeColor="accent1" w:themeTint="99"/>
      </w:tblBorders>
    </w:tblPr>
    <w:tblStylePr w:type="firstRow">
      <w:rPr>
        <w:b/>
        <w:bCs/>
        <w:color w:val="FFFFFF" w:themeColor="background1"/>
      </w:rPr>
      <w:tblPr/>
      <w:tcPr>
        <w:tcBorders>
          <w:top w:val="single" w:sz="4" w:space="0" w:color="5080B8" w:themeColor="accent1"/>
          <w:left w:val="single" w:sz="4" w:space="0" w:color="5080B8" w:themeColor="accent1"/>
          <w:bottom w:val="single" w:sz="4" w:space="0" w:color="5080B8" w:themeColor="accent1"/>
          <w:right w:val="single" w:sz="4" w:space="0" w:color="5080B8" w:themeColor="accent1"/>
          <w:insideH w:val="nil"/>
          <w:insideV w:val="nil"/>
        </w:tcBorders>
        <w:shd w:val="clear" w:color="auto" w:fill="5080B8" w:themeFill="accent1"/>
      </w:tcPr>
    </w:tblStylePr>
    <w:tblStylePr w:type="lastRow">
      <w:rPr>
        <w:b/>
        <w:bCs/>
      </w:rPr>
      <w:tblPr/>
      <w:tcPr>
        <w:tcBorders>
          <w:top w:val="double" w:sz="4" w:space="0" w:color="5080B8" w:themeColor="accent1"/>
        </w:tcBorders>
      </w:tcPr>
    </w:tblStylePr>
    <w:tblStylePr w:type="firstCol">
      <w:rPr>
        <w:b/>
        <w:bCs/>
      </w:rPr>
    </w:tblStylePr>
    <w:tblStylePr w:type="lastCol">
      <w:rPr>
        <w:b/>
        <w:bCs/>
      </w:rPr>
    </w:tblStylePr>
    <w:tblStylePr w:type="band1Vert">
      <w:tblPr/>
      <w:tcPr>
        <w:shd w:val="clear" w:color="auto" w:fill="DBE5F0" w:themeFill="accent1" w:themeFillTint="33"/>
      </w:tcPr>
    </w:tblStylePr>
    <w:tblStylePr w:type="band1Horz">
      <w:tblPr/>
      <w:tcPr>
        <w:shd w:val="clear" w:color="auto" w:fill="DBE5F0" w:themeFill="accent1" w:themeFillTint="33"/>
      </w:tcPr>
    </w:tblStylePr>
  </w:style>
  <w:style w:type="table" w:customStyle="1" w:styleId="Tabellaelenco3-colore21">
    <w:name w:val="Tabella elenco 3 - colore 21"/>
    <w:basedOn w:val="Tabellanormale"/>
    <w:uiPriority w:val="48"/>
    <w:rsid w:val="004101BF"/>
    <w:pPr>
      <w:spacing w:after="0" w:line="240" w:lineRule="auto"/>
    </w:pPr>
    <w:rPr>
      <w:rFonts w:eastAsiaTheme="minorHAnsi"/>
      <w:color w:val="auto"/>
      <w:sz w:val="24"/>
      <w:szCs w:val="24"/>
      <w:lang w:val="it-IT"/>
    </w:rPr>
    <w:tblPr>
      <w:tblStyleRowBandSize w:val="1"/>
      <w:tblStyleColBandSize w:val="1"/>
      <w:tblBorders>
        <w:top w:val="single" w:sz="4" w:space="0" w:color="33A1AB" w:themeColor="accent2"/>
        <w:left w:val="single" w:sz="4" w:space="0" w:color="33A1AB" w:themeColor="accent2"/>
        <w:bottom w:val="single" w:sz="4" w:space="0" w:color="33A1AB" w:themeColor="accent2"/>
        <w:right w:val="single" w:sz="4" w:space="0" w:color="33A1AB" w:themeColor="accent2"/>
      </w:tblBorders>
    </w:tblPr>
    <w:tblStylePr w:type="firstRow">
      <w:rPr>
        <w:b/>
        <w:bCs/>
        <w:color w:val="FFFFFF" w:themeColor="background1"/>
      </w:rPr>
      <w:tblPr/>
      <w:tcPr>
        <w:shd w:val="clear" w:color="auto" w:fill="33A1AB" w:themeFill="accent2"/>
      </w:tcPr>
    </w:tblStylePr>
    <w:tblStylePr w:type="lastRow">
      <w:rPr>
        <w:b/>
        <w:bCs/>
      </w:rPr>
      <w:tblPr/>
      <w:tcPr>
        <w:tcBorders>
          <w:top w:val="double" w:sz="4" w:space="0" w:color="33A1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A1AB" w:themeColor="accent2"/>
          <w:right w:val="single" w:sz="4" w:space="0" w:color="33A1AB" w:themeColor="accent2"/>
        </w:tcBorders>
      </w:tcPr>
    </w:tblStylePr>
    <w:tblStylePr w:type="band1Horz">
      <w:tblPr/>
      <w:tcPr>
        <w:tcBorders>
          <w:top w:val="single" w:sz="4" w:space="0" w:color="33A1AB" w:themeColor="accent2"/>
          <w:bottom w:val="single" w:sz="4" w:space="0" w:color="33A1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A1AB" w:themeColor="accent2"/>
          <w:left w:val="nil"/>
        </w:tcBorders>
      </w:tcPr>
    </w:tblStylePr>
    <w:tblStylePr w:type="swCell">
      <w:tblPr/>
      <w:tcPr>
        <w:tcBorders>
          <w:top w:val="double" w:sz="4" w:space="0" w:color="33A1AB" w:themeColor="accent2"/>
          <w:right w:val="nil"/>
        </w:tcBorders>
      </w:tcPr>
    </w:tblStylePr>
  </w:style>
  <w:style w:type="table" w:customStyle="1" w:styleId="Tabellaelenco4-colore21">
    <w:name w:val="Tabella elenco 4 - colore 21"/>
    <w:basedOn w:val="Tabellanormale"/>
    <w:uiPriority w:val="49"/>
    <w:rsid w:val="004101BF"/>
    <w:pPr>
      <w:spacing w:after="0" w:line="240" w:lineRule="auto"/>
    </w:pPr>
    <w:rPr>
      <w:rFonts w:eastAsiaTheme="minorHAnsi"/>
      <w:color w:val="auto"/>
      <w:sz w:val="24"/>
      <w:szCs w:val="24"/>
      <w:lang w:val="it-IT"/>
    </w:rPr>
    <w:tblPr>
      <w:tblStyleRowBandSize w:val="1"/>
      <w:tblStyleColBandSize w:val="1"/>
      <w:tblBorders>
        <w:top w:val="single" w:sz="4" w:space="0" w:color="79CFD7" w:themeColor="accent2" w:themeTint="99"/>
        <w:left w:val="single" w:sz="4" w:space="0" w:color="79CFD7" w:themeColor="accent2" w:themeTint="99"/>
        <w:bottom w:val="single" w:sz="4" w:space="0" w:color="79CFD7" w:themeColor="accent2" w:themeTint="99"/>
        <w:right w:val="single" w:sz="4" w:space="0" w:color="79CFD7" w:themeColor="accent2" w:themeTint="99"/>
        <w:insideH w:val="single" w:sz="4" w:space="0" w:color="79CFD7" w:themeColor="accent2" w:themeTint="99"/>
      </w:tblBorders>
    </w:tblPr>
    <w:tblStylePr w:type="firstRow">
      <w:rPr>
        <w:b/>
        <w:bCs/>
        <w:color w:val="FFFFFF" w:themeColor="background1"/>
      </w:rPr>
      <w:tblPr/>
      <w:tcPr>
        <w:tcBorders>
          <w:top w:val="single" w:sz="4" w:space="0" w:color="33A1AB" w:themeColor="accent2"/>
          <w:left w:val="single" w:sz="4" w:space="0" w:color="33A1AB" w:themeColor="accent2"/>
          <w:bottom w:val="single" w:sz="4" w:space="0" w:color="33A1AB" w:themeColor="accent2"/>
          <w:right w:val="single" w:sz="4" w:space="0" w:color="33A1AB" w:themeColor="accent2"/>
          <w:insideH w:val="nil"/>
        </w:tcBorders>
        <w:shd w:val="clear" w:color="auto" w:fill="33A1AB" w:themeFill="accent2"/>
      </w:tcPr>
    </w:tblStylePr>
    <w:tblStylePr w:type="lastRow">
      <w:rPr>
        <w:b/>
        <w:bCs/>
      </w:rPr>
      <w:tblPr/>
      <w:tcPr>
        <w:tcBorders>
          <w:top w:val="double" w:sz="4" w:space="0" w:color="79CFD7" w:themeColor="accent2" w:themeTint="99"/>
        </w:tcBorders>
      </w:tcPr>
    </w:tblStylePr>
    <w:tblStylePr w:type="firstCol">
      <w:rPr>
        <w:b/>
        <w:bCs/>
      </w:rPr>
    </w:tblStylePr>
    <w:tblStylePr w:type="lastCol">
      <w:rPr>
        <w:b/>
        <w:bCs/>
      </w:rPr>
    </w:tblStylePr>
    <w:tblStylePr w:type="band1Vert">
      <w:tblPr/>
      <w:tcPr>
        <w:shd w:val="clear" w:color="auto" w:fill="D2EFF1" w:themeFill="accent2" w:themeFillTint="33"/>
      </w:tcPr>
    </w:tblStylePr>
    <w:tblStylePr w:type="band1Horz">
      <w:tblPr/>
      <w:tcPr>
        <w:shd w:val="clear" w:color="auto" w:fill="D2EFF1" w:themeFill="accent2" w:themeFillTint="33"/>
      </w:tcPr>
    </w:tblStylePr>
  </w:style>
  <w:style w:type="table" w:customStyle="1" w:styleId="Tabellaelenco7acolori-colore31">
    <w:name w:val="Tabella elenco 7 a colori - colore 31"/>
    <w:basedOn w:val="Tabellanormale"/>
    <w:uiPriority w:val="52"/>
    <w:rsid w:val="004101BF"/>
    <w:pPr>
      <w:spacing w:after="0" w:line="240" w:lineRule="auto"/>
    </w:pPr>
    <w:rPr>
      <w:rFonts w:eastAsiaTheme="minorHAnsi"/>
      <w:color w:val="6F1AD0" w:themeColor="accent3" w:themeShade="BF"/>
      <w:sz w:val="24"/>
      <w:szCs w:val="24"/>
      <w:lang w:val="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51E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51E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51E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51E9" w:themeColor="accent3"/>
        </w:tcBorders>
        <w:shd w:val="clear" w:color="auto" w:fill="FFFFFF" w:themeFill="background1"/>
      </w:tcPr>
    </w:tblStylePr>
    <w:tblStylePr w:type="band1Vert">
      <w:tblPr/>
      <w:tcPr>
        <w:shd w:val="clear" w:color="auto" w:fill="EADCFA" w:themeFill="accent3" w:themeFillTint="33"/>
      </w:tcPr>
    </w:tblStylePr>
    <w:tblStylePr w:type="band1Horz">
      <w:tblPr/>
      <w:tcPr>
        <w:shd w:val="clear" w:color="auto" w:fill="EADC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lencocontinua">
    <w:name w:val="List Continue"/>
    <w:basedOn w:val="Normale"/>
    <w:uiPriority w:val="99"/>
    <w:semiHidden/>
    <w:unhideWhenUsed/>
    <w:rsid w:val="004101BF"/>
    <w:pPr>
      <w:spacing w:before="0" w:after="120" w:line="360" w:lineRule="auto"/>
      <w:ind w:left="283"/>
      <w:contextualSpacing/>
      <w:jc w:val="left"/>
    </w:pPr>
    <w:rPr>
      <w:rFonts w:asciiTheme="minorHAnsi" w:eastAsiaTheme="minorHAnsi" w:hAnsiTheme="minorHAnsi"/>
      <w:color w:val="002243" w:themeColor="text1" w:themeShade="BF"/>
      <w:sz w:val="18"/>
      <w:szCs w:val="24"/>
      <w:lang w:val="it-IT"/>
    </w:rPr>
  </w:style>
  <w:style w:type="paragraph" w:styleId="Elenco">
    <w:name w:val="List"/>
    <w:basedOn w:val="Normale"/>
    <w:uiPriority w:val="99"/>
    <w:semiHidden/>
    <w:unhideWhenUsed/>
    <w:rsid w:val="004101BF"/>
    <w:pPr>
      <w:spacing w:before="0" w:line="360" w:lineRule="auto"/>
      <w:ind w:left="283" w:hanging="283"/>
      <w:contextualSpacing/>
      <w:jc w:val="left"/>
    </w:pPr>
    <w:rPr>
      <w:rFonts w:asciiTheme="minorHAnsi" w:eastAsiaTheme="minorHAnsi" w:hAnsiTheme="minorHAnsi"/>
      <w:color w:val="002243" w:themeColor="text1" w:themeShade="BF"/>
      <w:sz w:val="18"/>
      <w:szCs w:val="24"/>
      <w:lang w:val="it-IT"/>
    </w:rPr>
  </w:style>
  <w:style w:type="paragraph" w:styleId="Elencocontinua2">
    <w:name w:val="List Continue 2"/>
    <w:basedOn w:val="Normale"/>
    <w:uiPriority w:val="99"/>
    <w:semiHidden/>
    <w:unhideWhenUsed/>
    <w:rsid w:val="004101BF"/>
    <w:pPr>
      <w:spacing w:before="0" w:after="120" w:line="360" w:lineRule="auto"/>
      <w:ind w:left="566"/>
      <w:contextualSpacing/>
      <w:jc w:val="left"/>
    </w:pPr>
    <w:rPr>
      <w:rFonts w:asciiTheme="minorHAnsi" w:eastAsiaTheme="minorHAnsi" w:hAnsiTheme="minorHAnsi"/>
      <w:color w:val="002243" w:themeColor="text1" w:themeShade="BF"/>
      <w:sz w:val="18"/>
      <w:szCs w:val="24"/>
      <w:lang w:val="it-IT"/>
    </w:rPr>
  </w:style>
  <w:style w:type="character" w:customStyle="1" w:styleId="A3">
    <w:name w:val="A3"/>
    <w:uiPriority w:val="99"/>
    <w:rsid w:val="004101BF"/>
    <w:rPr>
      <w:rFonts w:cs="Open Sans"/>
      <w:b/>
      <w:bCs/>
      <w:i/>
      <w:iCs/>
      <w:color w:val="000000"/>
      <w:sz w:val="18"/>
      <w:szCs w:val="18"/>
    </w:rPr>
  </w:style>
  <w:style w:type="paragraph" w:customStyle="1" w:styleId="Pa4">
    <w:name w:val="Pa4"/>
    <w:basedOn w:val="Normale"/>
    <w:next w:val="Normale"/>
    <w:uiPriority w:val="99"/>
    <w:rsid w:val="004101BF"/>
    <w:pPr>
      <w:autoSpaceDE w:val="0"/>
      <w:autoSpaceDN w:val="0"/>
      <w:adjustRightInd w:val="0"/>
      <w:spacing w:before="0" w:line="241" w:lineRule="atLeast"/>
      <w:jc w:val="left"/>
    </w:pPr>
    <w:rPr>
      <w:rFonts w:ascii="Open Sans" w:eastAsiaTheme="minorHAnsi" w:hAnsi="Open Sans" w:cs="Times New Roman"/>
      <w:color w:val="auto"/>
      <w:sz w:val="24"/>
      <w:szCs w:val="24"/>
      <w:lang w:val="it-IT"/>
    </w:rPr>
  </w:style>
  <w:style w:type="paragraph" w:customStyle="1" w:styleId="Pa5">
    <w:name w:val="Pa5"/>
    <w:basedOn w:val="Normale"/>
    <w:next w:val="Normale"/>
    <w:uiPriority w:val="99"/>
    <w:rsid w:val="004101BF"/>
    <w:pPr>
      <w:autoSpaceDE w:val="0"/>
      <w:autoSpaceDN w:val="0"/>
      <w:adjustRightInd w:val="0"/>
      <w:spacing w:before="0" w:line="241" w:lineRule="atLeast"/>
      <w:jc w:val="left"/>
    </w:pPr>
    <w:rPr>
      <w:rFonts w:ascii="Open Sans" w:eastAsiaTheme="minorHAnsi" w:hAnsi="Open Sans" w:cs="Times New Roman"/>
      <w:color w:val="auto"/>
      <w:sz w:val="24"/>
      <w:szCs w:val="24"/>
      <w:lang w:val="it-IT"/>
    </w:rPr>
  </w:style>
  <w:style w:type="character" w:customStyle="1" w:styleId="A7">
    <w:name w:val="A7"/>
    <w:uiPriority w:val="99"/>
    <w:rsid w:val="004101BF"/>
    <w:rPr>
      <w:rFonts w:cs="Open Sans"/>
      <w:color w:val="000000"/>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7041">
      <w:bodyDiv w:val="1"/>
      <w:marLeft w:val="0"/>
      <w:marRight w:val="0"/>
      <w:marTop w:val="0"/>
      <w:marBottom w:val="0"/>
      <w:divBdr>
        <w:top w:val="none" w:sz="0" w:space="0" w:color="auto"/>
        <w:left w:val="none" w:sz="0" w:space="0" w:color="auto"/>
        <w:bottom w:val="none" w:sz="0" w:space="0" w:color="auto"/>
        <w:right w:val="none" w:sz="0" w:space="0" w:color="auto"/>
      </w:divBdr>
    </w:div>
    <w:div w:id="13894100">
      <w:bodyDiv w:val="1"/>
      <w:marLeft w:val="0"/>
      <w:marRight w:val="0"/>
      <w:marTop w:val="0"/>
      <w:marBottom w:val="0"/>
      <w:divBdr>
        <w:top w:val="none" w:sz="0" w:space="0" w:color="auto"/>
        <w:left w:val="none" w:sz="0" w:space="0" w:color="auto"/>
        <w:bottom w:val="none" w:sz="0" w:space="0" w:color="auto"/>
        <w:right w:val="none" w:sz="0" w:space="0" w:color="auto"/>
      </w:divBdr>
    </w:div>
    <w:div w:id="55981175">
      <w:bodyDiv w:val="1"/>
      <w:marLeft w:val="0"/>
      <w:marRight w:val="0"/>
      <w:marTop w:val="0"/>
      <w:marBottom w:val="0"/>
      <w:divBdr>
        <w:top w:val="none" w:sz="0" w:space="0" w:color="auto"/>
        <w:left w:val="none" w:sz="0" w:space="0" w:color="auto"/>
        <w:bottom w:val="none" w:sz="0" w:space="0" w:color="auto"/>
        <w:right w:val="none" w:sz="0" w:space="0" w:color="auto"/>
      </w:divBdr>
    </w:div>
    <w:div w:id="111484550">
      <w:bodyDiv w:val="1"/>
      <w:marLeft w:val="0"/>
      <w:marRight w:val="0"/>
      <w:marTop w:val="0"/>
      <w:marBottom w:val="0"/>
      <w:divBdr>
        <w:top w:val="none" w:sz="0" w:space="0" w:color="auto"/>
        <w:left w:val="none" w:sz="0" w:space="0" w:color="auto"/>
        <w:bottom w:val="none" w:sz="0" w:space="0" w:color="auto"/>
        <w:right w:val="none" w:sz="0" w:space="0" w:color="auto"/>
      </w:divBdr>
    </w:div>
    <w:div w:id="200095173">
      <w:bodyDiv w:val="1"/>
      <w:marLeft w:val="0"/>
      <w:marRight w:val="0"/>
      <w:marTop w:val="0"/>
      <w:marBottom w:val="0"/>
      <w:divBdr>
        <w:top w:val="none" w:sz="0" w:space="0" w:color="auto"/>
        <w:left w:val="none" w:sz="0" w:space="0" w:color="auto"/>
        <w:bottom w:val="none" w:sz="0" w:space="0" w:color="auto"/>
        <w:right w:val="none" w:sz="0" w:space="0" w:color="auto"/>
      </w:divBdr>
    </w:div>
    <w:div w:id="262693864">
      <w:bodyDiv w:val="1"/>
      <w:marLeft w:val="0"/>
      <w:marRight w:val="0"/>
      <w:marTop w:val="0"/>
      <w:marBottom w:val="0"/>
      <w:divBdr>
        <w:top w:val="none" w:sz="0" w:space="0" w:color="auto"/>
        <w:left w:val="none" w:sz="0" w:space="0" w:color="auto"/>
        <w:bottom w:val="none" w:sz="0" w:space="0" w:color="auto"/>
        <w:right w:val="none" w:sz="0" w:space="0" w:color="auto"/>
      </w:divBdr>
    </w:div>
    <w:div w:id="308361667">
      <w:bodyDiv w:val="1"/>
      <w:marLeft w:val="0"/>
      <w:marRight w:val="0"/>
      <w:marTop w:val="0"/>
      <w:marBottom w:val="0"/>
      <w:divBdr>
        <w:top w:val="none" w:sz="0" w:space="0" w:color="auto"/>
        <w:left w:val="none" w:sz="0" w:space="0" w:color="auto"/>
        <w:bottom w:val="none" w:sz="0" w:space="0" w:color="auto"/>
        <w:right w:val="none" w:sz="0" w:space="0" w:color="auto"/>
      </w:divBdr>
    </w:div>
    <w:div w:id="327681211">
      <w:bodyDiv w:val="1"/>
      <w:marLeft w:val="0"/>
      <w:marRight w:val="0"/>
      <w:marTop w:val="0"/>
      <w:marBottom w:val="0"/>
      <w:divBdr>
        <w:top w:val="none" w:sz="0" w:space="0" w:color="auto"/>
        <w:left w:val="none" w:sz="0" w:space="0" w:color="auto"/>
        <w:bottom w:val="none" w:sz="0" w:space="0" w:color="auto"/>
        <w:right w:val="none" w:sz="0" w:space="0" w:color="auto"/>
      </w:divBdr>
      <w:divsChild>
        <w:div w:id="419103439">
          <w:marLeft w:val="0"/>
          <w:marRight w:val="0"/>
          <w:marTop w:val="150"/>
          <w:marBottom w:val="240"/>
          <w:divBdr>
            <w:top w:val="single" w:sz="6" w:space="8" w:color="D04437"/>
            <w:left w:val="single" w:sz="6" w:space="27" w:color="D04437"/>
            <w:bottom w:val="single" w:sz="6" w:space="8" w:color="D04437"/>
            <w:right w:val="single" w:sz="6" w:space="8" w:color="D04437"/>
          </w:divBdr>
          <w:divsChild>
            <w:div w:id="283080506">
              <w:marLeft w:val="0"/>
              <w:marRight w:val="0"/>
              <w:marTop w:val="0"/>
              <w:marBottom w:val="0"/>
              <w:divBdr>
                <w:top w:val="none" w:sz="0" w:space="0" w:color="auto"/>
                <w:left w:val="none" w:sz="0" w:space="0" w:color="auto"/>
                <w:bottom w:val="none" w:sz="0" w:space="0" w:color="auto"/>
                <w:right w:val="none" w:sz="0" w:space="0" w:color="auto"/>
              </w:divBdr>
            </w:div>
          </w:divsChild>
        </w:div>
        <w:div w:id="464396916">
          <w:marLeft w:val="0"/>
          <w:marRight w:val="0"/>
          <w:marTop w:val="150"/>
          <w:marBottom w:val="150"/>
          <w:divBdr>
            <w:top w:val="single" w:sz="6" w:space="0" w:color="CCCCCC"/>
            <w:left w:val="single" w:sz="6" w:space="0" w:color="CCCCCC"/>
            <w:bottom w:val="single" w:sz="6" w:space="0" w:color="CCCCCC"/>
            <w:right w:val="single" w:sz="6" w:space="0" w:color="CCCCCC"/>
          </w:divBdr>
          <w:divsChild>
            <w:div w:id="1368751083">
              <w:marLeft w:val="0"/>
              <w:marRight w:val="0"/>
              <w:marTop w:val="0"/>
              <w:marBottom w:val="0"/>
              <w:divBdr>
                <w:top w:val="none" w:sz="0" w:space="0" w:color="auto"/>
                <w:left w:val="none" w:sz="0" w:space="0" w:color="auto"/>
                <w:bottom w:val="none" w:sz="0" w:space="0" w:color="auto"/>
                <w:right w:val="none" w:sz="0" w:space="0" w:color="auto"/>
              </w:divBdr>
              <w:divsChild>
                <w:div w:id="1395396818">
                  <w:marLeft w:val="0"/>
                  <w:marRight w:val="0"/>
                  <w:marTop w:val="0"/>
                  <w:marBottom w:val="0"/>
                  <w:divBdr>
                    <w:top w:val="none" w:sz="0" w:space="0" w:color="auto"/>
                    <w:left w:val="none" w:sz="0" w:space="0" w:color="auto"/>
                    <w:bottom w:val="none" w:sz="0" w:space="0" w:color="auto"/>
                    <w:right w:val="none" w:sz="0" w:space="0" w:color="auto"/>
                  </w:divBdr>
                  <w:divsChild>
                    <w:div w:id="1078286576">
                      <w:marLeft w:val="0"/>
                      <w:marRight w:val="0"/>
                      <w:marTop w:val="0"/>
                      <w:marBottom w:val="0"/>
                      <w:divBdr>
                        <w:top w:val="none" w:sz="0" w:space="0" w:color="auto"/>
                        <w:left w:val="none" w:sz="0" w:space="0" w:color="auto"/>
                        <w:bottom w:val="none" w:sz="0" w:space="0" w:color="auto"/>
                        <w:right w:val="none" w:sz="0" w:space="0" w:color="auto"/>
                      </w:divBdr>
                      <w:divsChild>
                        <w:div w:id="8878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992130">
          <w:marLeft w:val="0"/>
          <w:marRight w:val="0"/>
          <w:marTop w:val="150"/>
          <w:marBottom w:val="150"/>
          <w:divBdr>
            <w:top w:val="single" w:sz="6" w:space="0" w:color="CCCCCC"/>
            <w:left w:val="single" w:sz="6" w:space="0" w:color="CCCCCC"/>
            <w:bottom w:val="single" w:sz="6" w:space="0" w:color="CCCCCC"/>
            <w:right w:val="single" w:sz="6" w:space="0" w:color="CCCCCC"/>
          </w:divBdr>
          <w:divsChild>
            <w:div w:id="1253048922">
              <w:marLeft w:val="0"/>
              <w:marRight w:val="0"/>
              <w:marTop w:val="0"/>
              <w:marBottom w:val="0"/>
              <w:divBdr>
                <w:top w:val="none" w:sz="0" w:space="0" w:color="auto"/>
                <w:left w:val="none" w:sz="0" w:space="0" w:color="auto"/>
                <w:bottom w:val="none" w:sz="0" w:space="0" w:color="auto"/>
                <w:right w:val="none" w:sz="0" w:space="0" w:color="auto"/>
              </w:divBdr>
            </w:div>
          </w:divsChild>
        </w:div>
        <w:div w:id="1061947358">
          <w:marLeft w:val="0"/>
          <w:marRight w:val="0"/>
          <w:marTop w:val="150"/>
          <w:marBottom w:val="0"/>
          <w:divBdr>
            <w:top w:val="none" w:sz="0" w:space="0" w:color="auto"/>
            <w:left w:val="none" w:sz="0" w:space="0" w:color="auto"/>
            <w:bottom w:val="none" w:sz="0" w:space="0" w:color="auto"/>
            <w:right w:val="none" w:sz="0" w:space="0" w:color="auto"/>
          </w:divBdr>
          <w:divsChild>
            <w:div w:id="357318853">
              <w:marLeft w:val="0"/>
              <w:marRight w:val="0"/>
              <w:marTop w:val="0"/>
              <w:marBottom w:val="0"/>
              <w:divBdr>
                <w:top w:val="none" w:sz="0" w:space="0" w:color="auto"/>
                <w:left w:val="none" w:sz="0" w:space="0" w:color="auto"/>
                <w:bottom w:val="none" w:sz="0" w:space="0" w:color="auto"/>
                <w:right w:val="none" w:sz="0" w:space="0" w:color="auto"/>
              </w:divBdr>
            </w:div>
            <w:div w:id="653920206">
              <w:marLeft w:val="0"/>
              <w:marRight w:val="0"/>
              <w:marTop w:val="0"/>
              <w:marBottom w:val="0"/>
              <w:divBdr>
                <w:top w:val="none" w:sz="0" w:space="0" w:color="auto"/>
                <w:left w:val="none" w:sz="0" w:space="0" w:color="auto"/>
                <w:bottom w:val="none" w:sz="0" w:space="0" w:color="auto"/>
                <w:right w:val="none" w:sz="0" w:space="0" w:color="auto"/>
              </w:divBdr>
            </w:div>
            <w:div w:id="1358115798">
              <w:marLeft w:val="0"/>
              <w:marRight w:val="0"/>
              <w:marTop w:val="0"/>
              <w:marBottom w:val="0"/>
              <w:divBdr>
                <w:top w:val="none" w:sz="0" w:space="0" w:color="auto"/>
                <w:left w:val="none" w:sz="0" w:space="0" w:color="auto"/>
                <w:bottom w:val="none" w:sz="0" w:space="0" w:color="auto"/>
                <w:right w:val="none" w:sz="0" w:space="0" w:color="auto"/>
              </w:divBdr>
            </w:div>
            <w:div w:id="1414277438">
              <w:marLeft w:val="0"/>
              <w:marRight w:val="0"/>
              <w:marTop w:val="0"/>
              <w:marBottom w:val="0"/>
              <w:divBdr>
                <w:top w:val="none" w:sz="0" w:space="0" w:color="auto"/>
                <w:left w:val="none" w:sz="0" w:space="0" w:color="auto"/>
                <w:bottom w:val="none" w:sz="0" w:space="0" w:color="auto"/>
                <w:right w:val="none" w:sz="0" w:space="0" w:color="auto"/>
              </w:divBdr>
            </w:div>
          </w:divsChild>
        </w:div>
        <w:div w:id="1154225208">
          <w:marLeft w:val="0"/>
          <w:marRight w:val="0"/>
          <w:marTop w:val="150"/>
          <w:marBottom w:val="240"/>
          <w:divBdr>
            <w:top w:val="single" w:sz="6" w:space="8" w:color="AAB8C6"/>
            <w:left w:val="single" w:sz="6" w:space="27" w:color="AAB8C6"/>
            <w:bottom w:val="single" w:sz="6" w:space="8" w:color="AAB8C6"/>
            <w:right w:val="single" w:sz="6" w:space="8" w:color="AAB8C6"/>
          </w:divBdr>
          <w:divsChild>
            <w:div w:id="862783654">
              <w:marLeft w:val="0"/>
              <w:marRight w:val="0"/>
              <w:marTop w:val="0"/>
              <w:marBottom w:val="0"/>
              <w:divBdr>
                <w:top w:val="none" w:sz="0" w:space="0" w:color="auto"/>
                <w:left w:val="none" w:sz="0" w:space="0" w:color="auto"/>
                <w:bottom w:val="none" w:sz="0" w:space="0" w:color="auto"/>
                <w:right w:val="none" w:sz="0" w:space="0" w:color="auto"/>
              </w:divBdr>
            </w:div>
          </w:divsChild>
        </w:div>
        <w:div w:id="1395733508">
          <w:marLeft w:val="0"/>
          <w:marRight w:val="0"/>
          <w:marTop w:val="150"/>
          <w:marBottom w:val="240"/>
          <w:divBdr>
            <w:top w:val="single" w:sz="6" w:space="8" w:color="FFEAAE"/>
            <w:left w:val="single" w:sz="6" w:space="27" w:color="FFEAAE"/>
            <w:bottom w:val="single" w:sz="6" w:space="8" w:color="FFEAAE"/>
            <w:right w:val="single" w:sz="6" w:space="8" w:color="FFEAAE"/>
          </w:divBdr>
          <w:divsChild>
            <w:div w:id="693652381">
              <w:marLeft w:val="0"/>
              <w:marRight w:val="0"/>
              <w:marTop w:val="0"/>
              <w:marBottom w:val="0"/>
              <w:divBdr>
                <w:top w:val="none" w:sz="0" w:space="0" w:color="auto"/>
                <w:left w:val="none" w:sz="0" w:space="0" w:color="auto"/>
                <w:bottom w:val="none" w:sz="0" w:space="0" w:color="auto"/>
                <w:right w:val="none" w:sz="0" w:space="0" w:color="auto"/>
              </w:divBdr>
            </w:div>
          </w:divsChild>
        </w:div>
        <w:div w:id="1451167042">
          <w:marLeft w:val="0"/>
          <w:marRight w:val="0"/>
          <w:marTop w:val="150"/>
          <w:marBottom w:val="240"/>
          <w:divBdr>
            <w:top w:val="single" w:sz="6" w:space="8" w:color="91C89C"/>
            <w:left w:val="single" w:sz="6" w:space="27" w:color="91C89C"/>
            <w:bottom w:val="single" w:sz="6" w:space="8" w:color="91C89C"/>
            <w:right w:val="single" w:sz="6" w:space="8" w:color="91C89C"/>
          </w:divBdr>
          <w:divsChild>
            <w:div w:id="987173071">
              <w:marLeft w:val="0"/>
              <w:marRight w:val="0"/>
              <w:marTop w:val="0"/>
              <w:marBottom w:val="0"/>
              <w:divBdr>
                <w:top w:val="none" w:sz="0" w:space="0" w:color="auto"/>
                <w:left w:val="none" w:sz="0" w:space="0" w:color="auto"/>
                <w:bottom w:val="none" w:sz="0" w:space="0" w:color="auto"/>
                <w:right w:val="none" w:sz="0" w:space="0" w:color="auto"/>
              </w:divBdr>
            </w:div>
          </w:divsChild>
        </w:div>
        <w:div w:id="1543134839">
          <w:marLeft w:val="0"/>
          <w:marRight w:val="0"/>
          <w:marTop w:val="150"/>
          <w:marBottom w:val="0"/>
          <w:divBdr>
            <w:top w:val="none" w:sz="0" w:space="0" w:color="auto"/>
            <w:left w:val="none" w:sz="0" w:space="0" w:color="auto"/>
            <w:bottom w:val="none" w:sz="0" w:space="0" w:color="auto"/>
            <w:right w:val="none" w:sz="0" w:space="0" w:color="auto"/>
          </w:divBdr>
        </w:div>
        <w:div w:id="2021541339">
          <w:blockQuote w:val="1"/>
          <w:marLeft w:val="285"/>
          <w:marRight w:val="0"/>
          <w:marTop w:val="150"/>
          <w:marBottom w:val="0"/>
          <w:divBdr>
            <w:top w:val="none" w:sz="0" w:space="0" w:color="auto"/>
            <w:left w:val="single" w:sz="6" w:space="15" w:color="CCCCCC"/>
            <w:bottom w:val="none" w:sz="0" w:space="0" w:color="auto"/>
            <w:right w:val="none" w:sz="0" w:space="0" w:color="auto"/>
          </w:divBdr>
        </w:div>
      </w:divsChild>
    </w:div>
    <w:div w:id="354842510">
      <w:bodyDiv w:val="1"/>
      <w:marLeft w:val="0"/>
      <w:marRight w:val="0"/>
      <w:marTop w:val="0"/>
      <w:marBottom w:val="0"/>
      <w:divBdr>
        <w:top w:val="none" w:sz="0" w:space="0" w:color="auto"/>
        <w:left w:val="none" w:sz="0" w:space="0" w:color="auto"/>
        <w:bottom w:val="none" w:sz="0" w:space="0" w:color="auto"/>
        <w:right w:val="none" w:sz="0" w:space="0" w:color="auto"/>
      </w:divBdr>
    </w:div>
    <w:div w:id="361250352">
      <w:bodyDiv w:val="1"/>
      <w:marLeft w:val="0"/>
      <w:marRight w:val="0"/>
      <w:marTop w:val="0"/>
      <w:marBottom w:val="0"/>
      <w:divBdr>
        <w:top w:val="none" w:sz="0" w:space="0" w:color="auto"/>
        <w:left w:val="none" w:sz="0" w:space="0" w:color="auto"/>
        <w:bottom w:val="none" w:sz="0" w:space="0" w:color="auto"/>
        <w:right w:val="none" w:sz="0" w:space="0" w:color="auto"/>
      </w:divBdr>
    </w:div>
    <w:div w:id="388118482">
      <w:bodyDiv w:val="1"/>
      <w:marLeft w:val="0"/>
      <w:marRight w:val="0"/>
      <w:marTop w:val="0"/>
      <w:marBottom w:val="0"/>
      <w:divBdr>
        <w:top w:val="none" w:sz="0" w:space="0" w:color="auto"/>
        <w:left w:val="none" w:sz="0" w:space="0" w:color="auto"/>
        <w:bottom w:val="none" w:sz="0" w:space="0" w:color="auto"/>
        <w:right w:val="none" w:sz="0" w:space="0" w:color="auto"/>
      </w:divBdr>
    </w:div>
    <w:div w:id="450323760">
      <w:bodyDiv w:val="1"/>
      <w:marLeft w:val="0"/>
      <w:marRight w:val="0"/>
      <w:marTop w:val="0"/>
      <w:marBottom w:val="0"/>
      <w:divBdr>
        <w:top w:val="none" w:sz="0" w:space="0" w:color="auto"/>
        <w:left w:val="none" w:sz="0" w:space="0" w:color="auto"/>
        <w:bottom w:val="none" w:sz="0" w:space="0" w:color="auto"/>
        <w:right w:val="none" w:sz="0" w:space="0" w:color="auto"/>
      </w:divBdr>
    </w:div>
    <w:div w:id="463349303">
      <w:bodyDiv w:val="1"/>
      <w:marLeft w:val="0"/>
      <w:marRight w:val="0"/>
      <w:marTop w:val="0"/>
      <w:marBottom w:val="0"/>
      <w:divBdr>
        <w:top w:val="none" w:sz="0" w:space="0" w:color="auto"/>
        <w:left w:val="none" w:sz="0" w:space="0" w:color="auto"/>
        <w:bottom w:val="none" w:sz="0" w:space="0" w:color="auto"/>
        <w:right w:val="none" w:sz="0" w:space="0" w:color="auto"/>
      </w:divBdr>
      <w:divsChild>
        <w:div w:id="355350521">
          <w:marLeft w:val="0"/>
          <w:marRight w:val="0"/>
          <w:marTop w:val="150"/>
          <w:marBottom w:val="240"/>
          <w:divBdr>
            <w:top w:val="single" w:sz="6" w:space="8" w:color="D04437"/>
            <w:left w:val="single" w:sz="6" w:space="27" w:color="D04437"/>
            <w:bottom w:val="single" w:sz="6" w:space="8" w:color="D04437"/>
            <w:right w:val="single" w:sz="6" w:space="8" w:color="D04437"/>
          </w:divBdr>
          <w:divsChild>
            <w:div w:id="94138827">
              <w:marLeft w:val="0"/>
              <w:marRight w:val="0"/>
              <w:marTop w:val="0"/>
              <w:marBottom w:val="0"/>
              <w:divBdr>
                <w:top w:val="none" w:sz="0" w:space="0" w:color="auto"/>
                <w:left w:val="none" w:sz="0" w:space="0" w:color="auto"/>
                <w:bottom w:val="none" w:sz="0" w:space="0" w:color="auto"/>
                <w:right w:val="none" w:sz="0" w:space="0" w:color="auto"/>
              </w:divBdr>
            </w:div>
          </w:divsChild>
        </w:div>
        <w:div w:id="483351176">
          <w:blockQuote w:val="1"/>
          <w:marLeft w:val="285"/>
          <w:marRight w:val="0"/>
          <w:marTop w:val="150"/>
          <w:marBottom w:val="0"/>
          <w:divBdr>
            <w:top w:val="none" w:sz="0" w:space="0" w:color="auto"/>
            <w:left w:val="single" w:sz="6" w:space="15" w:color="CCCCCC"/>
            <w:bottom w:val="none" w:sz="0" w:space="0" w:color="auto"/>
            <w:right w:val="none" w:sz="0" w:space="0" w:color="auto"/>
          </w:divBdr>
        </w:div>
        <w:div w:id="486021924">
          <w:marLeft w:val="0"/>
          <w:marRight w:val="0"/>
          <w:marTop w:val="150"/>
          <w:marBottom w:val="0"/>
          <w:divBdr>
            <w:top w:val="none" w:sz="0" w:space="0" w:color="auto"/>
            <w:left w:val="none" w:sz="0" w:space="0" w:color="auto"/>
            <w:bottom w:val="none" w:sz="0" w:space="0" w:color="auto"/>
            <w:right w:val="none" w:sz="0" w:space="0" w:color="auto"/>
          </w:divBdr>
          <w:divsChild>
            <w:div w:id="541602801">
              <w:marLeft w:val="0"/>
              <w:marRight w:val="0"/>
              <w:marTop w:val="0"/>
              <w:marBottom w:val="0"/>
              <w:divBdr>
                <w:top w:val="none" w:sz="0" w:space="0" w:color="auto"/>
                <w:left w:val="none" w:sz="0" w:space="0" w:color="auto"/>
                <w:bottom w:val="none" w:sz="0" w:space="0" w:color="auto"/>
                <w:right w:val="none" w:sz="0" w:space="0" w:color="auto"/>
              </w:divBdr>
            </w:div>
            <w:div w:id="778992418">
              <w:marLeft w:val="0"/>
              <w:marRight w:val="0"/>
              <w:marTop w:val="0"/>
              <w:marBottom w:val="0"/>
              <w:divBdr>
                <w:top w:val="none" w:sz="0" w:space="0" w:color="auto"/>
                <w:left w:val="none" w:sz="0" w:space="0" w:color="auto"/>
                <w:bottom w:val="none" w:sz="0" w:space="0" w:color="auto"/>
                <w:right w:val="none" w:sz="0" w:space="0" w:color="auto"/>
              </w:divBdr>
            </w:div>
            <w:div w:id="1141459137">
              <w:marLeft w:val="0"/>
              <w:marRight w:val="0"/>
              <w:marTop w:val="0"/>
              <w:marBottom w:val="0"/>
              <w:divBdr>
                <w:top w:val="none" w:sz="0" w:space="0" w:color="auto"/>
                <w:left w:val="none" w:sz="0" w:space="0" w:color="auto"/>
                <w:bottom w:val="none" w:sz="0" w:space="0" w:color="auto"/>
                <w:right w:val="none" w:sz="0" w:space="0" w:color="auto"/>
              </w:divBdr>
            </w:div>
            <w:div w:id="2141997895">
              <w:marLeft w:val="0"/>
              <w:marRight w:val="0"/>
              <w:marTop w:val="0"/>
              <w:marBottom w:val="0"/>
              <w:divBdr>
                <w:top w:val="none" w:sz="0" w:space="0" w:color="auto"/>
                <w:left w:val="none" w:sz="0" w:space="0" w:color="auto"/>
                <w:bottom w:val="none" w:sz="0" w:space="0" w:color="auto"/>
                <w:right w:val="none" w:sz="0" w:space="0" w:color="auto"/>
              </w:divBdr>
            </w:div>
          </w:divsChild>
        </w:div>
        <w:div w:id="617830955">
          <w:marLeft w:val="0"/>
          <w:marRight w:val="0"/>
          <w:marTop w:val="150"/>
          <w:marBottom w:val="150"/>
          <w:divBdr>
            <w:top w:val="single" w:sz="6" w:space="0" w:color="CCCCCC"/>
            <w:left w:val="single" w:sz="6" w:space="0" w:color="CCCCCC"/>
            <w:bottom w:val="single" w:sz="6" w:space="0" w:color="CCCCCC"/>
            <w:right w:val="single" w:sz="6" w:space="0" w:color="CCCCCC"/>
          </w:divBdr>
          <w:divsChild>
            <w:div w:id="1788160554">
              <w:marLeft w:val="0"/>
              <w:marRight w:val="0"/>
              <w:marTop w:val="0"/>
              <w:marBottom w:val="0"/>
              <w:divBdr>
                <w:top w:val="none" w:sz="0" w:space="0" w:color="auto"/>
                <w:left w:val="none" w:sz="0" w:space="0" w:color="auto"/>
                <w:bottom w:val="none" w:sz="0" w:space="0" w:color="auto"/>
                <w:right w:val="none" w:sz="0" w:space="0" w:color="auto"/>
              </w:divBdr>
            </w:div>
          </w:divsChild>
        </w:div>
        <w:div w:id="858592383">
          <w:marLeft w:val="0"/>
          <w:marRight w:val="0"/>
          <w:marTop w:val="150"/>
          <w:marBottom w:val="150"/>
          <w:divBdr>
            <w:top w:val="single" w:sz="6" w:space="0" w:color="CCCCCC"/>
            <w:left w:val="single" w:sz="6" w:space="0" w:color="CCCCCC"/>
            <w:bottom w:val="single" w:sz="6" w:space="0" w:color="CCCCCC"/>
            <w:right w:val="single" w:sz="6" w:space="0" w:color="CCCCCC"/>
          </w:divBdr>
          <w:divsChild>
            <w:div w:id="1822186620">
              <w:marLeft w:val="0"/>
              <w:marRight w:val="0"/>
              <w:marTop w:val="0"/>
              <w:marBottom w:val="0"/>
              <w:divBdr>
                <w:top w:val="none" w:sz="0" w:space="0" w:color="auto"/>
                <w:left w:val="none" w:sz="0" w:space="0" w:color="auto"/>
                <w:bottom w:val="none" w:sz="0" w:space="0" w:color="auto"/>
                <w:right w:val="none" w:sz="0" w:space="0" w:color="auto"/>
              </w:divBdr>
              <w:divsChild>
                <w:div w:id="1278948692">
                  <w:marLeft w:val="0"/>
                  <w:marRight w:val="0"/>
                  <w:marTop w:val="0"/>
                  <w:marBottom w:val="0"/>
                  <w:divBdr>
                    <w:top w:val="none" w:sz="0" w:space="0" w:color="auto"/>
                    <w:left w:val="none" w:sz="0" w:space="0" w:color="auto"/>
                    <w:bottom w:val="none" w:sz="0" w:space="0" w:color="auto"/>
                    <w:right w:val="none" w:sz="0" w:space="0" w:color="auto"/>
                  </w:divBdr>
                  <w:divsChild>
                    <w:div w:id="1191721205">
                      <w:marLeft w:val="0"/>
                      <w:marRight w:val="0"/>
                      <w:marTop w:val="0"/>
                      <w:marBottom w:val="0"/>
                      <w:divBdr>
                        <w:top w:val="none" w:sz="0" w:space="0" w:color="auto"/>
                        <w:left w:val="none" w:sz="0" w:space="0" w:color="auto"/>
                        <w:bottom w:val="none" w:sz="0" w:space="0" w:color="auto"/>
                        <w:right w:val="none" w:sz="0" w:space="0" w:color="auto"/>
                      </w:divBdr>
                      <w:divsChild>
                        <w:div w:id="168193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498566">
          <w:marLeft w:val="0"/>
          <w:marRight w:val="0"/>
          <w:marTop w:val="150"/>
          <w:marBottom w:val="240"/>
          <w:divBdr>
            <w:top w:val="single" w:sz="6" w:space="8" w:color="FFEAAE"/>
            <w:left w:val="single" w:sz="6" w:space="27" w:color="FFEAAE"/>
            <w:bottom w:val="single" w:sz="6" w:space="8" w:color="FFEAAE"/>
            <w:right w:val="single" w:sz="6" w:space="8" w:color="FFEAAE"/>
          </w:divBdr>
          <w:divsChild>
            <w:div w:id="497185805">
              <w:marLeft w:val="0"/>
              <w:marRight w:val="0"/>
              <w:marTop w:val="0"/>
              <w:marBottom w:val="0"/>
              <w:divBdr>
                <w:top w:val="none" w:sz="0" w:space="0" w:color="auto"/>
                <w:left w:val="none" w:sz="0" w:space="0" w:color="auto"/>
                <w:bottom w:val="none" w:sz="0" w:space="0" w:color="auto"/>
                <w:right w:val="none" w:sz="0" w:space="0" w:color="auto"/>
              </w:divBdr>
            </w:div>
          </w:divsChild>
        </w:div>
        <w:div w:id="1439328080">
          <w:marLeft w:val="0"/>
          <w:marRight w:val="0"/>
          <w:marTop w:val="150"/>
          <w:marBottom w:val="240"/>
          <w:divBdr>
            <w:top w:val="single" w:sz="6" w:space="8" w:color="AAB8C6"/>
            <w:left w:val="single" w:sz="6" w:space="27" w:color="AAB8C6"/>
            <w:bottom w:val="single" w:sz="6" w:space="8" w:color="AAB8C6"/>
            <w:right w:val="single" w:sz="6" w:space="8" w:color="AAB8C6"/>
          </w:divBdr>
          <w:divsChild>
            <w:div w:id="872769816">
              <w:marLeft w:val="0"/>
              <w:marRight w:val="0"/>
              <w:marTop w:val="0"/>
              <w:marBottom w:val="0"/>
              <w:divBdr>
                <w:top w:val="none" w:sz="0" w:space="0" w:color="auto"/>
                <w:left w:val="none" w:sz="0" w:space="0" w:color="auto"/>
                <w:bottom w:val="none" w:sz="0" w:space="0" w:color="auto"/>
                <w:right w:val="none" w:sz="0" w:space="0" w:color="auto"/>
              </w:divBdr>
            </w:div>
          </w:divsChild>
        </w:div>
        <w:div w:id="1452548930">
          <w:marLeft w:val="0"/>
          <w:marRight w:val="0"/>
          <w:marTop w:val="150"/>
          <w:marBottom w:val="240"/>
          <w:divBdr>
            <w:top w:val="single" w:sz="6" w:space="8" w:color="91C89C"/>
            <w:left w:val="single" w:sz="6" w:space="27" w:color="91C89C"/>
            <w:bottom w:val="single" w:sz="6" w:space="8" w:color="91C89C"/>
            <w:right w:val="single" w:sz="6" w:space="8" w:color="91C89C"/>
          </w:divBdr>
          <w:divsChild>
            <w:div w:id="514342225">
              <w:marLeft w:val="0"/>
              <w:marRight w:val="0"/>
              <w:marTop w:val="0"/>
              <w:marBottom w:val="0"/>
              <w:divBdr>
                <w:top w:val="none" w:sz="0" w:space="0" w:color="auto"/>
                <w:left w:val="none" w:sz="0" w:space="0" w:color="auto"/>
                <w:bottom w:val="none" w:sz="0" w:space="0" w:color="auto"/>
                <w:right w:val="none" w:sz="0" w:space="0" w:color="auto"/>
              </w:divBdr>
            </w:div>
          </w:divsChild>
        </w:div>
        <w:div w:id="2142727817">
          <w:marLeft w:val="0"/>
          <w:marRight w:val="0"/>
          <w:marTop w:val="150"/>
          <w:marBottom w:val="0"/>
          <w:divBdr>
            <w:top w:val="none" w:sz="0" w:space="0" w:color="auto"/>
            <w:left w:val="none" w:sz="0" w:space="0" w:color="auto"/>
            <w:bottom w:val="none" w:sz="0" w:space="0" w:color="auto"/>
            <w:right w:val="none" w:sz="0" w:space="0" w:color="auto"/>
          </w:divBdr>
        </w:div>
      </w:divsChild>
    </w:div>
    <w:div w:id="502664878">
      <w:bodyDiv w:val="1"/>
      <w:marLeft w:val="0"/>
      <w:marRight w:val="0"/>
      <w:marTop w:val="0"/>
      <w:marBottom w:val="0"/>
      <w:divBdr>
        <w:top w:val="none" w:sz="0" w:space="0" w:color="auto"/>
        <w:left w:val="none" w:sz="0" w:space="0" w:color="auto"/>
        <w:bottom w:val="none" w:sz="0" w:space="0" w:color="auto"/>
        <w:right w:val="none" w:sz="0" w:space="0" w:color="auto"/>
      </w:divBdr>
    </w:div>
    <w:div w:id="537085086">
      <w:bodyDiv w:val="1"/>
      <w:marLeft w:val="0"/>
      <w:marRight w:val="0"/>
      <w:marTop w:val="0"/>
      <w:marBottom w:val="0"/>
      <w:divBdr>
        <w:top w:val="none" w:sz="0" w:space="0" w:color="auto"/>
        <w:left w:val="none" w:sz="0" w:space="0" w:color="auto"/>
        <w:bottom w:val="none" w:sz="0" w:space="0" w:color="auto"/>
        <w:right w:val="none" w:sz="0" w:space="0" w:color="auto"/>
      </w:divBdr>
    </w:div>
    <w:div w:id="555093758">
      <w:bodyDiv w:val="1"/>
      <w:marLeft w:val="0"/>
      <w:marRight w:val="0"/>
      <w:marTop w:val="0"/>
      <w:marBottom w:val="0"/>
      <w:divBdr>
        <w:top w:val="none" w:sz="0" w:space="0" w:color="auto"/>
        <w:left w:val="none" w:sz="0" w:space="0" w:color="auto"/>
        <w:bottom w:val="none" w:sz="0" w:space="0" w:color="auto"/>
        <w:right w:val="none" w:sz="0" w:space="0" w:color="auto"/>
      </w:divBdr>
    </w:div>
    <w:div w:id="580600234">
      <w:bodyDiv w:val="1"/>
      <w:marLeft w:val="0"/>
      <w:marRight w:val="0"/>
      <w:marTop w:val="0"/>
      <w:marBottom w:val="0"/>
      <w:divBdr>
        <w:top w:val="none" w:sz="0" w:space="0" w:color="auto"/>
        <w:left w:val="none" w:sz="0" w:space="0" w:color="auto"/>
        <w:bottom w:val="none" w:sz="0" w:space="0" w:color="auto"/>
        <w:right w:val="none" w:sz="0" w:space="0" w:color="auto"/>
      </w:divBdr>
    </w:div>
    <w:div w:id="653488770">
      <w:bodyDiv w:val="1"/>
      <w:marLeft w:val="0"/>
      <w:marRight w:val="0"/>
      <w:marTop w:val="0"/>
      <w:marBottom w:val="0"/>
      <w:divBdr>
        <w:top w:val="none" w:sz="0" w:space="0" w:color="auto"/>
        <w:left w:val="none" w:sz="0" w:space="0" w:color="auto"/>
        <w:bottom w:val="none" w:sz="0" w:space="0" w:color="auto"/>
        <w:right w:val="none" w:sz="0" w:space="0" w:color="auto"/>
      </w:divBdr>
    </w:div>
    <w:div w:id="653610079">
      <w:bodyDiv w:val="1"/>
      <w:marLeft w:val="0"/>
      <w:marRight w:val="0"/>
      <w:marTop w:val="0"/>
      <w:marBottom w:val="0"/>
      <w:divBdr>
        <w:top w:val="none" w:sz="0" w:space="0" w:color="auto"/>
        <w:left w:val="none" w:sz="0" w:space="0" w:color="auto"/>
        <w:bottom w:val="none" w:sz="0" w:space="0" w:color="auto"/>
        <w:right w:val="none" w:sz="0" w:space="0" w:color="auto"/>
      </w:divBdr>
    </w:div>
    <w:div w:id="661127791">
      <w:bodyDiv w:val="1"/>
      <w:marLeft w:val="0"/>
      <w:marRight w:val="0"/>
      <w:marTop w:val="0"/>
      <w:marBottom w:val="0"/>
      <w:divBdr>
        <w:top w:val="none" w:sz="0" w:space="0" w:color="auto"/>
        <w:left w:val="none" w:sz="0" w:space="0" w:color="auto"/>
        <w:bottom w:val="none" w:sz="0" w:space="0" w:color="auto"/>
        <w:right w:val="none" w:sz="0" w:space="0" w:color="auto"/>
      </w:divBdr>
    </w:div>
    <w:div w:id="669525421">
      <w:bodyDiv w:val="1"/>
      <w:marLeft w:val="0"/>
      <w:marRight w:val="0"/>
      <w:marTop w:val="0"/>
      <w:marBottom w:val="0"/>
      <w:divBdr>
        <w:top w:val="none" w:sz="0" w:space="0" w:color="auto"/>
        <w:left w:val="none" w:sz="0" w:space="0" w:color="auto"/>
        <w:bottom w:val="none" w:sz="0" w:space="0" w:color="auto"/>
        <w:right w:val="none" w:sz="0" w:space="0" w:color="auto"/>
      </w:divBdr>
    </w:div>
    <w:div w:id="680159570">
      <w:bodyDiv w:val="1"/>
      <w:marLeft w:val="0"/>
      <w:marRight w:val="0"/>
      <w:marTop w:val="0"/>
      <w:marBottom w:val="0"/>
      <w:divBdr>
        <w:top w:val="none" w:sz="0" w:space="0" w:color="auto"/>
        <w:left w:val="none" w:sz="0" w:space="0" w:color="auto"/>
        <w:bottom w:val="none" w:sz="0" w:space="0" w:color="auto"/>
        <w:right w:val="none" w:sz="0" w:space="0" w:color="auto"/>
      </w:divBdr>
    </w:div>
    <w:div w:id="698432639">
      <w:bodyDiv w:val="1"/>
      <w:marLeft w:val="0"/>
      <w:marRight w:val="0"/>
      <w:marTop w:val="0"/>
      <w:marBottom w:val="0"/>
      <w:divBdr>
        <w:top w:val="none" w:sz="0" w:space="0" w:color="auto"/>
        <w:left w:val="none" w:sz="0" w:space="0" w:color="auto"/>
        <w:bottom w:val="none" w:sz="0" w:space="0" w:color="auto"/>
        <w:right w:val="none" w:sz="0" w:space="0" w:color="auto"/>
      </w:divBdr>
    </w:div>
    <w:div w:id="729228251">
      <w:bodyDiv w:val="1"/>
      <w:marLeft w:val="0"/>
      <w:marRight w:val="0"/>
      <w:marTop w:val="0"/>
      <w:marBottom w:val="0"/>
      <w:divBdr>
        <w:top w:val="none" w:sz="0" w:space="0" w:color="auto"/>
        <w:left w:val="none" w:sz="0" w:space="0" w:color="auto"/>
        <w:bottom w:val="none" w:sz="0" w:space="0" w:color="auto"/>
        <w:right w:val="none" w:sz="0" w:space="0" w:color="auto"/>
      </w:divBdr>
      <w:divsChild>
        <w:div w:id="1753700286">
          <w:marLeft w:val="0"/>
          <w:marRight w:val="0"/>
          <w:marTop w:val="0"/>
          <w:marBottom w:val="300"/>
          <w:divBdr>
            <w:top w:val="single" w:sz="6" w:space="11" w:color="BCE8F1"/>
            <w:left w:val="single" w:sz="6" w:space="11" w:color="BCE8F1"/>
            <w:bottom w:val="single" w:sz="6" w:space="11" w:color="BCE8F1"/>
            <w:right w:val="single" w:sz="6" w:space="11" w:color="BCE8F1"/>
          </w:divBdr>
        </w:div>
      </w:divsChild>
    </w:div>
    <w:div w:id="746653320">
      <w:bodyDiv w:val="1"/>
      <w:marLeft w:val="0"/>
      <w:marRight w:val="0"/>
      <w:marTop w:val="0"/>
      <w:marBottom w:val="0"/>
      <w:divBdr>
        <w:top w:val="none" w:sz="0" w:space="0" w:color="auto"/>
        <w:left w:val="none" w:sz="0" w:space="0" w:color="auto"/>
        <w:bottom w:val="none" w:sz="0" w:space="0" w:color="auto"/>
        <w:right w:val="none" w:sz="0" w:space="0" w:color="auto"/>
      </w:divBdr>
    </w:div>
    <w:div w:id="837964530">
      <w:bodyDiv w:val="1"/>
      <w:marLeft w:val="0"/>
      <w:marRight w:val="0"/>
      <w:marTop w:val="0"/>
      <w:marBottom w:val="0"/>
      <w:divBdr>
        <w:top w:val="none" w:sz="0" w:space="0" w:color="auto"/>
        <w:left w:val="none" w:sz="0" w:space="0" w:color="auto"/>
        <w:bottom w:val="none" w:sz="0" w:space="0" w:color="auto"/>
        <w:right w:val="none" w:sz="0" w:space="0" w:color="auto"/>
      </w:divBdr>
    </w:div>
    <w:div w:id="841161856">
      <w:bodyDiv w:val="1"/>
      <w:marLeft w:val="0"/>
      <w:marRight w:val="0"/>
      <w:marTop w:val="0"/>
      <w:marBottom w:val="0"/>
      <w:divBdr>
        <w:top w:val="none" w:sz="0" w:space="0" w:color="auto"/>
        <w:left w:val="none" w:sz="0" w:space="0" w:color="auto"/>
        <w:bottom w:val="none" w:sz="0" w:space="0" w:color="auto"/>
        <w:right w:val="none" w:sz="0" w:space="0" w:color="auto"/>
      </w:divBdr>
    </w:div>
    <w:div w:id="846217512">
      <w:bodyDiv w:val="1"/>
      <w:marLeft w:val="0"/>
      <w:marRight w:val="0"/>
      <w:marTop w:val="0"/>
      <w:marBottom w:val="0"/>
      <w:divBdr>
        <w:top w:val="none" w:sz="0" w:space="0" w:color="auto"/>
        <w:left w:val="none" w:sz="0" w:space="0" w:color="auto"/>
        <w:bottom w:val="none" w:sz="0" w:space="0" w:color="auto"/>
        <w:right w:val="none" w:sz="0" w:space="0" w:color="auto"/>
      </w:divBdr>
    </w:div>
    <w:div w:id="951320794">
      <w:bodyDiv w:val="1"/>
      <w:marLeft w:val="0"/>
      <w:marRight w:val="0"/>
      <w:marTop w:val="0"/>
      <w:marBottom w:val="0"/>
      <w:divBdr>
        <w:top w:val="none" w:sz="0" w:space="0" w:color="auto"/>
        <w:left w:val="none" w:sz="0" w:space="0" w:color="auto"/>
        <w:bottom w:val="none" w:sz="0" w:space="0" w:color="auto"/>
        <w:right w:val="none" w:sz="0" w:space="0" w:color="auto"/>
      </w:divBdr>
    </w:div>
    <w:div w:id="1037197027">
      <w:bodyDiv w:val="1"/>
      <w:marLeft w:val="0"/>
      <w:marRight w:val="0"/>
      <w:marTop w:val="0"/>
      <w:marBottom w:val="0"/>
      <w:divBdr>
        <w:top w:val="none" w:sz="0" w:space="0" w:color="auto"/>
        <w:left w:val="none" w:sz="0" w:space="0" w:color="auto"/>
        <w:bottom w:val="none" w:sz="0" w:space="0" w:color="auto"/>
        <w:right w:val="none" w:sz="0" w:space="0" w:color="auto"/>
      </w:divBdr>
    </w:div>
    <w:div w:id="1058627374">
      <w:bodyDiv w:val="1"/>
      <w:marLeft w:val="0"/>
      <w:marRight w:val="0"/>
      <w:marTop w:val="0"/>
      <w:marBottom w:val="0"/>
      <w:divBdr>
        <w:top w:val="none" w:sz="0" w:space="0" w:color="auto"/>
        <w:left w:val="none" w:sz="0" w:space="0" w:color="auto"/>
        <w:bottom w:val="none" w:sz="0" w:space="0" w:color="auto"/>
        <w:right w:val="none" w:sz="0" w:space="0" w:color="auto"/>
      </w:divBdr>
    </w:div>
    <w:div w:id="1111438030">
      <w:bodyDiv w:val="1"/>
      <w:marLeft w:val="0"/>
      <w:marRight w:val="0"/>
      <w:marTop w:val="0"/>
      <w:marBottom w:val="0"/>
      <w:divBdr>
        <w:top w:val="none" w:sz="0" w:space="0" w:color="auto"/>
        <w:left w:val="none" w:sz="0" w:space="0" w:color="auto"/>
        <w:bottom w:val="none" w:sz="0" w:space="0" w:color="auto"/>
        <w:right w:val="none" w:sz="0" w:space="0" w:color="auto"/>
      </w:divBdr>
    </w:div>
    <w:div w:id="1130242806">
      <w:bodyDiv w:val="1"/>
      <w:marLeft w:val="0"/>
      <w:marRight w:val="0"/>
      <w:marTop w:val="0"/>
      <w:marBottom w:val="0"/>
      <w:divBdr>
        <w:top w:val="none" w:sz="0" w:space="0" w:color="auto"/>
        <w:left w:val="none" w:sz="0" w:space="0" w:color="auto"/>
        <w:bottom w:val="none" w:sz="0" w:space="0" w:color="auto"/>
        <w:right w:val="none" w:sz="0" w:space="0" w:color="auto"/>
      </w:divBdr>
    </w:div>
    <w:div w:id="1138188619">
      <w:bodyDiv w:val="1"/>
      <w:marLeft w:val="0"/>
      <w:marRight w:val="0"/>
      <w:marTop w:val="0"/>
      <w:marBottom w:val="0"/>
      <w:divBdr>
        <w:top w:val="none" w:sz="0" w:space="0" w:color="auto"/>
        <w:left w:val="none" w:sz="0" w:space="0" w:color="auto"/>
        <w:bottom w:val="none" w:sz="0" w:space="0" w:color="auto"/>
        <w:right w:val="none" w:sz="0" w:space="0" w:color="auto"/>
      </w:divBdr>
      <w:divsChild>
        <w:div w:id="51199823">
          <w:marLeft w:val="0"/>
          <w:marRight w:val="0"/>
          <w:marTop w:val="0"/>
          <w:marBottom w:val="0"/>
          <w:divBdr>
            <w:top w:val="none" w:sz="0" w:space="0" w:color="auto"/>
            <w:left w:val="none" w:sz="0" w:space="0" w:color="auto"/>
            <w:bottom w:val="none" w:sz="0" w:space="0" w:color="auto"/>
            <w:right w:val="none" w:sz="0" w:space="0" w:color="auto"/>
          </w:divBdr>
          <w:divsChild>
            <w:div w:id="196938529">
              <w:marLeft w:val="-225"/>
              <w:marRight w:val="-225"/>
              <w:marTop w:val="0"/>
              <w:marBottom w:val="300"/>
              <w:divBdr>
                <w:top w:val="none" w:sz="0" w:space="0" w:color="auto"/>
                <w:left w:val="none" w:sz="0" w:space="0" w:color="auto"/>
                <w:bottom w:val="none" w:sz="0" w:space="0" w:color="auto"/>
                <w:right w:val="none" w:sz="0" w:space="0" w:color="auto"/>
              </w:divBdr>
              <w:divsChild>
                <w:div w:id="853111503">
                  <w:marLeft w:val="0"/>
                  <w:marRight w:val="0"/>
                  <w:marTop w:val="0"/>
                  <w:marBottom w:val="0"/>
                  <w:divBdr>
                    <w:top w:val="none" w:sz="0" w:space="0" w:color="auto"/>
                    <w:left w:val="none" w:sz="0" w:space="0" w:color="auto"/>
                    <w:bottom w:val="none" w:sz="0" w:space="0" w:color="auto"/>
                    <w:right w:val="none" w:sz="0" w:space="0" w:color="auto"/>
                  </w:divBdr>
                </w:div>
              </w:divsChild>
            </w:div>
            <w:div w:id="262805690">
              <w:marLeft w:val="-225"/>
              <w:marRight w:val="-225"/>
              <w:marTop w:val="0"/>
              <w:marBottom w:val="300"/>
              <w:divBdr>
                <w:top w:val="none" w:sz="0" w:space="0" w:color="auto"/>
                <w:left w:val="none" w:sz="0" w:space="0" w:color="auto"/>
                <w:bottom w:val="none" w:sz="0" w:space="0" w:color="auto"/>
                <w:right w:val="none" w:sz="0" w:space="0" w:color="auto"/>
              </w:divBdr>
              <w:divsChild>
                <w:div w:id="1274480280">
                  <w:marLeft w:val="0"/>
                  <w:marRight w:val="0"/>
                  <w:marTop w:val="0"/>
                  <w:marBottom w:val="0"/>
                  <w:divBdr>
                    <w:top w:val="none" w:sz="0" w:space="0" w:color="auto"/>
                    <w:left w:val="none" w:sz="0" w:space="0" w:color="auto"/>
                    <w:bottom w:val="none" w:sz="0" w:space="0" w:color="auto"/>
                    <w:right w:val="none" w:sz="0" w:space="0" w:color="auto"/>
                  </w:divBdr>
                  <w:divsChild>
                    <w:div w:id="98975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8439">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1139810615">
      <w:bodyDiv w:val="1"/>
      <w:marLeft w:val="0"/>
      <w:marRight w:val="0"/>
      <w:marTop w:val="0"/>
      <w:marBottom w:val="0"/>
      <w:divBdr>
        <w:top w:val="none" w:sz="0" w:space="0" w:color="auto"/>
        <w:left w:val="none" w:sz="0" w:space="0" w:color="auto"/>
        <w:bottom w:val="none" w:sz="0" w:space="0" w:color="auto"/>
        <w:right w:val="none" w:sz="0" w:space="0" w:color="auto"/>
      </w:divBdr>
    </w:div>
    <w:div w:id="1155147508">
      <w:bodyDiv w:val="1"/>
      <w:marLeft w:val="0"/>
      <w:marRight w:val="0"/>
      <w:marTop w:val="0"/>
      <w:marBottom w:val="0"/>
      <w:divBdr>
        <w:top w:val="none" w:sz="0" w:space="0" w:color="auto"/>
        <w:left w:val="none" w:sz="0" w:space="0" w:color="auto"/>
        <w:bottom w:val="none" w:sz="0" w:space="0" w:color="auto"/>
        <w:right w:val="none" w:sz="0" w:space="0" w:color="auto"/>
      </w:divBdr>
    </w:div>
    <w:div w:id="1232036847">
      <w:bodyDiv w:val="1"/>
      <w:marLeft w:val="0"/>
      <w:marRight w:val="0"/>
      <w:marTop w:val="0"/>
      <w:marBottom w:val="0"/>
      <w:divBdr>
        <w:top w:val="none" w:sz="0" w:space="0" w:color="auto"/>
        <w:left w:val="none" w:sz="0" w:space="0" w:color="auto"/>
        <w:bottom w:val="none" w:sz="0" w:space="0" w:color="auto"/>
        <w:right w:val="none" w:sz="0" w:space="0" w:color="auto"/>
      </w:divBdr>
    </w:div>
    <w:div w:id="1309432765">
      <w:bodyDiv w:val="1"/>
      <w:marLeft w:val="0"/>
      <w:marRight w:val="0"/>
      <w:marTop w:val="0"/>
      <w:marBottom w:val="0"/>
      <w:divBdr>
        <w:top w:val="none" w:sz="0" w:space="0" w:color="auto"/>
        <w:left w:val="none" w:sz="0" w:space="0" w:color="auto"/>
        <w:bottom w:val="none" w:sz="0" w:space="0" w:color="auto"/>
        <w:right w:val="none" w:sz="0" w:space="0" w:color="auto"/>
      </w:divBdr>
      <w:divsChild>
        <w:div w:id="1270427651">
          <w:marLeft w:val="0"/>
          <w:marRight w:val="0"/>
          <w:marTop w:val="0"/>
          <w:marBottom w:val="0"/>
          <w:divBdr>
            <w:top w:val="none" w:sz="0" w:space="0" w:color="auto"/>
            <w:left w:val="none" w:sz="0" w:space="0" w:color="auto"/>
            <w:bottom w:val="none" w:sz="0" w:space="0" w:color="auto"/>
            <w:right w:val="none" w:sz="0" w:space="0" w:color="auto"/>
          </w:divBdr>
        </w:div>
        <w:div w:id="1933583980">
          <w:marLeft w:val="0"/>
          <w:marRight w:val="0"/>
          <w:marTop w:val="0"/>
          <w:marBottom w:val="0"/>
          <w:divBdr>
            <w:top w:val="none" w:sz="0" w:space="0" w:color="auto"/>
            <w:left w:val="none" w:sz="0" w:space="0" w:color="auto"/>
            <w:bottom w:val="none" w:sz="0" w:space="0" w:color="auto"/>
            <w:right w:val="none" w:sz="0" w:space="0" w:color="auto"/>
          </w:divBdr>
        </w:div>
      </w:divsChild>
    </w:div>
    <w:div w:id="1335498900">
      <w:bodyDiv w:val="1"/>
      <w:marLeft w:val="0"/>
      <w:marRight w:val="0"/>
      <w:marTop w:val="0"/>
      <w:marBottom w:val="0"/>
      <w:divBdr>
        <w:top w:val="none" w:sz="0" w:space="0" w:color="auto"/>
        <w:left w:val="none" w:sz="0" w:space="0" w:color="auto"/>
        <w:bottom w:val="none" w:sz="0" w:space="0" w:color="auto"/>
        <w:right w:val="none" w:sz="0" w:space="0" w:color="auto"/>
      </w:divBdr>
    </w:div>
    <w:div w:id="1383217217">
      <w:bodyDiv w:val="1"/>
      <w:marLeft w:val="0"/>
      <w:marRight w:val="0"/>
      <w:marTop w:val="0"/>
      <w:marBottom w:val="0"/>
      <w:divBdr>
        <w:top w:val="none" w:sz="0" w:space="0" w:color="auto"/>
        <w:left w:val="none" w:sz="0" w:space="0" w:color="auto"/>
        <w:bottom w:val="none" w:sz="0" w:space="0" w:color="auto"/>
        <w:right w:val="none" w:sz="0" w:space="0" w:color="auto"/>
      </w:divBdr>
    </w:div>
    <w:div w:id="1395817057">
      <w:bodyDiv w:val="1"/>
      <w:marLeft w:val="0"/>
      <w:marRight w:val="0"/>
      <w:marTop w:val="0"/>
      <w:marBottom w:val="0"/>
      <w:divBdr>
        <w:top w:val="none" w:sz="0" w:space="0" w:color="auto"/>
        <w:left w:val="none" w:sz="0" w:space="0" w:color="auto"/>
        <w:bottom w:val="none" w:sz="0" w:space="0" w:color="auto"/>
        <w:right w:val="none" w:sz="0" w:space="0" w:color="auto"/>
      </w:divBdr>
    </w:div>
    <w:div w:id="1409159395">
      <w:bodyDiv w:val="1"/>
      <w:marLeft w:val="0"/>
      <w:marRight w:val="0"/>
      <w:marTop w:val="0"/>
      <w:marBottom w:val="0"/>
      <w:divBdr>
        <w:top w:val="none" w:sz="0" w:space="0" w:color="auto"/>
        <w:left w:val="none" w:sz="0" w:space="0" w:color="auto"/>
        <w:bottom w:val="none" w:sz="0" w:space="0" w:color="auto"/>
        <w:right w:val="none" w:sz="0" w:space="0" w:color="auto"/>
      </w:divBdr>
    </w:div>
    <w:div w:id="1480221343">
      <w:bodyDiv w:val="1"/>
      <w:marLeft w:val="0"/>
      <w:marRight w:val="0"/>
      <w:marTop w:val="0"/>
      <w:marBottom w:val="0"/>
      <w:divBdr>
        <w:top w:val="none" w:sz="0" w:space="0" w:color="auto"/>
        <w:left w:val="none" w:sz="0" w:space="0" w:color="auto"/>
        <w:bottom w:val="none" w:sz="0" w:space="0" w:color="auto"/>
        <w:right w:val="none" w:sz="0" w:space="0" w:color="auto"/>
      </w:divBdr>
    </w:div>
    <w:div w:id="1509101890">
      <w:bodyDiv w:val="1"/>
      <w:marLeft w:val="0"/>
      <w:marRight w:val="0"/>
      <w:marTop w:val="0"/>
      <w:marBottom w:val="0"/>
      <w:divBdr>
        <w:top w:val="none" w:sz="0" w:space="0" w:color="auto"/>
        <w:left w:val="none" w:sz="0" w:space="0" w:color="auto"/>
        <w:bottom w:val="none" w:sz="0" w:space="0" w:color="auto"/>
        <w:right w:val="none" w:sz="0" w:space="0" w:color="auto"/>
      </w:divBdr>
    </w:div>
    <w:div w:id="1511481507">
      <w:bodyDiv w:val="1"/>
      <w:marLeft w:val="0"/>
      <w:marRight w:val="0"/>
      <w:marTop w:val="0"/>
      <w:marBottom w:val="0"/>
      <w:divBdr>
        <w:top w:val="none" w:sz="0" w:space="0" w:color="auto"/>
        <w:left w:val="none" w:sz="0" w:space="0" w:color="auto"/>
        <w:bottom w:val="none" w:sz="0" w:space="0" w:color="auto"/>
        <w:right w:val="none" w:sz="0" w:space="0" w:color="auto"/>
      </w:divBdr>
    </w:div>
    <w:div w:id="1547184136">
      <w:bodyDiv w:val="1"/>
      <w:marLeft w:val="0"/>
      <w:marRight w:val="0"/>
      <w:marTop w:val="0"/>
      <w:marBottom w:val="0"/>
      <w:divBdr>
        <w:top w:val="none" w:sz="0" w:space="0" w:color="auto"/>
        <w:left w:val="none" w:sz="0" w:space="0" w:color="auto"/>
        <w:bottom w:val="none" w:sz="0" w:space="0" w:color="auto"/>
        <w:right w:val="none" w:sz="0" w:space="0" w:color="auto"/>
      </w:divBdr>
    </w:div>
    <w:div w:id="1547327729">
      <w:bodyDiv w:val="1"/>
      <w:marLeft w:val="0"/>
      <w:marRight w:val="0"/>
      <w:marTop w:val="0"/>
      <w:marBottom w:val="0"/>
      <w:divBdr>
        <w:top w:val="none" w:sz="0" w:space="0" w:color="auto"/>
        <w:left w:val="none" w:sz="0" w:space="0" w:color="auto"/>
        <w:bottom w:val="none" w:sz="0" w:space="0" w:color="auto"/>
        <w:right w:val="none" w:sz="0" w:space="0" w:color="auto"/>
      </w:divBdr>
    </w:div>
    <w:div w:id="1566254047">
      <w:bodyDiv w:val="1"/>
      <w:marLeft w:val="0"/>
      <w:marRight w:val="0"/>
      <w:marTop w:val="0"/>
      <w:marBottom w:val="0"/>
      <w:divBdr>
        <w:top w:val="none" w:sz="0" w:space="0" w:color="auto"/>
        <w:left w:val="none" w:sz="0" w:space="0" w:color="auto"/>
        <w:bottom w:val="none" w:sz="0" w:space="0" w:color="auto"/>
        <w:right w:val="none" w:sz="0" w:space="0" w:color="auto"/>
      </w:divBdr>
      <w:divsChild>
        <w:div w:id="11342775">
          <w:marLeft w:val="0"/>
          <w:marRight w:val="0"/>
          <w:marTop w:val="0"/>
          <w:marBottom w:val="0"/>
          <w:divBdr>
            <w:top w:val="none" w:sz="0" w:space="0" w:color="auto"/>
            <w:left w:val="none" w:sz="0" w:space="0" w:color="auto"/>
            <w:bottom w:val="none" w:sz="0" w:space="0" w:color="auto"/>
            <w:right w:val="none" w:sz="0" w:space="0" w:color="auto"/>
          </w:divBdr>
        </w:div>
        <w:div w:id="307975615">
          <w:marLeft w:val="0"/>
          <w:marRight w:val="0"/>
          <w:marTop w:val="0"/>
          <w:marBottom w:val="0"/>
          <w:divBdr>
            <w:top w:val="none" w:sz="0" w:space="0" w:color="auto"/>
            <w:left w:val="none" w:sz="0" w:space="0" w:color="auto"/>
            <w:bottom w:val="none" w:sz="0" w:space="0" w:color="auto"/>
            <w:right w:val="none" w:sz="0" w:space="0" w:color="auto"/>
          </w:divBdr>
          <w:divsChild>
            <w:div w:id="1512991688">
              <w:marLeft w:val="0"/>
              <w:marRight w:val="0"/>
              <w:marTop w:val="0"/>
              <w:marBottom w:val="0"/>
              <w:divBdr>
                <w:top w:val="none" w:sz="0" w:space="0" w:color="auto"/>
                <w:left w:val="none" w:sz="0" w:space="0" w:color="auto"/>
                <w:bottom w:val="none" w:sz="0" w:space="0" w:color="auto"/>
                <w:right w:val="none" w:sz="0" w:space="0" w:color="auto"/>
              </w:divBdr>
              <w:divsChild>
                <w:div w:id="1966814574">
                  <w:marLeft w:val="0"/>
                  <w:marRight w:val="0"/>
                  <w:marTop w:val="0"/>
                  <w:marBottom w:val="300"/>
                  <w:divBdr>
                    <w:top w:val="single" w:sz="6" w:space="11" w:color="FBEED5"/>
                    <w:left w:val="single" w:sz="6" w:space="11" w:color="FBEED5"/>
                    <w:bottom w:val="single" w:sz="6" w:space="11" w:color="FBEED5"/>
                    <w:right w:val="single" w:sz="6" w:space="11" w:color="FBEED5"/>
                  </w:divBdr>
                </w:div>
              </w:divsChild>
            </w:div>
          </w:divsChild>
        </w:div>
        <w:div w:id="378090508">
          <w:marLeft w:val="0"/>
          <w:marRight w:val="0"/>
          <w:marTop w:val="0"/>
          <w:marBottom w:val="300"/>
          <w:divBdr>
            <w:top w:val="single" w:sz="6" w:space="11" w:color="BCE8F1"/>
            <w:left w:val="single" w:sz="6" w:space="11" w:color="BCE8F1"/>
            <w:bottom w:val="single" w:sz="6" w:space="11" w:color="BCE8F1"/>
            <w:right w:val="single" w:sz="6" w:space="11" w:color="BCE8F1"/>
          </w:divBdr>
        </w:div>
        <w:div w:id="772752215">
          <w:marLeft w:val="0"/>
          <w:marRight w:val="0"/>
          <w:marTop w:val="0"/>
          <w:marBottom w:val="300"/>
          <w:divBdr>
            <w:top w:val="single" w:sz="6" w:space="11" w:color="EED3D7"/>
            <w:left w:val="single" w:sz="6" w:space="11" w:color="EED3D7"/>
            <w:bottom w:val="single" w:sz="6" w:space="11" w:color="EED3D7"/>
            <w:right w:val="single" w:sz="6" w:space="11" w:color="EED3D7"/>
          </w:divBdr>
        </w:div>
        <w:div w:id="935404703">
          <w:marLeft w:val="0"/>
          <w:marRight w:val="0"/>
          <w:marTop w:val="0"/>
          <w:marBottom w:val="300"/>
          <w:divBdr>
            <w:top w:val="single" w:sz="6" w:space="11" w:color="D6E9C6"/>
            <w:left w:val="single" w:sz="6" w:space="11" w:color="D6E9C6"/>
            <w:bottom w:val="single" w:sz="6" w:space="11" w:color="D6E9C6"/>
            <w:right w:val="single" w:sz="6" w:space="11" w:color="D6E9C6"/>
          </w:divBdr>
        </w:div>
      </w:divsChild>
    </w:div>
    <w:div w:id="1596863042">
      <w:bodyDiv w:val="1"/>
      <w:marLeft w:val="0"/>
      <w:marRight w:val="0"/>
      <w:marTop w:val="0"/>
      <w:marBottom w:val="0"/>
      <w:divBdr>
        <w:top w:val="none" w:sz="0" w:space="0" w:color="auto"/>
        <w:left w:val="none" w:sz="0" w:space="0" w:color="auto"/>
        <w:bottom w:val="none" w:sz="0" w:space="0" w:color="auto"/>
        <w:right w:val="none" w:sz="0" w:space="0" w:color="auto"/>
      </w:divBdr>
    </w:div>
    <w:div w:id="1624773997">
      <w:bodyDiv w:val="1"/>
      <w:marLeft w:val="0"/>
      <w:marRight w:val="0"/>
      <w:marTop w:val="0"/>
      <w:marBottom w:val="0"/>
      <w:divBdr>
        <w:top w:val="none" w:sz="0" w:space="0" w:color="auto"/>
        <w:left w:val="none" w:sz="0" w:space="0" w:color="auto"/>
        <w:bottom w:val="none" w:sz="0" w:space="0" w:color="auto"/>
        <w:right w:val="none" w:sz="0" w:space="0" w:color="auto"/>
      </w:divBdr>
    </w:div>
    <w:div w:id="1658683031">
      <w:bodyDiv w:val="1"/>
      <w:marLeft w:val="0"/>
      <w:marRight w:val="0"/>
      <w:marTop w:val="0"/>
      <w:marBottom w:val="0"/>
      <w:divBdr>
        <w:top w:val="none" w:sz="0" w:space="0" w:color="auto"/>
        <w:left w:val="none" w:sz="0" w:space="0" w:color="auto"/>
        <w:bottom w:val="none" w:sz="0" w:space="0" w:color="auto"/>
        <w:right w:val="none" w:sz="0" w:space="0" w:color="auto"/>
      </w:divBdr>
    </w:div>
    <w:div w:id="1691644891">
      <w:bodyDiv w:val="1"/>
      <w:marLeft w:val="0"/>
      <w:marRight w:val="0"/>
      <w:marTop w:val="0"/>
      <w:marBottom w:val="0"/>
      <w:divBdr>
        <w:top w:val="none" w:sz="0" w:space="0" w:color="auto"/>
        <w:left w:val="none" w:sz="0" w:space="0" w:color="auto"/>
        <w:bottom w:val="none" w:sz="0" w:space="0" w:color="auto"/>
        <w:right w:val="none" w:sz="0" w:space="0" w:color="auto"/>
      </w:divBdr>
    </w:div>
    <w:div w:id="1808627223">
      <w:bodyDiv w:val="1"/>
      <w:marLeft w:val="0"/>
      <w:marRight w:val="0"/>
      <w:marTop w:val="0"/>
      <w:marBottom w:val="0"/>
      <w:divBdr>
        <w:top w:val="none" w:sz="0" w:space="0" w:color="auto"/>
        <w:left w:val="none" w:sz="0" w:space="0" w:color="auto"/>
        <w:bottom w:val="none" w:sz="0" w:space="0" w:color="auto"/>
        <w:right w:val="none" w:sz="0" w:space="0" w:color="auto"/>
      </w:divBdr>
      <w:divsChild>
        <w:div w:id="1142112113">
          <w:marLeft w:val="0"/>
          <w:marRight w:val="0"/>
          <w:marTop w:val="150"/>
          <w:marBottom w:val="150"/>
          <w:divBdr>
            <w:top w:val="single" w:sz="6" w:space="0" w:color="CCCCCC"/>
            <w:left w:val="single" w:sz="6" w:space="0" w:color="CCCCCC"/>
            <w:bottom w:val="single" w:sz="6" w:space="0" w:color="CCCCCC"/>
            <w:right w:val="single" w:sz="6" w:space="0" w:color="CCCCCC"/>
          </w:divBdr>
          <w:divsChild>
            <w:div w:id="71080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5439">
      <w:bodyDiv w:val="1"/>
      <w:marLeft w:val="0"/>
      <w:marRight w:val="0"/>
      <w:marTop w:val="0"/>
      <w:marBottom w:val="0"/>
      <w:divBdr>
        <w:top w:val="none" w:sz="0" w:space="0" w:color="auto"/>
        <w:left w:val="none" w:sz="0" w:space="0" w:color="auto"/>
        <w:bottom w:val="none" w:sz="0" w:space="0" w:color="auto"/>
        <w:right w:val="none" w:sz="0" w:space="0" w:color="auto"/>
      </w:divBdr>
    </w:div>
    <w:div w:id="2003309603">
      <w:bodyDiv w:val="1"/>
      <w:marLeft w:val="0"/>
      <w:marRight w:val="0"/>
      <w:marTop w:val="0"/>
      <w:marBottom w:val="0"/>
      <w:divBdr>
        <w:top w:val="none" w:sz="0" w:space="0" w:color="auto"/>
        <w:left w:val="none" w:sz="0" w:space="0" w:color="auto"/>
        <w:bottom w:val="none" w:sz="0" w:space="0" w:color="auto"/>
        <w:right w:val="none" w:sz="0" w:space="0" w:color="auto"/>
      </w:divBdr>
    </w:div>
    <w:div w:id="2027750718">
      <w:bodyDiv w:val="1"/>
      <w:marLeft w:val="0"/>
      <w:marRight w:val="0"/>
      <w:marTop w:val="0"/>
      <w:marBottom w:val="0"/>
      <w:divBdr>
        <w:top w:val="none" w:sz="0" w:space="0" w:color="auto"/>
        <w:left w:val="none" w:sz="0" w:space="0" w:color="auto"/>
        <w:bottom w:val="none" w:sz="0" w:space="0" w:color="auto"/>
        <w:right w:val="none" w:sz="0" w:space="0" w:color="auto"/>
      </w:divBdr>
      <w:divsChild>
        <w:div w:id="16320485">
          <w:marLeft w:val="0"/>
          <w:marRight w:val="0"/>
          <w:marTop w:val="0"/>
          <w:marBottom w:val="300"/>
          <w:divBdr>
            <w:top w:val="single" w:sz="6" w:space="11" w:color="D6E9C6"/>
            <w:left w:val="single" w:sz="6" w:space="11" w:color="D6E9C6"/>
            <w:bottom w:val="single" w:sz="6" w:space="11" w:color="D6E9C6"/>
            <w:right w:val="single" w:sz="6" w:space="11" w:color="D6E9C6"/>
          </w:divBdr>
        </w:div>
        <w:div w:id="365954613">
          <w:marLeft w:val="0"/>
          <w:marRight w:val="0"/>
          <w:marTop w:val="0"/>
          <w:marBottom w:val="300"/>
          <w:divBdr>
            <w:top w:val="single" w:sz="6" w:space="11" w:color="EED3D7"/>
            <w:left w:val="single" w:sz="6" w:space="11" w:color="EED3D7"/>
            <w:bottom w:val="single" w:sz="6" w:space="11" w:color="EED3D7"/>
            <w:right w:val="single" w:sz="6" w:space="11" w:color="EED3D7"/>
          </w:divBdr>
        </w:div>
        <w:div w:id="543444544">
          <w:marLeft w:val="0"/>
          <w:marRight w:val="0"/>
          <w:marTop w:val="0"/>
          <w:marBottom w:val="0"/>
          <w:divBdr>
            <w:top w:val="none" w:sz="0" w:space="0" w:color="auto"/>
            <w:left w:val="none" w:sz="0" w:space="0" w:color="auto"/>
            <w:bottom w:val="none" w:sz="0" w:space="0" w:color="auto"/>
            <w:right w:val="none" w:sz="0" w:space="0" w:color="auto"/>
          </w:divBdr>
          <w:divsChild>
            <w:div w:id="1659577898">
              <w:marLeft w:val="0"/>
              <w:marRight w:val="0"/>
              <w:marTop w:val="0"/>
              <w:marBottom w:val="300"/>
              <w:divBdr>
                <w:top w:val="single" w:sz="6" w:space="11" w:color="BCE8F1"/>
                <w:left w:val="single" w:sz="6" w:space="11" w:color="BCE8F1"/>
                <w:bottom w:val="single" w:sz="6" w:space="11" w:color="BCE8F1"/>
                <w:right w:val="single" w:sz="6" w:space="11" w:color="BCE8F1"/>
              </w:divBdr>
            </w:div>
          </w:divsChild>
        </w:div>
        <w:div w:id="697044469">
          <w:marLeft w:val="0"/>
          <w:marRight w:val="0"/>
          <w:marTop w:val="0"/>
          <w:marBottom w:val="0"/>
          <w:divBdr>
            <w:top w:val="none" w:sz="0" w:space="0" w:color="auto"/>
            <w:left w:val="none" w:sz="0" w:space="0" w:color="auto"/>
            <w:bottom w:val="none" w:sz="0" w:space="0" w:color="auto"/>
            <w:right w:val="none" w:sz="0" w:space="0" w:color="auto"/>
          </w:divBdr>
        </w:div>
        <w:div w:id="1863201976">
          <w:marLeft w:val="0"/>
          <w:marRight w:val="0"/>
          <w:marTop w:val="0"/>
          <w:marBottom w:val="0"/>
          <w:divBdr>
            <w:top w:val="none" w:sz="0" w:space="0" w:color="auto"/>
            <w:left w:val="none" w:sz="0" w:space="0" w:color="auto"/>
            <w:bottom w:val="none" w:sz="0" w:space="0" w:color="auto"/>
            <w:right w:val="none" w:sz="0" w:space="0" w:color="auto"/>
          </w:divBdr>
          <w:divsChild>
            <w:div w:id="229580425">
              <w:marLeft w:val="0"/>
              <w:marRight w:val="0"/>
              <w:marTop w:val="0"/>
              <w:marBottom w:val="0"/>
              <w:divBdr>
                <w:top w:val="none" w:sz="0" w:space="0" w:color="auto"/>
                <w:left w:val="none" w:sz="0" w:space="0" w:color="auto"/>
                <w:bottom w:val="none" w:sz="0" w:space="0" w:color="auto"/>
                <w:right w:val="none" w:sz="0" w:space="0" w:color="auto"/>
              </w:divBdr>
              <w:divsChild>
                <w:div w:id="1632396195">
                  <w:marLeft w:val="0"/>
                  <w:marRight w:val="0"/>
                  <w:marTop w:val="0"/>
                  <w:marBottom w:val="300"/>
                  <w:divBdr>
                    <w:top w:val="single" w:sz="6" w:space="11" w:color="FBEED5"/>
                    <w:left w:val="single" w:sz="6" w:space="11" w:color="FBEED5"/>
                    <w:bottom w:val="single" w:sz="6" w:space="11" w:color="FBEED5"/>
                    <w:right w:val="single" w:sz="6" w:space="11" w:color="FBEED5"/>
                  </w:divBdr>
                </w:div>
              </w:divsChild>
            </w:div>
          </w:divsChild>
        </w:div>
      </w:divsChild>
    </w:div>
    <w:div w:id="2060856442">
      <w:bodyDiv w:val="1"/>
      <w:marLeft w:val="0"/>
      <w:marRight w:val="0"/>
      <w:marTop w:val="0"/>
      <w:marBottom w:val="0"/>
      <w:divBdr>
        <w:top w:val="none" w:sz="0" w:space="0" w:color="auto"/>
        <w:left w:val="none" w:sz="0" w:space="0" w:color="auto"/>
        <w:bottom w:val="none" w:sz="0" w:space="0" w:color="auto"/>
        <w:right w:val="none" w:sz="0" w:space="0" w:color="auto"/>
      </w:divBdr>
    </w:div>
    <w:div w:id="2094277030">
      <w:bodyDiv w:val="1"/>
      <w:marLeft w:val="0"/>
      <w:marRight w:val="0"/>
      <w:marTop w:val="0"/>
      <w:marBottom w:val="0"/>
      <w:divBdr>
        <w:top w:val="none" w:sz="0" w:space="0" w:color="auto"/>
        <w:left w:val="none" w:sz="0" w:space="0" w:color="auto"/>
        <w:bottom w:val="none" w:sz="0" w:space="0" w:color="auto"/>
        <w:right w:val="none" w:sz="0" w:space="0" w:color="auto"/>
      </w:divBdr>
    </w:div>
    <w:div w:id="2108186122">
      <w:bodyDiv w:val="1"/>
      <w:marLeft w:val="0"/>
      <w:marRight w:val="0"/>
      <w:marTop w:val="0"/>
      <w:marBottom w:val="0"/>
      <w:divBdr>
        <w:top w:val="none" w:sz="0" w:space="0" w:color="auto"/>
        <w:left w:val="none" w:sz="0" w:space="0" w:color="auto"/>
        <w:bottom w:val="none" w:sz="0" w:space="0" w:color="auto"/>
        <w:right w:val="none" w:sz="0" w:space="0" w:color="auto"/>
      </w:divBdr>
      <w:divsChild>
        <w:div w:id="1397973419">
          <w:marLeft w:val="0"/>
          <w:marRight w:val="0"/>
          <w:marTop w:val="0"/>
          <w:marBottom w:val="0"/>
          <w:divBdr>
            <w:top w:val="none" w:sz="0" w:space="0" w:color="auto"/>
            <w:left w:val="none" w:sz="0" w:space="0" w:color="auto"/>
            <w:bottom w:val="none" w:sz="0" w:space="0" w:color="auto"/>
            <w:right w:val="none" w:sz="0" w:space="0" w:color="auto"/>
          </w:divBdr>
          <w:divsChild>
            <w:div w:id="1830050611">
              <w:marLeft w:val="-225"/>
              <w:marRight w:val="-225"/>
              <w:marTop w:val="0"/>
              <w:marBottom w:val="300"/>
              <w:divBdr>
                <w:top w:val="none" w:sz="0" w:space="0" w:color="auto"/>
                <w:left w:val="none" w:sz="0" w:space="0" w:color="auto"/>
                <w:bottom w:val="none" w:sz="0" w:space="0" w:color="auto"/>
                <w:right w:val="none" w:sz="0" w:space="0" w:color="auto"/>
              </w:divBdr>
              <w:divsChild>
                <w:div w:id="537203292">
                  <w:marLeft w:val="0"/>
                  <w:marRight w:val="0"/>
                  <w:marTop w:val="0"/>
                  <w:marBottom w:val="0"/>
                  <w:divBdr>
                    <w:top w:val="none" w:sz="0" w:space="0" w:color="auto"/>
                    <w:left w:val="none" w:sz="0" w:space="0" w:color="auto"/>
                    <w:bottom w:val="none" w:sz="0" w:space="0" w:color="auto"/>
                    <w:right w:val="none" w:sz="0" w:space="0" w:color="auto"/>
                  </w:divBdr>
                  <w:divsChild>
                    <w:div w:id="1286040578">
                      <w:marLeft w:val="0"/>
                      <w:marRight w:val="0"/>
                      <w:marTop w:val="0"/>
                      <w:marBottom w:val="300"/>
                      <w:divBdr>
                        <w:top w:val="single" w:sz="6" w:space="0" w:color="DDDDDD"/>
                        <w:left w:val="single" w:sz="6" w:space="0" w:color="DDDDDD"/>
                        <w:bottom w:val="single" w:sz="6" w:space="0" w:color="DDDDDD"/>
                        <w:right w:val="single" w:sz="6" w:space="0" w:color="DDDDDD"/>
                      </w:divBdr>
                      <w:divsChild>
                        <w:div w:id="14536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61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chart" Target="charts/chart4.xml"/><Relationship Id="rId26" Type="http://schemas.openxmlformats.org/officeDocument/2006/relationships/chart" Target="charts/chart11.xml"/><Relationship Id="rId39" Type="http://schemas.openxmlformats.org/officeDocument/2006/relationships/chart" Target="charts/chart24.xml"/><Relationship Id="rId21" Type="http://schemas.openxmlformats.org/officeDocument/2006/relationships/chart" Target="charts/chart7.xml"/><Relationship Id="rId34" Type="http://schemas.openxmlformats.org/officeDocument/2006/relationships/chart" Target="charts/chart19.xml"/><Relationship Id="rId42" Type="http://schemas.openxmlformats.org/officeDocument/2006/relationships/chart" Target="charts/chart27.xml"/><Relationship Id="rId47" Type="http://schemas.openxmlformats.org/officeDocument/2006/relationships/header" Target="header1.xml"/><Relationship Id="rId50" Type="http://schemas.openxmlformats.org/officeDocument/2006/relationships/image" Target="media/image70.emf"/><Relationship Id="rId55"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chart" Target="charts/chart2.xml"/><Relationship Id="rId29" Type="http://schemas.openxmlformats.org/officeDocument/2006/relationships/chart" Target="charts/chart14.xml"/><Relationship Id="rId11" Type="http://schemas.openxmlformats.org/officeDocument/2006/relationships/footnotes" Target="footnotes.xml"/><Relationship Id="rId24" Type="http://schemas.openxmlformats.org/officeDocument/2006/relationships/chart" Target="charts/chart9.xml"/><Relationship Id="rId32" Type="http://schemas.openxmlformats.org/officeDocument/2006/relationships/chart" Target="charts/chart17.xml"/><Relationship Id="rId37" Type="http://schemas.openxmlformats.org/officeDocument/2006/relationships/chart" Target="charts/chart22.xml"/><Relationship Id="rId40" Type="http://schemas.openxmlformats.org/officeDocument/2006/relationships/chart" Target="charts/chart25.xml"/><Relationship Id="rId45" Type="http://schemas.openxmlformats.org/officeDocument/2006/relationships/image" Target="media/image4.jpeg"/><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chart" Target="charts/chart5.xml"/><Relationship Id="rId31" Type="http://schemas.openxmlformats.org/officeDocument/2006/relationships/chart" Target="charts/chart16.xml"/><Relationship Id="rId44" Type="http://schemas.openxmlformats.org/officeDocument/2006/relationships/chart" Target="charts/chart29.xm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3.jpeg"/><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chart" Target="charts/chart20.xml"/><Relationship Id="rId43" Type="http://schemas.openxmlformats.org/officeDocument/2006/relationships/chart" Target="charts/chart28.xml"/><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chart" Target="charts/chart3.xml"/><Relationship Id="rId25" Type="http://schemas.openxmlformats.org/officeDocument/2006/relationships/chart" Target="charts/chart10.xml"/><Relationship Id="rId33" Type="http://schemas.openxmlformats.org/officeDocument/2006/relationships/chart" Target="charts/chart18.xml"/><Relationship Id="rId38" Type="http://schemas.openxmlformats.org/officeDocument/2006/relationships/chart" Target="charts/chart23.xml"/><Relationship Id="rId46" Type="http://schemas.openxmlformats.org/officeDocument/2006/relationships/image" Target="media/image5.jpeg"/><Relationship Id="rId20" Type="http://schemas.openxmlformats.org/officeDocument/2006/relationships/chart" Target="charts/chart6.xml"/><Relationship Id="rId41" Type="http://schemas.openxmlformats.org/officeDocument/2006/relationships/chart" Target="charts/chart26.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hart" Target="charts/chart1.xml"/><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chart" Target="charts/chart21.xml"/><Relationship Id="rId49"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https://cervedgroup.sharepoint.com/sites/CompanyTemplate/Cerved%20Template/CRA/Cerved%20Rating%20Agency%20template_full%20document.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s://cervedgroup-my.sharepoint.com/personal/roberta_ammendolea_cerved_com/Documents/CGR/Default%20Study/2024/202403%20-%20Invio%20CRA/20230322_DS%2003%20-%20DS2022%20-%20Grafici%20rating%20ENG_v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cervedgroup-my.sharepoint.com/personal/roberta_ammendolea_cerved_com/Documents/CGR/Default%20Study/2024/202403%20-%20Invio%20CRA/20230322_DS%2003%20-%20DS2022%20-%20Grafici%20rating%20ENG_v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cervedgroup-my.sharepoint.com/personal/roberta_ammendolea_cerved_com/Documents/CGR/Default%20Study/2024/202403%20-%20Invio%20CRA/20230322_DS%2003%20-%20DS2022%20-%20Grafici%20rating%20ENG_v1.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https://cervedgroup-my.sharepoint.com/personal/roberta_ammendolea_cerved_com/Documents/CGR/Default%20Study/2024/202403%20-%20Invio%20CRA/Excel%20per%20calcolo%20AR.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cervedgroup-my.sharepoint.com/personal/roberta_ammendolea_cerved_com/Documents/CGR/Default%20Study/2024/202403%20-%20Invio%20CRA/20230322_DS%2003%20-%20DS2022%20-%20Grafici%20rating%20ENG_v1.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cervedgroup-my.sharepoint.com/personal/roberta_ammendolea_cerved_com/Documents/CGR/Default%20Study/2024/202403%20-%20Invio%20CRA/20230322_DS%2003%20-%20DS2022%20-%20Grafici%20rating%20ENG_v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cervedgroup-my.sharepoint.com/personal/roberta_ammendolea_cerved_com/Documents/CGR/Default%20Study/2024/202403%20-%20Invio%20CRA/20230322_DS%2003%20-%20DS2022%20-%20Grafici%20rating%20ENG_v1.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cg12272\OneDrive%20-%20Cerved\Documenti\Default%20study\Versione%202023\20230322_DS%2003%20-%20DS2022%20-%20Grafici%20rating%20ENG_v1.xlsx" TargetMode="External"/></Relationships>
</file>

<file path=word/charts/_rels/chart1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https://cervedgroup-my.sharepoint.com/personal/roberta_ammendolea_cerved_com/Documents/CGR/Default%20Study/2024/202403%20-%20Invio%20CRA/Excel%20per%20calcolo%20AR.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cervedgroup-my.sharepoint.com/personal/roberta_ammendolea_cerved_com/Documents/CGR/Default%20Study/2024/202403%20-%20Invio%20CRA/20230322_DS%2003%20-%20DS2022%20-%20Grafici%20rating%20ENG_v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cervedgroup-my.sharepoint.com/personal/roberta_ammendolea_cerved_com/Documents/CGR/Default%20Study/2024/202403%20-%20Invio%20CRA/20230322_DS%2003%20-%20DS2022%20-%20Grafici%20rating%20ENG_v1.xlsx" TargetMode="Externa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0.xml.rels><?xml version="1.0" encoding="UTF-8" standalone="yes"?>
<Relationships xmlns="http://schemas.openxmlformats.org/package/2006/relationships"><Relationship Id="rId3" Type="http://schemas.openxmlformats.org/officeDocument/2006/relationships/oleObject" Target="https://cervedgroup-my.sharepoint.com/personal/roberta_ammendolea_cerved_com/Documents/CGR/Default%20Study/2024/202403%20-%20Invio%20CRA/20230322_DS%2003%20-%20DS2022%20-%20Grafici%20rating%20ENG_v1.xlsx" TargetMode="External"/><Relationship Id="rId2" Type="http://schemas.microsoft.com/office/2011/relationships/chartColorStyle" Target="colors3.xml"/><Relationship Id="rId1" Type="http://schemas.microsoft.com/office/2011/relationships/chartStyle" Target="style3.xml"/></Relationships>
</file>

<file path=word/charts/_rels/chart21.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https://cervedgroup-my.sharepoint.com/personal/roberta_ammendolea_cerved_com/Documents/CGR/Default%20Study/2024/202403%20-%20Invio%20CRA/20230322_DS%2003%20-%20DS2022%20-%20Grafici%20rating%20ENG_v1.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cervedgroup-my.sharepoint.com/personal/roberta_ammendolea_cerved_com/Documents/CGR/Default%20Study/2024/202403%20-%20Invio%20CRA/20230322_DS%2003%20-%20DS2022%20-%20Grafici%20rating%20ENG_v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cervedgroup-my.sharepoint.com/personal/roberta_ammendolea_cerved_com/Documents/CGR/Default%20Study/2024/202403%20-%20Invio%20CRA/20230322_DS%2003%20-%20DS2022%20-%20Grafici%20rating%20ENG_v1.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cervedgroup-my.sharepoint.com/personal/roberta_ammendolea_cerved_com/Documents/CGR/Default%20Study/2024/202403%20-%20Invio%20CRA/20230322_DS%2003%20-%20DS2022%20-%20Grafici%20rating%20ENG_v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cervedgroup-my.sharepoint.com/personal/roberta_ammendolea_cerved_com/Documents/CGR/Default%20Study/2024/202403%20-%20Invio%20CRA/20230322_DS%2003%20-%20DS2022%20-%20Grafici%20rating%20ENG_v1.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cervedgroup-my.sharepoint.com/personal/roberta_ammendolea_cerved_com/Documents/CGR/Default%20Study/2024/202403%20-%20Invio%20CRA/20230322_DS%2003%20-%20DS2022%20-%20Grafici%20rating%20ENG_v1.xlsx" TargetMode="External"/></Relationships>
</file>

<file path=word/charts/_rels/chart27.xml.rels><?xml version="1.0" encoding="UTF-8" standalone="yes"?>
<Relationships xmlns="http://schemas.openxmlformats.org/package/2006/relationships"><Relationship Id="rId3" Type="http://schemas.openxmlformats.org/officeDocument/2006/relationships/oleObject" Target="https://cervedgroup-my.sharepoint.com/personal/roberta_ammendolea_cerved_com/Documents/CGR/Default%20Study/2024/202403%20-%20Invio%20CRA/20230322_DS%2003%20-%20DS2022%20-%20Grafici%20rating%20ENG_v1.xlsx" TargetMode="External"/><Relationship Id="rId2" Type="http://schemas.microsoft.com/office/2011/relationships/chartColorStyle" Target="colors4.xml"/><Relationship Id="rId1" Type="http://schemas.microsoft.com/office/2011/relationships/chartStyle" Target="style4.xml"/></Relationships>
</file>

<file path=word/charts/_rels/chart28.xml.rels><?xml version="1.0" encoding="UTF-8" standalone="yes"?>
<Relationships xmlns="http://schemas.openxmlformats.org/package/2006/relationships"><Relationship Id="rId1" Type="http://schemas.openxmlformats.org/officeDocument/2006/relationships/oleObject" Target="https://cervedgroup-my.sharepoint.com/personal/roberta_ammendolea_cerved_com/Documents/CGR/Default%20Study/2024/202403%20-%20Invio%20CRA/20230322_DS%2003%20-%20DS2022%20-%20Grafici%20rating%20ENG_v1.xlsx" TargetMode="External"/></Relationships>
</file>

<file path=word/charts/_rels/chart29.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5.xml"/><Relationship Id="rId1" Type="http://schemas.microsoft.com/office/2011/relationships/chartStyle" Target="style5.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1" Type="http://schemas.openxmlformats.org/officeDocument/2006/relationships/oleObject" Target="https://cervedgroup-my.sharepoint.com/personal/roberta_ammendolea_cerved_com/Documents/CGR/Default%20Study/2024/202403%20-%20Invio%20CRA/20230322_DS%2003%20-%20DS2022%20-%20Grafici%20rating%20ENG_v1.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https://cervedgroup-my.sharepoint.com/personal/roberta_ammendolea_cerved_com/Documents/CGR/Default%20Study/2024/202403%20-%20Invio%20CRA/20230322_DS%2003%20-%20DS2022%20-%20Grafici%20rating%20ENG_v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cervedgroup-my.sharepoint.com/personal/roberta_ammendolea_cerved_com/Documents/CGR/Default%20Study/2024/202403%20-%20Invio%20CRA/20230322_DS%2003%20-%20DS2022%20-%20Grafici%20rating%20ENG_v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cervedgroup-my.sharepoint.com/personal/roberta_ammendolea_cerved_com/Documents/CGR/Default%20Study/2024/202403%20-%20Invio%20CRA/20230322_DS%2003%20-%20DS2022%20-%20Grafici%20rating%20ENG_v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cervedgroup-my.sharepoint.com/personal/roberta_ammendolea_cerved_com/Documents/CGR/Default%20Study/2024/202403%20-%20Invio%20CRA/20230322_DS%2003%20-%20DS2022%20-%20Grafici%20rating%20ENG_v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cervedgroup-my.sharepoint.com/personal/roberta_ammendolea_cerved_com/Documents/CGR/Default%20Study/2024/202403%20-%20Invio%20CRA/20230322_DS%2003%20-%20DS2022%20-%20Grafici%20rating%20ENG_v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percentStacked"/>
        <c:varyColors val="0"/>
        <c:ser>
          <c:idx val="0"/>
          <c:order val="0"/>
          <c:tx>
            <c:strRef>
              <c:f>'[20230322_DS 03 - DS2022 - Grafici rating ENG_v1.xlsx]data'!$F$17</c:f>
              <c:strCache>
                <c:ptCount val="1"/>
                <c:pt idx="0">
                  <c:v>Micro</c:v>
                </c:pt>
              </c:strCache>
            </c:strRef>
          </c:tx>
          <c:spPr>
            <a:solidFill>
              <a:schemeClr val="accent4"/>
            </a:solidFill>
          </c:spPr>
          <c:invertIfNegative val="0"/>
          <c:dLbls>
            <c:spPr>
              <a:noFill/>
              <a:ln>
                <a:noFill/>
              </a:ln>
              <a:effectLst/>
            </c:spPr>
            <c:txPr>
              <a:bodyPr wrap="square" lIns="38100" tIns="19050" rIns="38100" bIns="19050" anchor="ctr">
                <a:spAutoFit/>
              </a:bodyPr>
              <a:lstStyle/>
              <a:p>
                <a:pPr>
                  <a:defRPr b="1">
                    <a:solidFill>
                      <a:schemeClr val="bg1"/>
                    </a:solidFill>
                  </a:defRPr>
                </a:pPr>
                <a:endParaRPr lang="it-I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'[20230322_DS 03 - DS2022 - Grafici rating ENG_v1.xlsx]data'!$A$18:$A$32</c:f>
              <c:strCache>
                <c:ptCount val="15"/>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strCache>
            </c:strRef>
          </c:cat>
          <c:val>
            <c:numRef>
              <c:f>'[20230322_DS 03 - DS2022 - Grafici rating ENG_v1.xlsx]data'!$F$18:$F$32</c:f>
              <c:numCache>
                <c:formatCode>0.0%</c:formatCode>
                <c:ptCount val="15"/>
                <c:pt idx="0">
                  <c:v>0.40691678246101592</c:v>
                </c:pt>
                <c:pt idx="1">
                  <c:v>0.45506630922160801</c:v>
                </c:pt>
                <c:pt idx="2">
                  <c:v>0.41355655697150423</c:v>
                </c:pt>
                <c:pt idx="3">
                  <c:v>0.1856004794845541</c:v>
                </c:pt>
                <c:pt idx="4">
                  <c:v>0.16148673888681359</c:v>
                </c:pt>
                <c:pt idx="5">
                  <c:v>0.19976084728390844</c:v>
                </c:pt>
                <c:pt idx="6">
                  <c:v>0.22793117519042438</c:v>
                </c:pt>
                <c:pt idx="7">
                  <c:v>0.2351628284467891</c:v>
                </c:pt>
                <c:pt idx="8">
                  <c:v>0.30609823617812226</c:v>
                </c:pt>
                <c:pt idx="9">
                  <c:v>0.29547204994122178</c:v>
                </c:pt>
                <c:pt idx="10">
                  <c:v>0.21857171758041674</c:v>
                </c:pt>
                <c:pt idx="11">
                  <c:v>0.22804178313962042</c:v>
                </c:pt>
                <c:pt idx="12">
                  <c:v>0.223</c:v>
                </c:pt>
                <c:pt idx="13">
                  <c:v>0.17730148007123994</c:v>
                </c:pt>
                <c:pt idx="14">
                  <c:v>0.13418931024186323</c:v>
                </c:pt>
              </c:numCache>
            </c:numRef>
          </c:val>
          <c:extLst>
            <c:ext xmlns:c16="http://schemas.microsoft.com/office/drawing/2014/chart" uri="{C3380CC4-5D6E-409C-BE32-E72D297353CC}">
              <c16:uniqueId val="{00000000-C20E-4238-8FC6-6DA2CAEF7BC5}"/>
            </c:ext>
          </c:extLst>
        </c:ser>
        <c:ser>
          <c:idx val="1"/>
          <c:order val="1"/>
          <c:tx>
            <c:strRef>
              <c:f>'[20230322_DS 03 - DS2022 - Grafici rating ENG_v1.xlsx]data'!$G$17</c:f>
              <c:strCache>
                <c:ptCount val="1"/>
                <c:pt idx="0">
                  <c:v>SME</c:v>
                </c:pt>
              </c:strCache>
            </c:strRef>
          </c:tx>
          <c:invertIfNegative val="0"/>
          <c:dLbls>
            <c:spPr>
              <a:noFill/>
              <a:ln>
                <a:noFill/>
              </a:ln>
              <a:effectLst/>
            </c:spPr>
            <c:txPr>
              <a:bodyPr wrap="square" lIns="38100" tIns="19050" rIns="38100" bIns="19050" anchor="ctr">
                <a:spAutoFit/>
              </a:bodyPr>
              <a:lstStyle/>
              <a:p>
                <a:pPr>
                  <a:defRPr b="1">
                    <a:solidFill>
                      <a:schemeClr val="bg1"/>
                    </a:solidFill>
                  </a:defRPr>
                </a:pPr>
                <a:endParaRPr lang="it-I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'[20230322_DS 03 - DS2022 - Grafici rating ENG_v1.xlsx]data'!$A$18:$A$32</c:f>
              <c:strCache>
                <c:ptCount val="15"/>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strCache>
            </c:strRef>
          </c:cat>
          <c:val>
            <c:numRef>
              <c:f>'[20230322_DS 03 - DS2022 - Grafici rating ENG_v1.xlsx]data'!$G$18:$G$32</c:f>
              <c:numCache>
                <c:formatCode>0.0%</c:formatCode>
                <c:ptCount val="15"/>
                <c:pt idx="0">
                  <c:v>0.5368380423035356</c:v>
                </c:pt>
                <c:pt idx="1">
                  <c:v>0.49804275106165929</c:v>
                </c:pt>
                <c:pt idx="2">
                  <c:v>0.53787625529866412</c:v>
                </c:pt>
                <c:pt idx="3">
                  <c:v>0.72781759608420948</c:v>
                </c:pt>
                <c:pt idx="4">
                  <c:v>0.73799028763541275</c:v>
                </c:pt>
                <c:pt idx="5">
                  <c:v>0.7093952852750256</c:v>
                </c:pt>
                <c:pt idx="6">
                  <c:v>0.6715179542981502</c:v>
                </c:pt>
                <c:pt idx="7">
                  <c:v>0.63878462006695746</c:v>
                </c:pt>
                <c:pt idx="8">
                  <c:v>0.57873922328561256</c:v>
                </c:pt>
                <c:pt idx="9">
                  <c:v>0.58737686975556369</c:v>
                </c:pt>
                <c:pt idx="10">
                  <c:v>0.64916042888933845</c:v>
                </c:pt>
                <c:pt idx="11">
                  <c:v>0.64362954244519643</c:v>
                </c:pt>
                <c:pt idx="12">
                  <c:v>0.63900000000000001</c:v>
                </c:pt>
                <c:pt idx="13">
                  <c:v>0.63200884357919307</c:v>
                </c:pt>
                <c:pt idx="14">
                  <c:v>0.64998507017020002</c:v>
                </c:pt>
              </c:numCache>
            </c:numRef>
          </c:val>
          <c:extLst>
            <c:ext xmlns:c16="http://schemas.microsoft.com/office/drawing/2014/chart" uri="{C3380CC4-5D6E-409C-BE32-E72D297353CC}">
              <c16:uniqueId val="{00000001-C20E-4238-8FC6-6DA2CAEF7BC5}"/>
            </c:ext>
          </c:extLst>
        </c:ser>
        <c:ser>
          <c:idx val="2"/>
          <c:order val="2"/>
          <c:tx>
            <c:strRef>
              <c:f>'[20230322_DS 03 - DS2022 - Grafici rating ENG_v1.xlsx]data'!$H$17</c:f>
              <c:strCache>
                <c:ptCount val="1"/>
                <c:pt idx="0">
                  <c:v>Large</c:v>
                </c:pt>
              </c:strCache>
            </c:strRef>
          </c:tx>
          <c:invertIfNegative val="0"/>
          <c:dLbls>
            <c:spPr>
              <a:noFill/>
              <a:ln>
                <a:noFill/>
              </a:ln>
              <a:effectLst/>
            </c:spPr>
            <c:txPr>
              <a:bodyPr wrap="square" lIns="38100" tIns="19050" rIns="38100" bIns="19050" anchor="ctr">
                <a:spAutoFit/>
              </a:bodyPr>
              <a:lstStyle/>
              <a:p>
                <a:pPr>
                  <a:defRPr b="1">
                    <a:solidFill>
                      <a:schemeClr val="bg1"/>
                    </a:solidFill>
                  </a:defRPr>
                </a:pPr>
                <a:endParaRPr lang="it-I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'[20230322_DS 03 - DS2022 - Grafici rating ENG_v1.xlsx]data'!$A$18:$A$32</c:f>
              <c:strCache>
                <c:ptCount val="15"/>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strCache>
            </c:strRef>
          </c:cat>
          <c:val>
            <c:numRef>
              <c:f>'[20230322_DS 03 - DS2022 - Grafici rating ENG_v1.xlsx]data'!$H$18:$H$32</c:f>
              <c:numCache>
                <c:formatCode>0.0%</c:formatCode>
                <c:ptCount val="15"/>
                <c:pt idx="0">
                  <c:v>5.6245175235448509E-2</c:v>
                </c:pt>
                <c:pt idx="1">
                  <c:v>4.6890939716732701E-2</c:v>
                </c:pt>
                <c:pt idx="2">
                  <c:v>4.8567187729831644E-2</c:v>
                </c:pt>
                <c:pt idx="3">
                  <c:v>8.6581924431236426E-2</c:v>
                </c:pt>
                <c:pt idx="4">
                  <c:v>0.10052297347777363</c:v>
                </c:pt>
                <c:pt idx="5">
                  <c:v>9.0843867441065942E-2</c:v>
                </c:pt>
                <c:pt idx="6">
                  <c:v>0.10055087051142546</c:v>
                </c:pt>
                <c:pt idx="7">
                  <c:v>0.12605255148625341</c:v>
                </c:pt>
                <c:pt idx="8">
                  <c:v>0.11516254053626512</c:v>
                </c:pt>
                <c:pt idx="9">
                  <c:v>0.11715108030321456</c:v>
                </c:pt>
                <c:pt idx="10">
                  <c:v>0.13226785353024478</c:v>
                </c:pt>
                <c:pt idx="11">
                  <c:v>0.12832867441518317</c:v>
                </c:pt>
                <c:pt idx="12">
                  <c:v>0.13800000000000001</c:v>
                </c:pt>
                <c:pt idx="13">
                  <c:v>0.19068967634956704</c:v>
                </c:pt>
                <c:pt idx="14">
                  <c:v>0.2158256195879367</c:v>
                </c:pt>
              </c:numCache>
            </c:numRef>
          </c:val>
          <c:extLst>
            <c:ext xmlns:c16="http://schemas.microsoft.com/office/drawing/2014/chart" uri="{C3380CC4-5D6E-409C-BE32-E72D297353CC}">
              <c16:uniqueId val="{00000002-C20E-4238-8FC6-6DA2CAEF7BC5}"/>
            </c:ext>
          </c:extLst>
        </c:ser>
        <c:dLbls>
          <c:dLblPos val="ctr"/>
          <c:showLegendKey val="0"/>
          <c:showVal val="1"/>
          <c:showCatName val="0"/>
          <c:showSerName val="0"/>
          <c:showPercent val="0"/>
          <c:showBubbleSize val="0"/>
        </c:dLbls>
        <c:gapWidth val="40"/>
        <c:overlap val="100"/>
        <c:axId val="251475272"/>
        <c:axId val="251468608"/>
      </c:barChart>
      <c:catAx>
        <c:axId val="251475272"/>
        <c:scaling>
          <c:orientation val="minMax"/>
        </c:scaling>
        <c:delete val="0"/>
        <c:axPos val="b"/>
        <c:numFmt formatCode="General" sourceLinked="0"/>
        <c:majorTickMark val="out"/>
        <c:minorTickMark val="none"/>
        <c:tickLblPos val="nextTo"/>
        <c:crossAx val="251468608"/>
        <c:crosses val="autoZero"/>
        <c:auto val="1"/>
        <c:lblAlgn val="ctr"/>
        <c:lblOffset val="100"/>
        <c:noMultiLvlLbl val="0"/>
      </c:catAx>
      <c:valAx>
        <c:axId val="251468608"/>
        <c:scaling>
          <c:orientation val="minMax"/>
        </c:scaling>
        <c:delete val="1"/>
        <c:axPos val="l"/>
        <c:numFmt formatCode="0%" sourceLinked="1"/>
        <c:majorTickMark val="out"/>
        <c:minorTickMark val="none"/>
        <c:tickLblPos val="nextTo"/>
        <c:crossAx val="251475272"/>
        <c:crosses val="autoZero"/>
        <c:crossBetween val="between"/>
      </c:valAx>
    </c:plotArea>
    <c:legend>
      <c:legendPos val="b"/>
      <c:overlay val="0"/>
    </c:legend>
    <c:plotVisOnly val="1"/>
    <c:dispBlanksAs val="gap"/>
    <c:showDLblsOverMax val="0"/>
  </c:chart>
  <c:spPr>
    <a:ln>
      <a:noFill/>
    </a:ln>
    <a:effectLst>
      <a:outerShdw blurRad="50800" dist="12700" dir="5400000" sx="2000" sy="2000" algn="ctr" rotWithShape="0">
        <a:srgbClr val="000000">
          <a:alpha val="43137"/>
        </a:srgbClr>
      </a:outerShdw>
    </a:effectLst>
  </c:spPr>
  <c:txPr>
    <a:bodyPr/>
    <a:lstStyle/>
    <a:p>
      <a:pPr>
        <a:defRPr sz="700">
          <a:latin typeface="Source Sans Pro" panose="020B0503030403020204" pitchFamily="34" charset="0"/>
        </a:defRPr>
      </a:pPr>
      <a:endParaRPr lang="it-IT"/>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en-US" sz="700"/>
              <a:t>Breakdown of rated entities by risk clusters</a:t>
            </a:r>
          </a:p>
          <a:p>
            <a:pPr>
              <a:defRPr/>
            </a:pPr>
            <a:r>
              <a:rPr lang="en-US" sz="700" b="0"/>
              <a:t>% of defaulted entities by previous year's area of risk</a:t>
            </a:r>
            <a:endParaRPr lang="it-IT" sz="700" b="0"/>
          </a:p>
        </c:rich>
      </c:tx>
      <c:overlay val="0"/>
    </c:title>
    <c:autoTitleDeleted val="0"/>
    <c:plotArea>
      <c:layout/>
      <c:pieChart>
        <c:varyColors val="1"/>
        <c:ser>
          <c:idx val="0"/>
          <c:order val="0"/>
          <c:dPt>
            <c:idx val="1"/>
            <c:bubble3D val="0"/>
            <c:spPr>
              <a:solidFill>
                <a:schemeClr val="accent3"/>
              </a:solidFill>
            </c:spPr>
            <c:extLst>
              <c:ext xmlns:c16="http://schemas.microsoft.com/office/drawing/2014/chart" uri="{C3380CC4-5D6E-409C-BE32-E72D297353CC}">
                <c16:uniqueId val="{00000001-C5C6-4B03-A77D-687D592C5171}"/>
              </c:ext>
            </c:extLst>
          </c:dPt>
          <c:dLbls>
            <c:spPr>
              <a:noFill/>
              <a:ln>
                <a:noFill/>
              </a:ln>
              <a:effectLst/>
            </c:spPr>
            <c:txPr>
              <a:bodyPr wrap="square" lIns="38100" tIns="19050" rIns="38100" bIns="19050" anchor="ctr">
                <a:spAutoFit/>
              </a:bodyPr>
              <a:lstStyle/>
              <a:p>
                <a:pPr>
                  <a:defRPr b="1"/>
                </a:pPr>
                <a:endParaRPr lang="it-IT"/>
              </a:p>
            </c:txPr>
            <c:dLblPos val="bestFit"/>
            <c:showLegendKey val="0"/>
            <c:showVal val="1"/>
            <c:showCatName val="0"/>
            <c:showSerName val="0"/>
            <c:showPercent val="0"/>
            <c:showBubbleSize val="0"/>
            <c:showLeaderLines val="1"/>
            <c:extLst>
              <c:ext xmlns:c15="http://schemas.microsoft.com/office/drawing/2012/chart" uri="{CE6537A1-D6FC-4f65-9D91-7224C49458BB}"/>
            </c:extLst>
          </c:dLbls>
          <c:cat>
            <c:multiLvlStrRef>
              <c:f>data!$A$246:$D$247</c:f>
              <c:multiLvlStrCache>
                <c:ptCount val="4"/>
                <c:lvl>
                  <c:pt idx="0">
                    <c:v>[Safety]</c:v>
                  </c:pt>
                  <c:pt idx="1">
                    <c:v>[Solvency]</c:v>
                  </c:pt>
                  <c:pt idx="2">
                    <c:v>[Vulnerability]</c:v>
                  </c:pt>
                  <c:pt idx="3">
                    <c:v>[Risk]</c:v>
                  </c:pt>
                </c:lvl>
                <c:lvl>
                  <c:pt idx="0">
                    <c:v>A1.1 - A3.1</c:v>
                  </c:pt>
                  <c:pt idx="1">
                    <c:v>B1.1 - B1.2</c:v>
                  </c:pt>
                  <c:pt idx="2">
                    <c:v>B2.1 - B2.2</c:v>
                  </c:pt>
                  <c:pt idx="3">
                    <c:v>C1.1 - C2.1</c:v>
                  </c:pt>
                </c:lvl>
              </c:multiLvlStrCache>
            </c:multiLvlStrRef>
          </c:cat>
          <c:val>
            <c:numRef>
              <c:f>data!$A$248:$D$248</c:f>
              <c:numCache>
                <c:formatCode>0.00%</c:formatCode>
                <c:ptCount val="4"/>
                <c:pt idx="0">
                  <c:v>2.7670837343599613E-3</c:v>
                </c:pt>
                <c:pt idx="1">
                  <c:v>4.637872954764196E-2</c:v>
                </c:pt>
                <c:pt idx="2">
                  <c:v>0.19868864292589028</c:v>
                </c:pt>
                <c:pt idx="3">
                  <c:v>0.75216554379210776</c:v>
                </c:pt>
              </c:numCache>
            </c:numRef>
          </c:val>
          <c:extLst>
            <c:ext xmlns:c16="http://schemas.microsoft.com/office/drawing/2014/chart" uri="{C3380CC4-5D6E-409C-BE32-E72D297353CC}">
              <c16:uniqueId val="{00000000-C5C6-4B03-A77D-687D592C5171}"/>
            </c:ext>
          </c:extLst>
        </c:ser>
        <c:dLbls>
          <c:showLegendKey val="0"/>
          <c:showVal val="1"/>
          <c:showCatName val="0"/>
          <c:showSerName val="0"/>
          <c:showPercent val="0"/>
          <c:showBubbleSize val="0"/>
          <c:showLeaderLines val="1"/>
        </c:dLbls>
        <c:firstSliceAng val="0"/>
      </c:pieChart>
    </c:plotArea>
    <c:legend>
      <c:legendPos val="b"/>
      <c:overlay val="0"/>
    </c:legend>
    <c:plotVisOnly val="1"/>
    <c:dispBlanksAs val="gap"/>
    <c:showDLblsOverMax val="0"/>
  </c:chart>
  <c:spPr>
    <a:ln>
      <a:noFill/>
    </a:ln>
  </c:spPr>
  <c:txPr>
    <a:bodyPr/>
    <a:lstStyle/>
    <a:p>
      <a:pPr>
        <a:defRPr sz="700">
          <a:latin typeface="Source Sans Pro" panose="020B0503030403020204" pitchFamily="34" charset="0"/>
        </a:defRPr>
      </a:pPr>
      <a:endParaRPr lang="it-IT"/>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en-US" sz="700"/>
              <a:t>Average default rates by risk area</a:t>
            </a:r>
          </a:p>
          <a:p>
            <a:pPr>
              <a:defRPr/>
            </a:pPr>
            <a:r>
              <a:rPr lang="en-US" sz="700" b="0"/>
              <a:t>1-year default rates </a:t>
            </a:r>
          </a:p>
        </c:rich>
      </c:tx>
      <c:overlay val="0"/>
    </c:title>
    <c:autoTitleDeleted val="0"/>
    <c:plotArea>
      <c:layout>
        <c:manualLayout>
          <c:layoutTarget val="inner"/>
          <c:xMode val="edge"/>
          <c:yMode val="edge"/>
          <c:x val="4.0262845932137269E-2"/>
          <c:y val="0.11817685371027967"/>
          <c:w val="0.92971878515185602"/>
          <c:h val="0.59259230668061913"/>
        </c:manualLayout>
      </c:layout>
      <c:lineChart>
        <c:grouping val="standard"/>
        <c:varyColors val="0"/>
        <c:ser>
          <c:idx val="2"/>
          <c:order val="0"/>
          <c:tx>
            <c:strRef>
              <c:f>'[20230322_DS 03 - DS2022 - Grafici rating ENG_v1.xlsx]data'!$C$253:$C$254</c:f>
              <c:strCache>
                <c:ptCount val="2"/>
                <c:pt idx="0">
                  <c:v>A1.1 - A3.1</c:v>
                </c:pt>
                <c:pt idx="1">
                  <c:v>[Safety]</c:v>
                </c:pt>
              </c:strCache>
            </c:strRef>
          </c:tx>
          <c:spPr>
            <a:ln>
              <a:solidFill>
                <a:schemeClr val="accent3"/>
              </a:solidFill>
            </a:ln>
          </c:spPr>
          <c:marker>
            <c:spPr>
              <a:solidFill>
                <a:schemeClr val="accent3"/>
              </a:solidFill>
              <a:ln>
                <a:noFill/>
              </a:ln>
            </c:spPr>
          </c:marker>
          <c:dPt>
            <c:idx val="9"/>
            <c:bubble3D val="0"/>
            <c:extLst>
              <c:ext xmlns:c16="http://schemas.microsoft.com/office/drawing/2014/chart" uri="{C3380CC4-5D6E-409C-BE32-E72D297353CC}">
                <c16:uniqueId val="{00000000-5120-4396-AB81-76F3CD750D91}"/>
              </c:ext>
            </c:extLst>
          </c:dPt>
          <c:dPt>
            <c:idx val="10"/>
            <c:bubble3D val="0"/>
            <c:extLst>
              <c:ext xmlns:c16="http://schemas.microsoft.com/office/drawing/2014/chart" uri="{C3380CC4-5D6E-409C-BE32-E72D297353CC}">
                <c16:uniqueId val="{00000001-5120-4396-AB81-76F3CD750D91}"/>
              </c:ext>
            </c:extLst>
          </c:dPt>
          <c:dPt>
            <c:idx val="11"/>
            <c:bubble3D val="0"/>
            <c:extLst>
              <c:ext xmlns:c16="http://schemas.microsoft.com/office/drawing/2014/chart" uri="{C3380CC4-5D6E-409C-BE32-E72D297353CC}">
                <c16:uniqueId val="{00000002-5120-4396-AB81-76F3CD750D91}"/>
              </c:ext>
            </c:extLst>
          </c:dPt>
          <c:dPt>
            <c:idx val="12"/>
            <c:bubble3D val="0"/>
            <c:extLst>
              <c:ext xmlns:c16="http://schemas.microsoft.com/office/drawing/2014/chart" uri="{C3380CC4-5D6E-409C-BE32-E72D297353CC}">
                <c16:uniqueId val="{00000003-5120-4396-AB81-76F3CD750D91}"/>
              </c:ext>
            </c:extLst>
          </c:dPt>
          <c:dPt>
            <c:idx val="13"/>
            <c:bubble3D val="0"/>
            <c:extLst>
              <c:ext xmlns:c16="http://schemas.microsoft.com/office/drawing/2014/chart" uri="{C3380CC4-5D6E-409C-BE32-E72D297353CC}">
                <c16:uniqueId val="{00000004-5120-4396-AB81-76F3CD750D91}"/>
              </c:ext>
            </c:extLst>
          </c:dPt>
          <c:dPt>
            <c:idx val="14"/>
            <c:bubble3D val="0"/>
            <c:extLst>
              <c:ext xmlns:c16="http://schemas.microsoft.com/office/drawing/2014/chart" uri="{C3380CC4-5D6E-409C-BE32-E72D297353CC}">
                <c16:uniqueId val="{00000006-5120-4396-AB81-76F3CD750D91}"/>
              </c:ext>
            </c:extLst>
          </c:dPt>
          <c:dPt>
            <c:idx val="15"/>
            <c:bubble3D val="0"/>
            <c:spPr>
              <a:ln>
                <a:noFill/>
              </a:ln>
            </c:spPr>
            <c:extLst>
              <c:ext xmlns:c16="http://schemas.microsoft.com/office/drawing/2014/chart" uri="{C3380CC4-5D6E-409C-BE32-E72D297353CC}">
                <c16:uniqueId val="{0000002F-5120-4396-AB81-76F3CD750D91}"/>
              </c:ext>
            </c:extLst>
          </c:dPt>
          <c:dLbls>
            <c:dLbl>
              <c:idx val="15"/>
              <c:layout>
                <c:manualLayout>
                  <c:x val="-4.4120394041654028E-2"/>
                  <c:y val="-1.97702411381583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5120-4396-AB81-76F3CD750D91}"/>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multiLvlStrRef>
              <c:f>'[20230322_DS 03 - DS2022 - Grafici rating ENG_v1.xlsx]data'!$A$205:$B$220</c:f>
              <c:multiLvlStrCache>
                <c:ptCount val="16"/>
                <c:lvl>
                  <c:pt idx="0">
                    <c:v>Defaults 2009</c:v>
                  </c:pt>
                  <c:pt idx="1">
                    <c:v>Defaults 2010</c:v>
                  </c:pt>
                  <c:pt idx="2">
                    <c:v>Defaults 2011</c:v>
                  </c:pt>
                  <c:pt idx="3">
                    <c:v>Defaults 2012</c:v>
                  </c:pt>
                  <c:pt idx="4">
                    <c:v>Defaults 2013</c:v>
                  </c:pt>
                  <c:pt idx="5">
                    <c:v>Defaults 2014</c:v>
                  </c:pt>
                  <c:pt idx="6">
                    <c:v>Defaults 2015</c:v>
                  </c:pt>
                  <c:pt idx="7">
                    <c:v>Defaults 2016</c:v>
                  </c:pt>
                  <c:pt idx="8">
                    <c:v>Defaults 2017</c:v>
                  </c:pt>
                  <c:pt idx="9">
                    <c:v>Defaults 2018</c:v>
                  </c:pt>
                  <c:pt idx="10">
                    <c:v>Defaults 2019</c:v>
                  </c:pt>
                  <c:pt idx="11">
                    <c:v>Defaults 2020</c:v>
                  </c:pt>
                  <c:pt idx="12">
                    <c:v>Defaults 2021</c:v>
                  </c:pt>
                  <c:pt idx="13">
                    <c:v>Defaults 2022</c:v>
                  </c:pt>
                  <c:pt idx="14">
                    <c:v>Defaults 2023</c:v>
                  </c:pt>
                  <c:pt idx="15">
                    <c:v>2009-2023</c:v>
                  </c:pt>
                </c:lvl>
                <c:lvl>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pt idx="15">
                    <c:v>Average</c:v>
                  </c:pt>
                </c:lvl>
              </c:multiLvlStrCache>
            </c:multiLvlStrRef>
          </c:cat>
          <c:val>
            <c:numRef>
              <c:f>'[20230322_DS 03 - DS2022 - Grafici rating ENG_v1.xlsx]data'!$C$255:$C$270</c:f>
              <c:numCache>
                <c:formatCode>0.00%</c:formatCode>
                <c:ptCount val="16"/>
                <c:pt idx="0">
                  <c:v>5.7577153385536615E-4</c:v>
                </c:pt>
                <c:pt idx="1">
                  <c:v>5.3003533568904589E-4</c:v>
                </c:pt>
                <c:pt idx="2">
                  <c:v>8.6494501420981095E-4</c:v>
                </c:pt>
                <c:pt idx="3">
                  <c:v>2.9403116730373417E-4</c:v>
                </c:pt>
                <c:pt idx="4">
                  <c:v>4.6587467971115771E-4</c:v>
                </c:pt>
                <c:pt idx="5">
                  <c:v>1.128668171557562E-3</c:v>
                </c:pt>
                <c:pt idx="6">
                  <c:v>1.7742293191394987E-3</c:v>
                </c:pt>
                <c:pt idx="7">
                  <c:v>6.4246707356247997E-4</c:v>
                </c:pt>
                <c:pt idx="8">
                  <c:v>2.9612081729345571E-4</c:v>
                </c:pt>
                <c:pt idx="9">
                  <c:v>0</c:v>
                </c:pt>
                <c:pt idx="10">
                  <c:v>6.131207847946045E-4</c:v>
                </c:pt>
                <c:pt idx="11">
                  <c:v>6.6607460035523981E-4</c:v>
                </c:pt>
                <c:pt idx="12">
                  <c:v>0</c:v>
                </c:pt>
                <c:pt idx="13">
                  <c:v>4.1963911036508602E-4</c:v>
                </c:pt>
                <c:pt idx="14">
                  <c:v>3.9001560062402497E-4</c:v>
                </c:pt>
                <c:pt idx="15">
                  <c:v>6.1648149885414852E-4</c:v>
                </c:pt>
              </c:numCache>
            </c:numRef>
          </c:val>
          <c:smooth val="0"/>
          <c:extLst>
            <c:ext xmlns:c16="http://schemas.microsoft.com/office/drawing/2014/chart" uri="{C3380CC4-5D6E-409C-BE32-E72D297353CC}">
              <c16:uniqueId val="{00000007-5120-4396-AB81-76F3CD750D91}"/>
            </c:ext>
          </c:extLst>
        </c:ser>
        <c:ser>
          <c:idx val="0"/>
          <c:order val="1"/>
          <c:tx>
            <c:strRef>
              <c:f>'[20230322_DS 03 - DS2022 - Grafici rating ENG_v1.xlsx]data'!$D$253:$D$254</c:f>
              <c:strCache>
                <c:ptCount val="2"/>
                <c:pt idx="0">
                  <c:v>B1.1 - B1.2</c:v>
                </c:pt>
                <c:pt idx="1">
                  <c:v>[Solvency]</c:v>
                </c:pt>
              </c:strCache>
            </c:strRef>
          </c:tx>
          <c:spPr>
            <a:ln>
              <a:solidFill>
                <a:srgbClr val="A5B6D3"/>
              </a:solidFill>
            </a:ln>
          </c:spPr>
          <c:dPt>
            <c:idx val="9"/>
            <c:bubble3D val="0"/>
            <c:extLst>
              <c:ext xmlns:c16="http://schemas.microsoft.com/office/drawing/2014/chart" uri="{C3380CC4-5D6E-409C-BE32-E72D297353CC}">
                <c16:uniqueId val="{00000008-5120-4396-AB81-76F3CD750D91}"/>
              </c:ext>
            </c:extLst>
          </c:dPt>
          <c:dPt>
            <c:idx val="10"/>
            <c:bubble3D val="0"/>
            <c:extLst>
              <c:ext xmlns:c16="http://schemas.microsoft.com/office/drawing/2014/chart" uri="{C3380CC4-5D6E-409C-BE32-E72D297353CC}">
                <c16:uniqueId val="{00000009-5120-4396-AB81-76F3CD750D91}"/>
              </c:ext>
            </c:extLst>
          </c:dPt>
          <c:dPt>
            <c:idx val="11"/>
            <c:bubble3D val="0"/>
            <c:extLst>
              <c:ext xmlns:c16="http://schemas.microsoft.com/office/drawing/2014/chart" uri="{C3380CC4-5D6E-409C-BE32-E72D297353CC}">
                <c16:uniqueId val="{0000000A-5120-4396-AB81-76F3CD750D91}"/>
              </c:ext>
            </c:extLst>
          </c:dPt>
          <c:dPt>
            <c:idx val="12"/>
            <c:bubble3D val="0"/>
            <c:extLst>
              <c:ext xmlns:c16="http://schemas.microsoft.com/office/drawing/2014/chart" uri="{C3380CC4-5D6E-409C-BE32-E72D297353CC}">
                <c16:uniqueId val="{0000000B-5120-4396-AB81-76F3CD750D91}"/>
              </c:ext>
            </c:extLst>
          </c:dPt>
          <c:dPt>
            <c:idx val="13"/>
            <c:bubble3D val="0"/>
            <c:extLst>
              <c:ext xmlns:c16="http://schemas.microsoft.com/office/drawing/2014/chart" uri="{C3380CC4-5D6E-409C-BE32-E72D297353CC}">
                <c16:uniqueId val="{0000000C-5120-4396-AB81-76F3CD750D91}"/>
              </c:ext>
            </c:extLst>
          </c:dPt>
          <c:dPt>
            <c:idx val="14"/>
            <c:bubble3D val="0"/>
            <c:extLst>
              <c:ext xmlns:c16="http://schemas.microsoft.com/office/drawing/2014/chart" uri="{C3380CC4-5D6E-409C-BE32-E72D297353CC}">
                <c16:uniqueId val="{0000000D-5120-4396-AB81-76F3CD750D91}"/>
              </c:ext>
            </c:extLst>
          </c:dPt>
          <c:dPt>
            <c:idx val="15"/>
            <c:bubble3D val="0"/>
            <c:spPr>
              <a:ln>
                <a:noFill/>
              </a:ln>
            </c:spPr>
            <c:extLst>
              <c:ext xmlns:c16="http://schemas.microsoft.com/office/drawing/2014/chart" uri="{C3380CC4-5D6E-409C-BE32-E72D297353CC}">
                <c16:uniqueId val="{0000000F-5120-4396-AB81-76F3CD750D91}"/>
              </c:ext>
            </c:extLst>
          </c:dPt>
          <c:dLbls>
            <c:dLbl>
              <c:idx val="15"/>
              <c:layout>
                <c:manualLayout>
                  <c:x val="-4.3630909772642056E-5"/>
                  <c:y val="-3.85978304999458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120-4396-AB81-76F3CD750D91}"/>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multiLvlStrRef>
              <c:f>'[20230322_DS 03 - DS2022 - Grafici rating ENG_v1.xlsx]data'!$A$205:$B$220</c:f>
              <c:multiLvlStrCache>
                <c:ptCount val="16"/>
                <c:lvl>
                  <c:pt idx="0">
                    <c:v>Defaults 2009</c:v>
                  </c:pt>
                  <c:pt idx="1">
                    <c:v>Defaults 2010</c:v>
                  </c:pt>
                  <c:pt idx="2">
                    <c:v>Defaults 2011</c:v>
                  </c:pt>
                  <c:pt idx="3">
                    <c:v>Defaults 2012</c:v>
                  </c:pt>
                  <c:pt idx="4">
                    <c:v>Defaults 2013</c:v>
                  </c:pt>
                  <c:pt idx="5">
                    <c:v>Defaults 2014</c:v>
                  </c:pt>
                  <c:pt idx="6">
                    <c:v>Defaults 2015</c:v>
                  </c:pt>
                  <c:pt idx="7">
                    <c:v>Defaults 2016</c:v>
                  </c:pt>
                  <c:pt idx="8">
                    <c:v>Defaults 2017</c:v>
                  </c:pt>
                  <c:pt idx="9">
                    <c:v>Defaults 2018</c:v>
                  </c:pt>
                  <c:pt idx="10">
                    <c:v>Defaults 2019</c:v>
                  </c:pt>
                  <c:pt idx="11">
                    <c:v>Defaults 2020</c:v>
                  </c:pt>
                  <c:pt idx="12">
                    <c:v>Defaults 2021</c:v>
                  </c:pt>
                  <c:pt idx="13">
                    <c:v>Defaults 2022</c:v>
                  </c:pt>
                  <c:pt idx="14">
                    <c:v>Defaults 2023</c:v>
                  </c:pt>
                  <c:pt idx="15">
                    <c:v>2009-2023</c:v>
                  </c:pt>
                </c:lvl>
                <c:lvl>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pt idx="15">
                    <c:v>Average</c:v>
                  </c:pt>
                </c:lvl>
              </c:multiLvlStrCache>
            </c:multiLvlStrRef>
          </c:cat>
          <c:val>
            <c:numRef>
              <c:f>'[20230322_DS 03 - DS2022 - Grafici rating ENG_v1.xlsx]data'!$D$255:$D$270</c:f>
              <c:numCache>
                <c:formatCode>0.00%</c:formatCode>
                <c:ptCount val="16"/>
                <c:pt idx="0">
                  <c:v>5.1827313528531741E-3</c:v>
                </c:pt>
                <c:pt idx="1">
                  <c:v>3.5540248415344596E-3</c:v>
                </c:pt>
                <c:pt idx="2">
                  <c:v>4.7539362592226367E-3</c:v>
                </c:pt>
                <c:pt idx="3">
                  <c:v>6.6569032086273468E-3</c:v>
                </c:pt>
                <c:pt idx="4">
                  <c:v>5.0635330085029139E-3</c:v>
                </c:pt>
                <c:pt idx="5">
                  <c:v>7.0767080202690895E-3</c:v>
                </c:pt>
                <c:pt idx="6">
                  <c:v>6.5789473684210523E-3</c:v>
                </c:pt>
                <c:pt idx="7">
                  <c:v>4.6354297168629413E-3</c:v>
                </c:pt>
                <c:pt idx="8">
                  <c:v>2.8803072327714956E-3</c:v>
                </c:pt>
                <c:pt idx="9">
                  <c:v>2.0844761382336806E-3</c:v>
                </c:pt>
                <c:pt idx="10">
                  <c:v>2.5171846258108237E-3</c:v>
                </c:pt>
                <c:pt idx="11">
                  <c:v>1.7962996227770792E-3</c:v>
                </c:pt>
                <c:pt idx="12">
                  <c:v>7.6897726024387561E-4</c:v>
                </c:pt>
                <c:pt idx="13">
                  <c:v>5.6850483229107444E-4</c:v>
                </c:pt>
                <c:pt idx="14">
                  <c:v>1.0739216037229282E-3</c:v>
                </c:pt>
                <c:pt idx="15">
                  <c:v>4.0959438999123438E-3</c:v>
                </c:pt>
              </c:numCache>
            </c:numRef>
          </c:val>
          <c:smooth val="0"/>
          <c:extLst>
            <c:ext xmlns:c16="http://schemas.microsoft.com/office/drawing/2014/chart" uri="{C3380CC4-5D6E-409C-BE32-E72D297353CC}">
              <c16:uniqueId val="{00000010-5120-4396-AB81-76F3CD750D91}"/>
            </c:ext>
          </c:extLst>
        </c:ser>
        <c:ser>
          <c:idx val="3"/>
          <c:order val="2"/>
          <c:tx>
            <c:strRef>
              <c:f>'[20230322_DS 03 - DS2022 - Grafici rating ENG_v1.xlsx]data'!$E$252:$E$253</c:f>
              <c:strCache>
                <c:ptCount val="2"/>
                <c:pt idx="0">
                  <c:v>B2.1 - B2.2</c:v>
                </c:pt>
                <c:pt idx="1">
                  <c:v>[Vulnerability]</c:v>
                </c:pt>
              </c:strCache>
            </c:strRef>
          </c:tx>
          <c:dPt>
            <c:idx val="9"/>
            <c:bubble3D val="0"/>
            <c:extLst>
              <c:ext xmlns:c16="http://schemas.microsoft.com/office/drawing/2014/chart" uri="{C3380CC4-5D6E-409C-BE32-E72D297353CC}">
                <c16:uniqueId val="{00000011-5120-4396-AB81-76F3CD750D91}"/>
              </c:ext>
            </c:extLst>
          </c:dPt>
          <c:dPt>
            <c:idx val="10"/>
            <c:bubble3D val="0"/>
            <c:extLst>
              <c:ext xmlns:c16="http://schemas.microsoft.com/office/drawing/2014/chart" uri="{C3380CC4-5D6E-409C-BE32-E72D297353CC}">
                <c16:uniqueId val="{00000012-5120-4396-AB81-76F3CD750D91}"/>
              </c:ext>
            </c:extLst>
          </c:dPt>
          <c:dPt>
            <c:idx val="11"/>
            <c:bubble3D val="0"/>
            <c:extLst>
              <c:ext xmlns:c16="http://schemas.microsoft.com/office/drawing/2014/chart" uri="{C3380CC4-5D6E-409C-BE32-E72D297353CC}">
                <c16:uniqueId val="{00000013-5120-4396-AB81-76F3CD750D91}"/>
              </c:ext>
            </c:extLst>
          </c:dPt>
          <c:dPt>
            <c:idx val="12"/>
            <c:bubble3D val="0"/>
            <c:extLst>
              <c:ext xmlns:c16="http://schemas.microsoft.com/office/drawing/2014/chart" uri="{C3380CC4-5D6E-409C-BE32-E72D297353CC}">
                <c16:uniqueId val="{00000014-5120-4396-AB81-76F3CD750D91}"/>
              </c:ext>
            </c:extLst>
          </c:dPt>
          <c:dPt>
            <c:idx val="13"/>
            <c:bubble3D val="0"/>
            <c:extLst>
              <c:ext xmlns:c16="http://schemas.microsoft.com/office/drawing/2014/chart" uri="{C3380CC4-5D6E-409C-BE32-E72D297353CC}">
                <c16:uniqueId val="{00000015-5120-4396-AB81-76F3CD750D91}"/>
              </c:ext>
            </c:extLst>
          </c:dPt>
          <c:dPt>
            <c:idx val="14"/>
            <c:bubble3D val="0"/>
            <c:spPr>
              <a:ln>
                <a:noFill/>
              </a:ln>
            </c:spPr>
            <c:extLst>
              <c:ext xmlns:c16="http://schemas.microsoft.com/office/drawing/2014/chart" uri="{C3380CC4-5D6E-409C-BE32-E72D297353CC}">
                <c16:uniqueId val="{00000017-5120-4396-AB81-76F3CD750D91}"/>
              </c:ext>
            </c:extLst>
          </c:dPt>
          <c:dPt>
            <c:idx val="15"/>
            <c:bubble3D val="0"/>
            <c:spPr>
              <a:ln>
                <a:noFill/>
              </a:ln>
            </c:spPr>
            <c:extLst>
              <c:ext xmlns:c16="http://schemas.microsoft.com/office/drawing/2014/chart" uri="{C3380CC4-5D6E-409C-BE32-E72D297353CC}">
                <c16:uniqueId val="{00000019-5120-4396-AB81-76F3CD750D91}"/>
              </c:ext>
            </c:extLst>
          </c:dPt>
          <c:dLbls>
            <c:dLbl>
              <c:idx val="15"/>
              <c:layout>
                <c:manualLayout>
                  <c:x val="-4.6228463866259145E-2"/>
                  <c:y val="-2.0442420187672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5120-4396-AB81-76F3CD750D91}"/>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'[20230322_DS 03 - DS2022 - Grafici rating ENG_v1.xlsx]data'!$A$205:$B$220</c:f>
              <c:multiLvlStrCache>
                <c:ptCount val="16"/>
                <c:lvl>
                  <c:pt idx="0">
                    <c:v>Defaults 2009</c:v>
                  </c:pt>
                  <c:pt idx="1">
                    <c:v>Defaults 2010</c:v>
                  </c:pt>
                  <c:pt idx="2">
                    <c:v>Defaults 2011</c:v>
                  </c:pt>
                  <c:pt idx="3">
                    <c:v>Defaults 2012</c:v>
                  </c:pt>
                  <c:pt idx="4">
                    <c:v>Defaults 2013</c:v>
                  </c:pt>
                  <c:pt idx="5">
                    <c:v>Defaults 2014</c:v>
                  </c:pt>
                  <c:pt idx="6">
                    <c:v>Defaults 2015</c:v>
                  </c:pt>
                  <c:pt idx="7">
                    <c:v>Defaults 2016</c:v>
                  </c:pt>
                  <c:pt idx="8">
                    <c:v>Defaults 2017</c:v>
                  </c:pt>
                  <c:pt idx="9">
                    <c:v>Defaults 2018</c:v>
                  </c:pt>
                  <c:pt idx="10">
                    <c:v>Defaults 2019</c:v>
                  </c:pt>
                  <c:pt idx="11">
                    <c:v>Defaults 2020</c:v>
                  </c:pt>
                  <c:pt idx="12">
                    <c:v>Defaults 2021</c:v>
                  </c:pt>
                  <c:pt idx="13">
                    <c:v>Defaults 2022</c:v>
                  </c:pt>
                  <c:pt idx="14">
                    <c:v>Defaults 2023</c:v>
                  </c:pt>
                  <c:pt idx="15">
                    <c:v>2009-2023</c:v>
                  </c:pt>
                </c:lvl>
                <c:lvl>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pt idx="15">
                    <c:v>Average</c:v>
                  </c:pt>
                </c:lvl>
              </c:multiLvlStrCache>
            </c:multiLvlStrRef>
          </c:cat>
          <c:val>
            <c:numRef>
              <c:f>'[20230322_DS 03 - DS2022 - Grafici rating ENG_v1.xlsx]data'!$E$254:$E$269</c:f>
              <c:numCache>
                <c:formatCode>0.00%</c:formatCode>
                <c:ptCount val="16"/>
                <c:pt idx="0">
                  <c:v>2.3434688736955738E-2</c:v>
                </c:pt>
                <c:pt idx="1">
                  <c:v>1.8839139998580855E-2</c:v>
                </c:pt>
                <c:pt idx="2">
                  <c:v>1.8847703167153257E-2</c:v>
                </c:pt>
                <c:pt idx="3">
                  <c:v>3.7097431716265797E-2</c:v>
                </c:pt>
                <c:pt idx="4">
                  <c:v>2.7138858464159667E-2</c:v>
                </c:pt>
                <c:pt idx="5">
                  <c:v>2.5228634500157679E-2</c:v>
                </c:pt>
                <c:pt idx="6">
                  <c:v>2.0164895202145625E-2</c:v>
                </c:pt>
                <c:pt idx="7">
                  <c:v>1.8209876543209876E-2</c:v>
                </c:pt>
                <c:pt idx="8">
                  <c:v>1.1908428292783081E-2</c:v>
                </c:pt>
                <c:pt idx="9">
                  <c:v>9.7614974338331491E-3</c:v>
                </c:pt>
                <c:pt idx="10">
                  <c:v>1.3217314682233727E-2</c:v>
                </c:pt>
                <c:pt idx="11">
                  <c:v>8.7755954868366064E-3</c:v>
                </c:pt>
                <c:pt idx="12">
                  <c:v>1.7548720790616053E-3</c:v>
                </c:pt>
                <c:pt idx="13">
                  <c:v>3.3404190707561495E-3</c:v>
                </c:pt>
                <c:pt idx="14">
                  <c:v>6.2500000000000003E-3</c:v>
                </c:pt>
                <c:pt idx="15">
                  <c:v>1.7681918191016107E-2</c:v>
                </c:pt>
              </c:numCache>
            </c:numRef>
          </c:val>
          <c:smooth val="0"/>
          <c:extLst>
            <c:ext xmlns:c16="http://schemas.microsoft.com/office/drawing/2014/chart" uri="{C3380CC4-5D6E-409C-BE32-E72D297353CC}">
              <c16:uniqueId val="{0000001A-5120-4396-AB81-76F3CD750D91}"/>
            </c:ext>
          </c:extLst>
        </c:ser>
        <c:ser>
          <c:idx val="4"/>
          <c:order val="3"/>
          <c:tx>
            <c:strRef>
              <c:f>'[20230322_DS 03 - DS2022 - Grafici rating ENG_v1.xlsx]data'!$F$251:$F$252</c:f>
              <c:strCache>
                <c:ptCount val="2"/>
                <c:pt idx="0">
                  <c:v>C1.1 - C2.1</c:v>
                </c:pt>
                <c:pt idx="1">
                  <c:v>[Risk]</c:v>
                </c:pt>
              </c:strCache>
            </c:strRef>
          </c:tx>
          <c:dPt>
            <c:idx val="9"/>
            <c:bubble3D val="0"/>
            <c:extLst>
              <c:ext xmlns:c16="http://schemas.microsoft.com/office/drawing/2014/chart" uri="{C3380CC4-5D6E-409C-BE32-E72D297353CC}">
                <c16:uniqueId val="{0000001B-5120-4396-AB81-76F3CD750D91}"/>
              </c:ext>
            </c:extLst>
          </c:dPt>
          <c:dPt>
            <c:idx val="10"/>
            <c:bubble3D val="0"/>
            <c:extLst>
              <c:ext xmlns:c16="http://schemas.microsoft.com/office/drawing/2014/chart" uri="{C3380CC4-5D6E-409C-BE32-E72D297353CC}">
                <c16:uniqueId val="{0000001C-5120-4396-AB81-76F3CD750D91}"/>
              </c:ext>
            </c:extLst>
          </c:dPt>
          <c:dPt>
            <c:idx val="11"/>
            <c:bubble3D val="0"/>
            <c:extLst>
              <c:ext xmlns:c16="http://schemas.microsoft.com/office/drawing/2014/chart" uri="{C3380CC4-5D6E-409C-BE32-E72D297353CC}">
                <c16:uniqueId val="{0000001D-5120-4396-AB81-76F3CD750D91}"/>
              </c:ext>
            </c:extLst>
          </c:dPt>
          <c:dPt>
            <c:idx val="12"/>
            <c:bubble3D val="0"/>
            <c:extLst>
              <c:ext xmlns:c16="http://schemas.microsoft.com/office/drawing/2014/chart" uri="{C3380CC4-5D6E-409C-BE32-E72D297353CC}">
                <c16:uniqueId val="{0000001E-5120-4396-AB81-76F3CD750D91}"/>
              </c:ext>
            </c:extLst>
          </c:dPt>
          <c:dPt>
            <c:idx val="13"/>
            <c:bubble3D val="0"/>
            <c:extLst>
              <c:ext xmlns:c16="http://schemas.microsoft.com/office/drawing/2014/chart" uri="{C3380CC4-5D6E-409C-BE32-E72D297353CC}">
                <c16:uniqueId val="{0000001F-5120-4396-AB81-76F3CD750D91}"/>
              </c:ext>
            </c:extLst>
          </c:dPt>
          <c:dPt>
            <c:idx val="14"/>
            <c:bubble3D val="0"/>
            <c:spPr>
              <a:ln>
                <a:solidFill>
                  <a:srgbClr val="A5B6D3"/>
                </a:solidFill>
              </a:ln>
            </c:spPr>
            <c:extLst>
              <c:ext xmlns:c16="http://schemas.microsoft.com/office/drawing/2014/chart" uri="{C3380CC4-5D6E-409C-BE32-E72D297353CC}">
                <c16:uniqueId val="{00000021-5120-4396-AB81-76F3CD750D91}"/>
              </c:ext>
            </c:extLst>
          </c:dPt>
          <c:dPt>
            <c:idx val="15"/>
            <c:bubble3D val="0"/>
            <c:spPr>
              <a:ln>
                <a:noFill/>
              </a:ln>
            </c:spPr>
            <c:extLst>
              <c:ext xmlns:c16="http://schemas.microsoft.com/office/drawing/2014/chart" uri="{C3380CC4-5D6E-409C-BE32-E72D297353CC}">
                <c16:uniqueId val="{00000023-5120-4396-AB81-76F3CD750D91}"/>
              </c:ext>
            </c:extLst>
          </c:dPt>
          <c:dLbls>
            <c:dLbl>
              <c:idx val="15"/>
              <c:layout>
                <c:manualLayout>
                  <c:x val="-6.349206349206362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5120-4396-AB81-76F3CD750D91}"/>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multiLvlStrRef>
              <c:f>'[20230322_DS 03 - DS2022 - Grafici rating ENG_v1.xlsx]data'!$A$205:$B$220</c:f>
              <c:multiLvlStrCache>
                <c:ptCount val="16"/>
                <c:lvl>
                  <c:pt idx="0">
                    <c:v>Defaults 2009</c:v>
                  </c:pt>
                  <c:pt idx="1">
                    <c:v>Defaults 2010</c:v>
                  </c:pt>
                  <c:pt idx="2">
                    <c:v>Defaults 2011</c:v>
                  </c:pt>
                  <c:pt idx="3">
                    <c:v>Defaults 2012</c:v>
                  </c:pt>
                  <c:pt idx="4">
                    <c:v>Defaults 2013</c:v>
                  </c:pt>
                  <c:pt idx="5">
                    <c:v>Defaults 2014</c:v>
                  </c:pt>
                  <c:pt idx="6">
                    <c:v>Defaults 2015</c:v>
                  </c:pt>
                  <c:pt idx="7">
                    <c:v>Defaults 2016</c:v>
                  </c:pt>
                  <c:pt idx="8">
                    <c:v>Defaults 2017</c:v>
                  </c:pt>
                  <c:pt idx="9">
                    <c:v>Defaults 2018</c:v>
                  </c:pt>
                  <c:pt idx="10">
                    <c:v>Defaults 2019</c:v>
                  </c:pt>
                  <c:pt idx="11">
                    <c:v>Defaults 2020</c:v>
                  </c:pt>
                  <c:pt idx="12">
                    <c:v>Defaults 2021</c:v>
                  </c:pt>
                  <c:pt idx="13">
                    <c:v>Defaults 2022</c:v>
                  </c:pt>
                  <c:pt idx="14">
                    <c:v>Defaults 2023</c:v>
                  </c:pt>
                  <c:pt idx="15">
                    <c:v>2009-2023</c:v>
                  </c:pt>
                </c:lvl>
                <c:lvl>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pt idx="15">
                    <c:v>Average</c:v>
                  </c:pt>
                </c:lvl>
              </c:multiLvlStrCache>
            </c:multiLvlStrRef>
          </c:cat>
          <c:val>
            <c:numRef>
              <c:f>'[20230322_DS 03 - DS2022 - Grafici rating ENG_v1.xlsx]data'!$F$253:$F$268</c:f>
              <c:numCache>
                <c:formatCode>0.00%</c:formatCode>
                <c:ptCount val="16"/>
                <c:pt idx="0">
                  <c:v>0.18972123133835381</c:v>
                </c:pt>
                <c:pt idx="1">
                  <c:v>0.17671256356053247</c:v>
                </c:pt>
                <c:pt idx="2">
                  <c:v>0.15940616330509111</c:v>
                </c:pt>
                <c:pt idx="3">
                  <c:v>0.19281155525697011</c:v>
                </c:pt>
                <c:pt idx="4">
                  <c:v>0.18850514104930136</c:v>
                </c:pt>
                <c:pt idx="5">
                  <c:v>0.20667779632721203</c:v>
                </c:pt>
                <c:pt idx="6">
                  <c:v>0.16381156316916487</c:v>
                </c:pt>
                <c:pt idx="7">
                  <c:v>0.14539504441327722</c:v>
                </c:pt>
                <c:pt idx="8">
                  <c:v>9.1267000715819613E-2</c:v>
                </c:pt>
                <c:pt idx="9">
                  <c:v>9.1240875912408759E-2</c:v>
                </c:pt>
                <c:pt idx="10">
                  <c:v>9.1442542787286057E-2</c:v>
                </c:pt>
                <c:pt idx="11">
                  <c:v>6.6228513650151671E-2</c:v>
                </c:pt>
                <c:pt idx="12">
                  <c:v>3.9748953974895397E-2</c:v>
                </c:pt>
                <c:pt idx="13">
                  <c:v>2.1109474717722142E-2</c:v>
                </c:pt>
                <c:pt idx="14">
                  <c:v>3.4105534105534102E-2</c:v>
                </c:pt>
                <c:pt idx="15">
                  <c:v>0.15564434818327794</c:v>
                </c:pt>
              </c:numCache>
            </c:numRef>
          </c:val>
          <c:smooth val="0"/>
          <c:extLst>
            <c:ext xmlns:c16="http://schemas.microsoft.com/office/drawing/2014/chart" uri="{C3380CC4-5D6E-409C-BE32-E72D297353CC}">
              <c16:uniqueId val="{00000024-5120-4396-AB81-76F3CD750D91}"/>
            </c:ext>
          </c:extLst>
        </c:ser>
        <c:ser>
          <c:idx val="5"/>
          <c:order val="4"/>
          <c:tx>
            <c:strRef>
              <c:f>'[20230322_DS 03 - DS2022 - Grafici rating ENG_v1.xlsx]data'!$G$251</c:f>
              <c:strCache>
                <c:ptCount val="1"/>
                <c:pt idx="0">
                  <c:v>Average</c:v>
                </c:pt>
              </c:strCache>
            </c:strRef>
          </c:tx>
          <c:spPr>
            <a:ln>
              <a:solidFill>
                <a:srgbClr val="A5B6D3"/>
              </a:solidFill>
            </a:ln>
          </c:spPr>
          <c:dPt>
            <c:idx val="9"/>
            <c:bubble3D val="0"/>
            <c:extLst>
              <c:ext xmlns:c16="http://schemas.microsoft.com/office/drawing/2014/chart" uri="{C3380CC4-5D6E-409C-BE32-E72D297353CC}">
                <c16:uniqueId val="{00000025-5120-4396-AB81-76F3CD750D91}"/>
              </c:ext>
            </c:extLst>
          </c:dPt>
          <c:dPt>
            <c:idx val="10"/>
            <c:bubble3D val="0"/>
            <c:extLst>
              <c:ext xmlns:c16="http://schemas.microsoft.com/office/drawing/2014/chart" uri="{C3380CC4-5D6E-409C-BE32-E72D297353CC}">
                <c16:uniqueId val="{00000026-5120-4396-AB81-76F3CD750D91}"/>
              </c:ext>
            </c:extLst>
          </c:dPt>
          <c:dPt>
            <c:idx val="11"/>
            <c:bubble3D val="0"/>
            <c:extLst>
              <c:ext xmlns:c16="http://schemas.microsoft.com/office/drawing/2014/chart" uri="{C3380CC4-5D6E-409C-BE32-E72D297353CC}">
                <c16:uniqueId val="{00000027-5120-4396-AB81-76F3CD750D91}"/>
              </c:ext>
            </c:extLst>
          </c:dPt>
          <c:dPt>
            <c:idx val="12"/>
            <c:bubble3D val="0"/>
            <c:extLst>
              <c:ext xmlns:c16="http://schemas.microsoft.com/office/drawing/2014/chart" uri="{C3380CC4-5D6E-409C-BE32-E72D297353CC}">
                <c16:uniqueId val="{00000028-5120-4396-AB81-76F3CD750D91}"/>
              </c:ext>
            </c:extLst>
          </c:dPt>
          <c:dPt>
            <c:idx val="13"/>
            <c:bubble3D val="0"/>
            <c:extLst>
              <c:ext xmlns:c16="http://schemas.microsoft.com/office/drawing/2014/chart" uri="{C3380CC4-5D6E-409C-BE32-E72D297353CC}">
                <c16:uniqueId val="{00000029-5120-4396-AB81-76F3CD750D91}"/>
              </c:ext>
            </c:extLst>
          </c:dPt>
          <c:dPt>
            <c:idx val="14"/>
            <c:bubble3D val="0"/>
            <c:extLst>
              <c:ext xmlns:c16="http://schemas.microsoft.com/office/drawing/2014/chart" uri="{C3380CC4-5D6E-409C-BE32-E72D297353CC}">
                <c16:uniqueId val="{0000002A-5120-4396-AB81-76F3CD750D91}"/>
              </c:ext>
            </c:extLst>
          </c:dPt>
          <c:dPt>
            <c:idx val="15"/>
            <c:bubble3D val="0"/>
            <c:spPr>
              <a:ln>
                <a:noFill/>
              </a:ln>
            </c:spPr>
            <c:extLst>
              <c:ext xmlns:c16="http://schemas.microsoft.com/office/drawing/2014/chart" uri="{C3380CC4-5D6E-409C-BE32-E72D297353CC}">
                <c16:uniqueId val="{0000002C-5120-4396-AB81-76F3CD750D91}"/>
              </c:ext>
            </c:extLst>
          </c:dPt>
          <c:dLbls>
            <c:dLbl>
              <c:idx val="15"/>
              <c:layout>
                <c:manualLayout>
                  <c:x val="-5.0059045649596831E-2"/>
                  <c:y val="-3.65815792633763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5120-4396-AB81-76F3CD750D91}"/>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multiLvlStrRef>
              <c:f>'[20230322_DS 03 - DS2022 - Grafici rating ENG_v1.xlsx]data'!$A$205:$B$220</c:f>
              <c:multiLvlStrCache>
                <c:ptCount val="16"/>
                <c:lvl>
                  <c:pt idx="0">
                    <c:v>Defaults 2009</c:v>
                  </c:pt>
                  <c:pt idx="1">
                    <c:v>Defaults 2010</c:v>
                  </c:pt>
                  <c:pt idx="2">
                    <c:v>Defaults 2011</c:v>
                  </c:pt>
                  <c:pt idx="3">
                    <c:v>Defaults 2012</c:v>
                  </c:pt>
                  <c:pt idx="4">
                    <c:v>Defaults 2013</c:v>
                  </c:pt>
                  <c:pt idx="5">
                    <c:v>Defaults 2014</c:v>
                  </c:pt>
                  <c:pt idx="6">
                    <c:v>Defaults 2015</c:v>
                  </c:pt>
                  <c:pt idx="7">
                    <c:v>Defaults 2016</c:v>
                  </c:pt>
                  <c:pt idx="8">
                    <c:v>Defaults 2017</c:v>
                  </c:pt>
                  <c:pt idx="9">
                    <c:v>Defaults 2018</c:v>
                  </c:pt>
                  <c:pt idx="10">
                    <c:v>Defaults 2019</c:v>
                  </c:pt>
                  <c:pt idx="11">
                    <c:v>Defaults 2020</c:v>
                  </c:pt>
                  <c:pt idx="12">
                    <c:v>Defaults 2021</c:v>
                  </c:pt>
                  <c:pt idx="13">
                    <c:v>Defaults 2022</c:v>
                  </c:pt>
                  <c:pt idx="14">
                    <c:v>Defaults 2023</c:v>
                  </c:pt>
                  <c:pt idx="15">
                    <c:v>2009-2023</c:v>
                  </c:pt>
                </c:lvl>
                <c:lvl>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pt idx="15">
                    <c:v>Average</c:v>
                  </c:pt>
                </c:lvl>
              </c:multiLvlStrCache>
            </c:multiLvlStrRef>
          </c:cat>
          <c:val>
            <c:numRef>
              <c:f>'[20230322_DS 03 - DS2022 - Grafici rating ENG_v1.xlsx]data'!$G$253:$G$268</c:f>
              <c:numCache>
                <c:formatCode>0.00%</c:formatCode>
                <c:ptCount val="16"/>
                <c:pt idx="0">
                  <c:v>5.3960166743862899E-2</c:v>
                </c:pt>
                <c:pt idx="1">
                  <c:v>4.4210101776944795E-2</c:v>
                </c:pt>
                <c:pt idx="2">
                  <c:v>3.7013759811721912E-2</c:v>
                </c:pt>
                <c:pt idx="3">
                  <c:v>4.2579227330619585E-2</c:v>
                </c:pt>
                <c:pt idx="4">
                  <c:v>3.7093761673515128E-2</c:v>
                </c:pt>
                <c:pt idx="5">
                  <c:v>3.2319781346088143E-2</c:v>
                </c:pt>
                <c:pt idx="6">
                  <c:v>3.0467899891186073E-2</c:v>
                </c:pt>
                <c:pt idx="7">
                  <c:v>2.3739474485137465E-2</c:v>
                </c:pt>
                <c:pt idx="8">
                  <c:v>1.5779482717709403E-2</c:v>
                </c:pt>
                <c:pt idx="9">
                  <c:v>1.3823016741659573E-2</c:v>
                </c:pt>
                <c:pt idx="10">
                  <c:v>1.3554521545620068E-2</c:v>
                </c:pt>
                <c:pt idx="11">
                  <c:v>8.7538619979402685E-3</c:v>
                </c:pt>
                <c:pt idx="12">
                  <c:v>5.3755183535555218E-3</c:v>
                </c:pt>
                <c:pt idx="13">
                  <c:v>4.2375483633237121E-3</c:v>
                </c:pt>
                <c:pt idx="14">
                  <c:v>6.2108091967751564E-3</c:v>
                </c:pt>
                <c:pt idx="15">
                  <c:v>3.1366629559048287E-2</c:v>
                </c:pt>
              </c:numCache>
            </c:numRef>
          </c:val>
          <c:smooth val="0"/>
          <c:extLst>
            <c:ext xmlns:c16="http://schemas.microsoft.com/office/drawing/2014/chart" uri="{C3380CC4-5D6E-409C-BE32-E72D297353CC}">
              <c16:uniqueId val="{0000002D-5120-4396-AB81-76F3CD750D91}"/>
            </c:ext>
          </c:extLst>
        </c:ser>
        <c:dLbls>
          <c:showLegendKey val="0"/>
          <c:showVal val="0"/>
          <c:showCatName val="0"/>
          <c:showSerName val="0"/>
          <c:showPercent val="0"/>
          <c:showBubbleSize val="0"/>
        </c:dLbls>
        <c:marker val="1"/>
        <c:smooth val="0"/>
        <c:axId val="255168048"/>
        <c:axId val="255166480"/>
      </c:lineChart>
      <c:catAx>
        <c:axId val="255168048"/>
        <c:scaling>
          <c:orientation val="minMax"/>
        </c:scaling>
        <c:delete val="0"/>
        <c:axPos val="b"/>
        <c:numFmt formatCode="General" sourceLinked="1"/>
        <c:majorTickMark val="out"/>
        <c:minorTickMark val="none"/>
        <c:tickLblPos val="nextTo"/>
        <c:crossAx val="255166480"/>
        <c:crosses val="autoZero"/>
        <c:auto val="1"/>
        <c:lblAlgn val="ctr"/>
        <c:lblOffset val="100"/>
        <c:noMultiLvlLbl val="0"/>
      </c:catAx>
      <c:valAx>
        <c:axId val="255166480"/>
        <c:scaling>
          <c:orientation val="minMax"/>
        </c:scaling>
        <c:delete val="0"/>
        <c:axPos val="l"/>
        <c:numFmt formatCode="0%" sourceLinked="0"/>
        <c:majorTickMark val="out"/>
        <c:minorTickMark val="none"/>
        <c:tickLblPos val="nextTo"/>
        <c:crossAx val="255168048"/>
        <c:crosses val="autoZero"/>
        <c:crossBetween val="between"/>
      </c:valAx>
    </c:plotArea>
    <c:legend>
      <c:legendPos val="b"/>
      <c:overlay val="0"/>
    </c:legend>
    <c:plotVisOnly val="1"/>
    <c:dispBlanksAs val="gap"/>
    <c:showDLblsOverMax val="0"/>
  </c:chart>
  <c:spPr>
    <a:ln>
      <a:noFill/>
    </a:ln>
  </c:spPr>
  <c:txPr>
    <a:bodyPr/>
    <a:lstStyle/>
    <a:p>
      <a:pPr>
        <a:defRPr sz="700">
          <a:latin typeface="Source Sans Pro" panose="020B0503030403020204" pitchFamily="34" charset="0"/>
          <a:ea typeface="Source Sans Pro" panose="020B0503030403020204" pitchFamily="34" charset="0"/>
        </a:defRPr>
      </a:pPr>
      <a:endParaRPr lang="it-IT"/>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700"/>
              <a:t>1-year performance (accuracy)</a:t>
            </a:r>
          </a:p>
        </c:rich>
      </c:tx>
      <c:overlay val="0"/>
    </c:title>
    <c:autoTitleDeleted val="0"/>
    <c:plotArea>
      <c:layout>
        <c:manualLayout>
          <c:layoutTarget val="inner"/>
          <c:xMode val="edge"/>
          <c:yMode val="edge"/>
          <c:x val="7.3843475402451383E-2"/>
          <c:y val="0.12146773513285533"/>
          <c:w val="0.89696255353082788"/>
          <c:h val="0.63220077245721762"/>
        </c:manualLayout>
      </c:layout>
      <c:scatterChart>
        <c:scatterStyle val="lineMarker"/>
        <c:varyColors val="0"/>
        <c:ser>
          <c:idx val="0"/>
          <c:order val="0"/>
          <c:tx>
            <c:strRef>
              <c:f>'[Excel per calcolo AR.xlsx]ALL-ACCURACY GRAFICI XL (v2024)'!$F$40</c:f>
              <c:strCache>
                <c:ptCount val="1"/>
                <c:pt idx="0">
                  <c:v>Rating model (1-y)</c:v>
                </c:pt>
              </c:strCache>
            </c:strRef>
          </c:tx>
          <c:xVal>
            <c:numRef>
              <c:f>'[Excel per calcolo AR.xlsx]ALL-ACCURACY GRAFICI XL (v2024)'!$G$39:$T$39</c:f>
              <c:numCache>
                <c:formatCode>0.00%</c:formatCode>
                <c:ptCount val="14"/>
                <c:pt idx="0">
                  <c:v>0</c:v>
                </c:pt>
                <c:pt idx="1">
                  <c:v>2.6709937923357043E-2</c:v>
                </c:pt>
                <c:pt idx="2">
                  <c:v>6.1316251250023587E-2</c:v>
                </c:pt>
                <c:pt idx="3">
                  <c:v>0.15158210532274194</c:v>
                </c:pt>
                <c:pt idx="4">
                  <c:v>0.27438630917564483</c:v>
                </c:pt>
                <c:pt idx="5">
                  <c:v>0.50404347251834936</c:v>
                </c:pt>
                <c:pt idx="6">
                  <c:v>0.70040378120341895</c:v>
                </c:pt>
                <c:pt idx="7">
                  <c:v>0.85921055114247435</c:v>
                </c:pt>
                <c:pt idx="8">
                  <c:v>0.95580860016226721</c:v>
                </c:pt>
                <c:pt idx="9">
                  <c:v>0.98904130266608803</c:v>
                </c:pt>
                <c:pt idx="10">
                  <c:v>0.99639427159003002</c:v>
                </c:pt>
                <c:pt idx="11">
                  <c:v>0.99891696069737168</c:v>
                </c:pt>
                <c:pt idx="12">
                  <c:v>0.99984339327157123</c:v>
                </c:pt>
                <c:pt idx="13">
                  <c:v>1</c:v>
                </c:pt>
              </c:numCache>
            </c:numRef>
          </c:xVal>
          <c:yVal>
            <c:numRef>
              <c:f>'[Excel per calcolo AR.xlsx]ALL-ACCURACY GRAFICI XL (v2024)'!$G$40:$T$40</c:f>
              <c:numCache>
                <c:formatCode>0.00%</c:formatCode>
                <c:ptCount val="14"/>
                <c:pt idx="0">
                  <c:v>0</c:v>
                </c:pt>
                <c:pt idx="1">
                  <c:v>0.4273941289701636</c:v>
                </c:pt>
                <c:pt idx="2">
                  <c:v>0.57898219441770937</c:v>
                </c:pt>
                <c:pt idx="3">
                  <c:v>0.75216554379210787</c:v>
                </c:pt>
                <c:pt idx="4">
                  <c:v>0.85899903753609252</c:v>
                </c:pt>
                <c:pt idx="5">
                  <c:v>0.95085418671799826</c:v>
                </c:pt>
                <c:pt idx="6">
                  <c:v>0.98568334937439861</c:v>
                </c:pt>
                <c:pt idx="7">
                  <c:v>0.99723291626564015</c:v>
                </c:pt>
                <c:pt idx="8">
                  <c:v>0.9999398460057749</c:v>
                </c:pt>
                <c:pt idx="9">
                  <c:v>1.0000000000000002</c:v>
                </c:pt>
                <c:pt idx="10">
                  <c:v>1.0000000000000002</c:v>
                </c:pt>
                <c:pt idx="11">
                  <c:v>1.0000000000000002</c:v>
                </c:pt>
                <c:pt idx="12">
                  <c:v>1.0000000000000002</c:v>
                </c:pt>
                <c:pt idx="13">
                  <c:v>1.0000000000000002</c:v>
                </c:pt>
              </c:numCache>
            </c:numRef>
          </c:yVal>
          <c:smooth val="0"/>
          <c:extLst>
            <c:ext xmlns:c16="http://schemas.microsoft.com/office/drawing/2014/chart" uri="{C3380CC4-5D6E-409C-BE32-E72D297353CC}">
              <c16:uniqueId val="{00000000-09A6-496C-B88B-1B2A7EFED45D}"/>
            </c:ext>
          </c:extLst>
        </c:ser>
        <c:ser>
          <c:idx val="1"/>
          <c:order val="1"/>
          <c:tx>
            <c:strRef>
              <c:f>'[Excel per calcolo AR.xlsx]ALL-ACCURACY GRAFICI XL (v2024)'!$E$50</c:f>
              <c:strCache>
                <c:ptCount val="1"/>
                <c:pt idx="0">
                  <c:v>Random</c:v>
                </c:pt>
              </c:strCache>
            </c:strRef>
          </c:tx>
          <c:marker>
            <c:symbol val="none"/>
          </c:marker>
          <c:xVal>
            <c:numRef>
              <c:f>'[Excel per calcolo AR.xlsx]ALL-ACCURACY GRAFICI XL (v2024)'!$G$50:$T$50</c:f>
              <c:numCache>
                <c:formatCode>0%</c:formatCode>
                <c:ptCount val="14"/>
                <c:pt idx="0" formatCode="0.00%">
                  <c:v>0</c:v>
                </c:pt>
                <c:pt idx="1">
                  <c:v>7.6923076923076927E-2</c:v>
                </c:pt>
                <c:pt idx="2">
                  <c:v>0.15384615384615385</c:v>
                </c:pt>
                <c:pt idx="3">
                  <c:v>0.23076923076923078</c:v>
                </c:pt>
                <c:pt idx="4">
                  <c:v>0.30769230769230771</c:v>
                </c:pt>
                <c:pt idx="5">
                  <c:v>0.38461538461538464</c:v>
                </c:pt>
                <c:pt idx="6">
                  <c:v>0.46153846153846156</c:v>
                </c:pt>
                <c:pt idx="7">
                  <c:v>0.53846153846153855</c:v>
                </c:pt>
                <c:pt idx="8">
                  <c:v>0.61538461538461542</c:v>
                </c:pt>
                <c:pt idx="9">
                  <c:v>0.69230769230769229</c:v>
                </c:pt>
                <c:pt idx="10">
                  <c:v>0.76923076923076916</c:v>
                </c:pt>
                <c:pt idx="11">
                  <c:v>0.84615384615384603</c:v>
                </c:pt>
                <c:pt idx="12">
                  <c:v>0.92307692307692291</c:v>
                </c:pt>
                <c:pt idx="13">
                  <c:v>0.99999999999999978</c:v>
                </c:pt>
              </c:numCache>
            </c:numRef>
          </c:xVal>
          <c:yVal>
            <c:numRef>
              <c:f>'[Excel per calcolo AR.xlsx]ALL-ACCURACY GRAFICI XL (v2024)'!$G$51:$T$51</c:f>
              <c:numCache>
                <c:formatCode>0%</c:formatCode>
                <c:ptCount val="14"/>
                <c:pt idx="0" formatCode="0.00%">
                  <c:v>0</c:v>
                </c:pt>
                <c:pt idx="1">
                  <c:v>7.6923076923076927E-2</c:v>
                </c:pt>
                <c:pt idx="2">
                  <c:v>0.15384615384615385</c:v>
                </c:pt>
                <c:pt idx="3">
                  <c:v>0.23076923076923078</c:v>
                </c:pt>
                <c:pt idx="4">
                  <c:v>0.30769230769230771</c:v>
                </c:pt>
                <c:pt idx="5">
                  <c:v>0.38461538461538464</c:v>
                </c:pt>
                <c:pt idx="6">
                  <c:v>0.46153846153846156</c:v>
                </c:pt>
                <c:pt idx="7">
                  <c:v>0.53846153846153855</c:v>
                </c:pt>
                <c:pt idx="8">
                  <c:v>0.61538461538461542</c:v>
                </c:pt>
                <c:pt idx="9">
                  <c:v>0.69230769230769229</c:v>
                </c:pt>
                <c:pt idx="10">
                  <c:v>0.76923076923076916</c:v>
                </c:pt>
                <c:pt idx="11">
                  <c:v>0.84615384615384603</c:v>
                </c:pt>
                <c:pt idx="12">
                  <c:v>0.92307692307692291</c:v>
                </c:pt>
                <c:pt idx="13">
                  <c:v>0.99999999999999978</c:v>
                </c:pt>
              </c:numCache>
            </c:numRef>
          </c:yVal>
          <c:smooth val="0"/>
          <c:extLst>
            <c:ext xmlns:c16="http://schemas.microsoft.com/office/drawing/2014/chart" uri="{C3380CC4-5D6E-409C-BE32-E72D297353CC}">
              <c16:uniqueId val="{00000001-09A6-496C-B88B-1B2A7EFED45D}"/>
            </c:ext>
          </c:extLst>
        </c:ser>
        <c:ser>
          <c:idx val="2"/>
          <c:order val="2"/>
          <c:tx>
            <c:v>Ideal Model</c:v>
          </c:tx>
          <c:marker>
            <c:symbol val="none"/>
          </c:marker>
          <c:xVal>
            <c:numRef>
              <c:f>'[Excel per calcolo AR.xlsx]ALL-ACCURACY GRAFICI XL (v2024)'!$G$53:$T$53</c:f>
              <c:numCache>
                <c:formatCode>0.00%</c:formatCode>
                <c:ptCount val="14"/>
                <c:pt idx="0">
                  <c:v>0</c:v>
                </c:pt>
                <c:pt idx="1">
                  <c:v>3.1366629559048287E-2</c:v>
                </c:pt>
                <c:pt idx="2">
                  <c:v>0.11208607709579427</c:v>
                </c:pt>
                <c:pt idx="3">
                  <c:v>0.19280552463254025</c:v>
                </c:pt>
                <c:pt idx="4">
                  <c:v>0.27352497216928623</c:v>
                </c:pt>
                <c:pt idx="5">
                  <c:v>0.35424441970603221</c:v>
                </c:pt>
                <c:pt idx="6">
                  <c:v>0.43496386724277819</c:v>
                </c:pt>
                <c:pt idx="7">
                  <c:v>0.51568331477952412</c:v>
                </c:pt>
                <c:pt idx="8">
                  <c:v>0.5964027623162701</c:v>
                </c:pt>
                <c:pt idx="9">
                  <c:v>0.67712220985301608</c:v>
                </c:pt>
                <c:pt idx="10">
                  <c:v>0.75784165738976206</c:v>
                </c:pt>
                <c:pt idx="11">
                  <c:v>0.83856110492650804</c:v>
                </c:pt>
                <c:pt idx="12">
                  <c:v>0.91928055246325402</c:v>
                </c:pt>
                <c:pt idx="13">
                  <c:v>1</c:v>
                </c:pt>
              </c:numCache>
            </c:numRef>
          </c:xVal>
          <c:yVal>
            <c:numRef>
              <c:f>'[Excel per calcolo AR.xlsx]ALL-ACCURACY GRAFICI XL (v2024)'!$G$54:$T$54</c:f>
              <c:numCache>
                <c:formatCode>0.00%</c:formatCode>
                <c:ptCount val="14"/>
                <c:pt idx="0">
                  <c:v>0</c:v>
                </c:pt>
                <c:pt idx="1">
                  <c:v>1</c:v>
                </c:pt>
                <c:pt idx="2">
                  <c:v>1</c:v>
                </c:pt>
                <c:pt idx="3">
                  <c:v>1</c:v>
                </c:pt>
                <c:pt idx="4">
                  <c:v>1</c:v>
                </c:pt>
                <c:pt idx="5">
                  <c:v>1</c:v>
                </c:pt>
                <c:pt idx="6">
                  <c:v>1</c:v>
                </c:pt>
                <c:pt idx="7">
                  <c:v>1</c:v>
                </c:pt>
                <c:pt idx="8">
                  <c:v>1</c:v>
                </c:pt>
                <c:pt idx="9">
                  <c:v>1</c:v>
                </c:pt>
                <c:pt idx="10">
                  <c:v>1</c:v>
                </c:pt>
                <c:pt idx="11">
                  <c:v>1</c:v>
                </c:pt>
                <c:pt idx="12">
                  <c:v>1</c:v>
                </c:pt>
                <c:pt idx="13">
                  <c:v>1</c:v>
                </c:pt>
              </c:numCache>
            </c:numRef>
          </c:yVal>
          <c:smooth val="0"/>
          <c:extLst>
            <c:ext xmlns:c16="http://schemas.microsoft.com/office/drawing/2014/chart" uri="{C3380CC4-5D6E-409C-BE32-E72D297353CC}">
              <c16:uniqueId val="{00000002-09A6-496C-B88B-1B2A7EFED45D}"/>
            </c:ext>
          </c:extLst>
        </c:ser>
        <c:dLbls>
          <c:showLegendKey val="0"/>
          <c:showVal val="0"/>
          <c:showCatName val="0"/>
          <c:showSerName val="0"/>
          <c:showPercent val="0"/>
          <c:showBubbleSize val="0"/>
        </c:dLbls>
        <c:axId val="284549120"/>
        <c:axId val="284551040"/>
      </c:scatterChart>
      <c:valAx>
        <c:axId val="284549120"/>
        <c:scaling>
          <c:orientation val="minMax"/>
          <c:max val="1"/>
        </c:scaling>
        <c:delete val="0"/>
        <c:axPos val="b"/>
        <c:majorGridlines>
          <c:spPr>
            <a:ln>
              <a:solidFill>
                <a:schemeClr val="bg1">
                  <a:lumMod val="85000"/>
                </a:schemeClr>
              </a:solidFill>
              <a:prstDash val="sysDash"/>
            </a:ln>
          </c:spPr>
        </c:majorGridlines>
        <c:title>
          <c:tx>
            <c:rich>
              <a:bodyPr/>
              <a:lstStyle/>
              <a:p>
                <a:pPr>
                  <a:defRPr/>
                </a:pPr>
                <a:r>
                  <a:rPr lang="en-US"/>
                  <a:t>% cumulative proportion of rated in static pool</a:t>
                </a:r>
              </a:p>
            </c:rich>
          </c:tx>
          <c:overlay val="0"/>
        </c:title>
        <c:numFmt formatCode="0%" sourceLinked="0"/>
        <c:majorTickMark val="out"/>
        <c:minorTickMark val="none"/>
        <c:tickLblPos val="nextTo"/>
        <c:crossAx val="284551040"/>
        <c:crosses val="autoZero"/>
        <c:crossBetween val="midCat"/>
        <c:majorUnit val="0.1"/>
      </c:valAx>
      <c:valAx>
        <c:axId val="284551040"/>
        <c:scaling>
          <c:orientation val="minMax"/>
          <c:max val="1"/>
        </c:scaling>
        <c:delete val="0"/>
        <c:axPos val="l"/>
        <c:majorGridlines>
          <c:spPr>
            <a:ln>
              <a:solidFill>
                <a:schemeClr val="bg1">
                  <a:lumMod val="85000"/>
                </a:schemeClr>
              </a:solidFill>
              <a:prstDash val="sysDash"/>
            </a:ln>
          </c:spPr>
        </c:majorGridlines>
        <c:title>
          <c:tx>
            <c:rich>
              <a:bodyPr rot="-5400000" vert="horz"/>
              <a:lstStyle/>
              <a:p>
                <a:pPr>
                  <a:defRPr/>
                </a:pPr>
                <a:r>
                  <a:rPr lang="en-US"/>
                  <a:t>% Cumulative proportion of defualt</a:t>
                </a:r>
              </a:p>
            </c:rich>
          </c:tx>
          <c:overlay val="0"/>
        </c:title>
        <c:numFmt formatCode="0%" sourceLinked="0"/>
        <c:majorTickMark val="out"/>
        <c:minorTickMark val="none"/>
        <c:tickLblPos val="nextTo"/>
        <c:crossAx val="284549120"/>
        <c:crosses val="autoZero"/>
        <c:crossBetween val="midCat"/>
      </c:valAx>
    </c:plotArea>
    <c:legend>
      <c:legendPos val="b"/>
      <c:overlay val="0"/>
    </c:legend>
    <c:plotVisOnly val="1"/>
    <c:dispBlanksAs val="gap"/>
    <c:showDLblsOverMax val="0"/>
  </c:chart>
  <c:txPr>
    <a:bodyPr/>
    <a:lstStyle/>
    <a:p>
      <a:pPr>
        <a:defRPr sz="700">
          <a:latin typeface="Source Sans Pro" panose="020B0503030403020204" pitchFamily="34" charset="0"/>
          <a:ea typeface="Source Sans Pro" panose="020B0503030403020204" pitchFamily="34" charset="0"/>
        </a:defRPr>
      </a:pPr>
      <a:endParaRPr lang="it-IT"/>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anchorCtr="0"/>
          <a:lstStyle/>
          <a:p>
            <a:pPr algn="ctr">
              <a:defRPr/>
            </a:pPr>
            <a:r>
              <a:rPr lang="en-US" sz="700"/>
              <a:t>1-year Accuracy Ratio</a:t>
            </a:r>
          </a:p>
        </c:rich>
      </c:tx>
      <c:layout>
        <c:manualLayout>
          <c:xMode val="edge"/>
          <c:yMode val="edge"/>
          <c:x val="0.41270282362752586"/>
          <c:y val="8.3064585851566564E-2"/>
        </c:manualLayout>
      </c:layout>
      <c:overlay val="0"/>
    </c:title>
    <c:autoTitleDeleted val="0"/>
    <c:plotArea>
      <c:layout>
        <c:manualLayout>
          <c:layoutTarget val="inner"/>
          <c:xMode val="edge"/>
          <c:yMode val="edge"/>
          <c:x val="2.7874989727559661E-2"/>
          <c:y val="0.1277022783587726"/>
          <c:w val="0.95086486338415288"/>
          <c:h val="0.5015996725850701"/>
        </c:manualLayout>
      </c:layout>
      <c:lineChart>
        <c:grouping val="standard"/>
        <c:varyColors val="0"/>
        <c:ser>
          <c:idx val="0"/>
          <c:order val="0"/>
          <c:tx>
            <c:strRef>
              <c:f>'[20230322_DS 03 - DS2022 - Grafici rating ENG_v1.xlsx]data'!$C$308</c:f>
              <c:strCache>
                <c:ptCount val="1"/>
                <c:pt idx="0">
                  <c:v>Accuracy</c:v>
                </c:pt>
              </c:strCache>
            </c:strRef>
          </c:tx>
          <c:dLbls>
            <c:numFmt formatCode="0.00%" sourceLinked="0"/>
            <c:spPr>
              <a:noFill/>
              <a:ln>
                <a:noFill/>
              </a:ln>
              <a:effectLst/>
            </c:spPr>
            <c:txPr>
              <a:bodyPr/>
              <a:lstStyle/>
              <a:p>
                <a:pPr>
                  <a:defRPr b="1"/>
                </a:pPr>
                <a:endParaRPr lang="it-I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'[20230322_DS 03 - DS2022 - Grafici rating ENG_v1.xlsx]data'!$A$309:$B$323</c:f>
              <c:multiLvlStrCache>
                <c:ptCount val="15"/>
                <c:lvl>
                  <c:pt idx="0">
                    <c:v>Defaults 2009</c:v>
                  </c:pt>
                  <c:pt idx="1">
                    <c:v>Defaults 2010</c:v>
                  </c:pt>
                  <c:pt idx="2">
                    <c:v>Defaults 2011</c:v>
                  </c:pt>
                  <c:pt idx="3">
                    <c:v>Defaults 2012</c:v>
                  </c:pt>
                  <c:pt idx="4">
                    <c:v>Defaults 2013</c:v>
                  </c:pt>
                  <c:pt idx="5">
                    <c:v>Defaults 2014</c:v>
                  </c:pt>
                  <c:pt idx="6">
                    <c:v>Defaults 2015</c:v>
                  </c:pt>
                  <c:pt idx="7">
                    <c:v>Defaults 2016</c:v>
                  </c:pt>
                  <c:pt idx="8">
                    <c:v>Defaults 2017</c:v>
                  </c:pt>
                  <c:pt idx="9">
                    <c:v>Defaults 2018</c:v>
                  </c:pt>
                  <c:pt idx="10">
                    <c:v>Defaults 2019</c:v>
                  </c:pt>
                  <c:pt idx="11">
                    <c:v>Defaults 2020</c:v>
                  </c:pt>
                  <c:pt idx="12">
                    <c:v>Defaults 2021</c:v>
                  </c:pt>
                  <c:pt idx="13">
                    <c:v>Defaults 2022</c:v>
                  </c:pt>
                  <c:pt idx="14">
                    <c:v>Defaults 2023</c:v>
                  </c:pt>
                </c:lvl>
                <c:lvl>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lvl>
              </c:multiLvlStrCache>
            </c:multiLvlStrRef>
          </c:cat>
          <c:val>
            <c:numRef>
              <c:f>'[20230322_DS 03 - DS2022 - Grafici rating ENG_v1.xlsx]data'!$C$309:$C$323</c:f>
              <c:numCache>
                <c:formatCode>0.0%</c:formatCode>
                <c:ptCount val="15"/>
                <c:pt idx="0">
                  <c:v>0.78832999999999998</c:v>
                </c:pt>
                <c:pt idx="1">
                  <c:v>0.80976000000000004</c:v>
                </c:pt>
                <c:pt idx="2">
                  <c:v>0.76670000000000005</c:v>
                </c:pt>
                <c:pt idx="3">
                  <c:v>0.74748000000000003</c:v>
                </c:pt>
                <c:pt idx="4">
                  <c:v>0.78191999999999995</c:v>
                </c:pt>
                <c:pt idx="5">
                  <c:v>0.75716000000000006</c:v>
                </c:pt>
                <c:pt idx="6">
                  <c:v>0.73372999999999999</c:v>
                </c:pt>
                <c:pt idx="7">
                  <c:v>0.75234999999999996</c:v>
                </c:pt>
                <c:pt idx="8">
                  <c:v>0.72421999999999997</c:v>
                </c:pt>
                <c:pt idx="9">
                  <c:v>0.75316000000000005</c:v>
                </c:pt>
                <c:pt idx="10">
                  <c:v>0.70501999999999998</c:v>
                </c:pt>
                <c:pt idx="11">
                  <c:v>0.71819999999999995</c:v>
                </c:pt>
                <c:pt idx="12">
                  <c:v>0.82916000000000001</c:v>
                </c:pt>
                <c:pt idx="13">
                  <c:v>0.70242000000000004</c:v>
                </c:pt>
                <c:pt idx="14">
                  <c:v>0.67856000000000005</c:v>
                </c:pt>
              </c:numCache>
            </c:numRef>
          </c:val>
          <c:smooth val="0"/>
          <c:extLst>
            <c:ext xmlns:c16="http://schemas.microsoft.com/office/drawing/2014/chart" uri="{C3380CC4-5D6E-409C-BE32-E72D297353CC}">
              <c16:uniqueId val="{00000000-A65B-4904-9E1C-7D9B7E371DFC}"/>
            </c:ext>
          </c:extLst>
        </c:ser>
        <c:dLbls>
          <c:showLegendKey val="0"/>
          <c:showVal val="0"/>
          <c:showCatName val="0"/>
          <c:showSerName val="0"/>
          <c:showPercent val="0"/>
          <c:showBubbleSize val="0"/>
        </c:dLbls>
        <c:marker val="1"/>
        <c:smooth val="0"/>
        <c:axId val="255164912"/>
        <c:axId val="255165304"/>
      </c:lineChart>
      <c:catAx>
        <c:axId val="255164912"/>
        <c:scaling>
          <c:orientation val="minMax"/>
        </c:scaling>
        <c:delete val="0"/>
        <c:axPos val="b"/>
        <c:numFmt formatCode="General" sourceLinked="0"/>
        <c:majorTickMark val="out"/>
        <c:minorTickMark val="none"/>
        <c:tickLblPos val="nextTo"/>
        <c:crossAx val="255165304"/>
        <c:crosses val="autoZero"/>
        <c:auto val="1"/>
        <c:lblAlgn val="ctr"/>
        <c:lblOffset val="100"/>
        <c:noMultiLvlLbl val="0"/>
      </c:catAx>
      <c:valAx>
        <c:axId val="255165304"/>
        <c:scaling>
          <c:orientation val="minMax"/>
          <c:max val="1.3"/>
          <c:min val="0.5"/>
        </c:scaling>
        <c:delete val="1"/>
        <c:axPos val="l"/>
        <c:title>
          <c:tx>
            <c:rich>
              <a:bodyPr rot="-5400000" vert="horz"/>
              <a:lstStyle/>
              <a:p>
                <a:pPr>
                  <a:defRPr/>
                </a:pPr>
                <a:r>
                  <a:rPr lang="en-US"/>
                  <a:t>Accuracy Ratio</a:t>
                </a:r>
              </a:p>
            </c:rich>
          </c:tx>
          <c:overlay val="0"/>
        </c:title>
        <c:numFmt formatCode="0.0%" sourceLinked="1"/>
        <c:majorTickMark val="out"/>
        <c:minorTickMark val="none"/>
        <c:tickLblPos val="nextTo"/>
        <c:crossAx val="255164912"/>
        <c:crosses val="autoZero"/>
        <c:crossBetween val="between"/>
      </c:valAx>
    </c:plotArea>
    <c:plotVisOnly val="1"/>
    <c:dispBlanksAs val="gap"/>
    <c:showDLblsOverMax val="0"/>
  </c:chart>
  <c:spPr>
    <a:ln>
      <a:noFill/>
    </a:ln>
  </c:spPr>
  <c:txPr>
    <a:bodyPr/>
    <a:lstStyle/>
    <a:p>
      <a:pPr>
        <a:defRPr sz="700">
          <a:latin typeface="Source Sans Pro" panose="020B0503030403020204" pitchFamily="34" charset="0"/>
        </a:defRPr>
      </a:pPr>
      <a:endParaRPr lang="it-IT"/>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en-US" sz="700"/>
              <a:t>Cumulative default rates</a:t>
            </a:r>
          </a:p>
          <a:p>
            <a:pPr>
              <a:defRPr/>
            </a:pPr>
            <a:r>
              <a:rPr lang="en-US" sz="700" b="0"/>
              <a:t>From 1-5 years</a:t>
            </a:r>
          </a:p>
        </c:rich>
      </c:tx>
      <c:overlay val="0"/>
    </c:title>
    <c:autoTitleDeleted val="0"/>
    <c:plotArea>
      <c:layout>
        <c:manualLayout>
          <c:layoutTarget val="inner"/>
          <c:xMode val="edge"/>
          <c:yMode val="edge"/>
          <c:x val="4.0445717381577789E-2"/>
          <c:y val="0.13706666666666667"/>
          <c:w val="0.94989057948738242"/>
          <c:h val="0.66891601049868765"/>
        </c:manualLayout>
      </c:layout>
      <c:lineChart>
        <c:grouping val="standard"/>
        <c:varyColors val="0"/>
        <c:ser>
          <c:idx val="0"/>
          <c:order val="0"/>
          <c:tx>
            <c:strRef>
              <c:f>'[20230322_DS 03 - DS2022 - Grafici rating ENG_v1.xlsx]data'!$B$332</c:f>
              <c:strCache>
                <c:ptCount val="1"/>
                <c:pt idx="0">
                  <c:v>1-y DR</c:v>
                </c:pt>
              </c:strCache>
            </c:strRef>
          </c:tx>
          <c:spPr>
            <a:ln>
              <a:solidFill>
                <a:srgbClr val="345B89"/>
              </a:solidFill>
            </a:ln>
          </c:spPr>
          <c:dPt>
            <c:idx val="7"/>
            <c:bubble3D val="0"/>
            <c:extLst>
              <c:ext xmlns:c16="http://schemas.microsoft.com/office/drawing/2014/chart" uri="{C3380CC4-5D6E-409C-BE32-E72D297353CC}">
                <c16:uniqueId val="{00000000-0C0C-49C8-A5DA-A408ECD820AA}"/>
              </c:ext>
            </c:extLst>
          </c:dPt>
          <c:dPt>
            <c:idx val="9"/>
            <c:bubble3D val="0"/>
            <c:extLst>
              <c:ext xmlns:c16="http://schemas.microsoft.com/office/drawing/2014/chart" uri="{C3380CC4-5D6E-409C-BE32-E72D297353CC}">
                <c16:uniqueId val="{00000001-0C0C-49C8-A5DA-A408ECD820AA}"/>
              </c:ext>
            </c:extLst>
          </c:dPt>
          <c:dPt>
            <c:idx val="10"/>
            <c:bubble3D val="0"/>
            <c:extLst>
              <c:ext xmlns:c16="http://schemas.microsoft.com/office/drawing/2014/chart" uri="{C3380CC4-5D6E-409C-BE32-E72D297353CC}">
                <c16:uniqueId val="{00000002-0C0C-49C8-A5DA-A408ECD820AA}"/>
              </c:ext>
            </c:extLst>
          </c:dPt>
          <c:dPt>
            <c:idx val="11"/>
            <c:bubble3D val="0"/>
            <c:extLst>
              <c:ext xmlns:c16="http://schemas.microsoft.com/office/drawing/2014/chart" uri="{C3380CC4-5D6E-409C-BE32-E72D297353CC}">
                <c16:uniqueId val="{00000003-0C0C-49C8-A5DA-A408ECD820AA}"/>
              </c:ext>
            </c:extLst>
          </c:dPt>
          <c:dPt>
            <c:idx val="12"/>
            <c:bubble3D val="0"/>
            <c:extLst>
              <c:ext xmlns:c16="http://schemas.microsoft.com/office/drawing/2014/chart" uri="{C3380CC4-5D6E-409C-BE32-E72D297353CC}">
                <c16:uniqueId val="{00000004-0C0C-49C8-A5DA-A408ECD820AA}"/>
              </c:ext>
            </c:extLst>
          </c:dPt>
          <c:dPt>
            <c:idx val="13"/>
            <c:bubble3D val="0"/>
            <c:extLst>
              <c:ext xmlns:c16="http://schemas.microsoft.com/office/drawing/2014/chart" uri="{C3380CC4-5D6E-409C-BE32-E72D297353CC}">
                <c16:uniqueId val="{00000005-0C0C-49C8-A5DA-A408ECD820AA}"/>
              </c:ext>
            </c:extLst>
          </c:dPt>
          <c:dPt>
            <c:idx val="14"/>
            <c:bubble3D val="0"/>
            <c:extLst>
              <c:ext xmlns:c16="http://schemas.microsoft.com/office/drawing/2014/chart" uri="{C3380CC4-5D6E-409C-BE32-E72D297353CC}">
                <c16:uniqueId val="{00000007-0C0C-49C8-A5DA-A408ECD820AA}"/>
              </c:ext>
            </c:extLst>
          </c:dPt>
          <c:dPt>
            <c:idx val="15"/>
            <c:bubble3D val="0"/>
            <c:spPr>
              <a:ln>
                <a:noFill/>
              </a:ln>
            </c:spPr>
            <c:extLst>
              <c:ext xmlns:c16="http://schemas.microsoft.com/office/drawing/2014/chart" uri="{C3380CC4-5D6E-409C-BE32-E72D297353CC}">
                <c16:uniqueId val="{00000014-0C0C-49C8-A5DA-A408ECD820AA}"/>
              </c:ext>
            </c:extLst>
          </c:dPt>
          <c:dLbls>
            <c:dLbl>
              <c:idx val="15"/>
              <c:layout>
                <c:manualLayout>
                  <c:x val="-5.0251256281407038E-2"/>
                  <c:y val="-1.2222081031699194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0C0C-49C8-A5DA-A408ECD820AA}"/>
                </c:ext>
              </c:extLst>
            </c:dLbl>
            <c:spPr>
              <a:noFill/>
              <a:ln>
                <a:noFill/>
              </a:ln>
              <a:effectLst/>
            </c:spPr>
            <c:txPr>
              <a:bodyPr/>
              <a:lstStyle/>
              <a:p>
                <a:pPr>
                  <a:defRPr b="1"/>
                </a:pPr>
                <a:endParaRPr lang="it-IT"/>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'[20230322_DS 03 - DS2022 - Grafici rating ENG_v1.xlsx]data'!$A$333:$A$348</c:f>
              <c:strCache>
                <c:ptCount val="16"/>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pt idx="15">
                  <c:v>Average</c:v>
                </c:pt>
              </c:strCache>
            </c:strRef>
          </c:cat>
          <c:val>
            <c:numRef>
              <c:f>'[20230322_DS 03 - DS2022 - Grafici rating ENG_v1.xlsx]data'!$B$333:$B$348</c:f>
              <c:numCache>
                <c:formatCode>0.00%</c:formatCode>
                <c:ptCount val="16"/>
                <c:pt idx="0">
                  <c:v>5.39602E-2</c:v>
                </c:pt>
                <c:pt idx="1">
                  <c:v>4.4210100000000002E-2</c:v>
                </c:pt>
                <c:pt idx="2">
                  <c:v>3.7013799999999999E-2</c:v>
                </c:pt>
                <c:pt idx="3">
                  <c:v>4.2579199999999998E-2</c:v>
                </c:pt>
                <c:pt idx="4">
                  <c:v>3.7093800000000003E-2</c:v>
                </c:pt>
                <c:pt idx="5">
                  <c:v>3.2319800000000003E-2</c:v>
                </c:pt>
                <c:pt idx="6">
                  <c:v>3.0467899999999999E-2</c:v>
                </c:pt>
                <c:pt idx="7">
                  <c:v>2.37395E-2</c:v>
                </c:pt>
                <c:pt idx="8">
                  <c:v>1.5779499999999998E-2</c:v>
                </c:pt>
                <c:pt idx="9">
                  <c:v>1.3823E-2</c:v>
                </c:pt>
                <c:pt idx="10">
                  <c:v>1.3554999999999999E-2</c:v>
                </c:pt>
                <c:pt idx="11">
                  <c:v>8.7538619999999994E-3</c:v>
                </c:pt>
                <c:pt idx="12">
                  <c:v>5.3755180000000001E-3</c:v>
                </c:pt>
                <c:pt idx="13">
                  <c:v>4.2375479999999998E-3</c:v>
                </c:pt>
                <c:pt idx="14">
                  <c:v>6.2108099999999998E-3</c:v>
                </c:pt>
                <c:pt idx="15">
                  <c:v>3.1366629559048287E-2</c:v>
                </c:pt>
              </c:numCache>
            </c:numRef>
          </c:val>
          <c:smooth val="0"/>
          <c:extLst>
            <c:ext xmlns:c16="http://schemas.microsoft.com/office/drawing/2014/chart" uri="{C3380CC4-5D6E-409C-BE32-E72D297353CC}">
              <c16:uniqueId val="{00000008-0C0C-49C8-A5DA-A408ECD820AA}"/>
            </c:ext>
          </c:extLst>
        </c:ser>
        <c:ser>
          <c:idx val="1"/>
          <c:order val="1"/>
          <c:tx>
            <c:strRef>
              <c:f>'[20230322_DS 03 - DS2022 - Grafici rating ENG_v1.xlsx]data'!$C$332</c:f>
              <c:strCache>
                <c:ptCount val="1"/>
                <c:pt idx="0">
                  <c:v>2-y CDR</c:v>
                </c:pt>
              </c:strCache>
            </c:strRef>
          </c:tx>
          <c:spPr>
            <a:ln>
              <a:solidFill>
                <a:schemeClr val="accent1"/>
              </a:solidFill>
            </a:ln>
          </c:spPr>
          <c:dPt>
            <c:idx val="13"/>
            <c:bubble3D val="0"/>
            <c:spPr/>
            <c:extLst>
              <c:ext xmlns:c16="http://schemas.microsoft.com/office/drawing/2014/chart" uri="{C3380CC4-5D6E-409C-BE32-E72D297353CC}">
                <c16:uniqueId val="{0000000A-0C0C-49C8-A5DA-A408ECD820AA}"/>
              </c:ext>
            </c:extLst>
          </c:dPt>
          <c:dLbls>
            <c:dLbl>
              <c:idx val="1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C0C-49C8-A5DA-A408ECD820AA}"/>
                </c:ext>
              </c:extLst>
            </c:dLbl>
            <c:dLbl>
              <c:idx val="15"/>
              <c:layout>
                <c:manualLayout>
                  <c:x val="-5.411673753382296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0C0C-49C8-A5DA-A408ECD820AA}"/>
                </c:ext>
              </c:extLst>
            </c:dLbl>
            <c:spPr>
              <a:noFill/>
              <a:ln>
                <a:noFill/>
              </a:ln>
              <a:effectLst/>
            </c:spPr>
            <c:txPr>
              <a:bodyPr/>
              <a:lstStyle/>
              <a:p>
                <a:pPr>
                  <a:defRPr b="1"/>
                </a:pPr>
                <a:endParaRPr lang="it-IT"/>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'[20230322_DS 03 - DS2022 - Grafici rating ENG_v1.xlsx]data'!$A$333:$A$348</c:f>
              <c:strCache>
                <c:ptCount val="16"/>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pt idx="15">
                  <c:v>Average</c:v>
                </c:pt>
              </c:strCache>
            </c:strRef>
          </c:cat>
          <c:val>
            <c:numRef>
              <c:f>'[20230322_DS 03 - DS2022 - Grafici rating ENG_v1.xlsx]data'!$C$333:$C$348</c:f>
              <c:numCache>
                <c:formatCode>0.00%</c:formatCode>
                <c:ptCount val="16"/>
                <c:pt idx="0">
                  <c:v>8.1380300000000003E-2</c:v>
                </c:pt>
                <c:pt idx="1">
                  <c:v>6.8717200000000006E-2</c:v>
                </c:pt>
                <c:pt idx="2">
                  <c:v>6.8772299999999995E-2</c:v>
                </c:pt>
                <c:pt idx="3">
                  <c:v>6.2807500000000002E-2</c:v>
                </c:pt>
                <c:pt idx="4">
                  <c:v>6.5259600000000001E-2</c:v>
                </c:pt>
                <c:pt idx="5">
                  <c:v>5.9514900000000003E-2</c:v>
                </c:pt>
                <c:pt idx="6">
                  <c:v>5.1176600000000003E-2</c:v>
                </c:pt>
                <c:pt idx="7">
                  <c:v>4.0986099999999998E-2</c:v>
                </c:pt>
                <c:pt idx="8">
                  <c:v>2.81579E-2</c:v>
                </c:pt>
                <c:pt idx="9">
                  <c:v>2.6349000000000001E-2</c:v>
                </c:pt>
                <c:pt idx="10">
                  <c:v>2.3306E-2</c:v>
                </c:pt>
                <c:pt idx="11">
                  <c:v>1.3977E-2</c:v>
                </c:pt>
                <c:pt idx="12">
                  <c:v>9.176778E-3</c:v>
                </c:pt>
                <c:pt idx="13">
                  <c:v>1.08702E-2</c:v>
                </c:pt>
                <c:pt idx="15">
                  <c:v>5.3109138910267029E-2</c:v>
                </c:pt>
              </c:numCache>
            </c:numRef>
          </c:val>
          <c:smooth val="0"/>
          <c:extLst>
            <c:ext xmlns:c16="http://schemas.microsoft.com/office/drawing/2014/chart" uri="{C3380CC4-5D6E-409C-BE32-E72D297353CC}">
              <c16:uniqueId val="{0000000C-0C0C-49C8-A5DA-A408ECD820AA}"/>
            </c:ext>
          </c:extLst>
        </c:ser>
        <c:ser>
          <c:idx val="2"/>
          <c:order val="2"/>
          <c:tx>
            <c:strRef>
              <c:f>'[20230322_DS 03 - DS2022 - Grafici rating ENG_v1.xlsx]data'!$D$332</c:f>
              <c:strCache>
                <c:ptCount val="1"/>
                <c:pt idx="0">
                  <c:v>3-y CDR</c:v>
                </c:pt>
              </c:strCache>
            </c:strRef>
          </c:tx>
          <c:dLbls>
            <c:dLbl>
              <c:idx val="1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C0C-49C8-A5DA-A408ECD820AA}"/>
                </c:ext>
              </c:extLst>
            </c:dLbl>
            <c:dLbl>
              <c:idx val="15"/>
              <c:layout>
                <c:manualLayout>
                  <c:x val="-5.798221878623888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0C0C-49C8-A5DA-A408ECD820AA}"/>
                </c:ext>
              </c:extLst>
            </c:dLbl>
            <c:spPr>
              <a:noFill/>
              <a:ln>
                <a:noFill/>
              </a:ln>
              <a:effectLst/>
            </c:spPr>
            <c:txPr>
              <a:bodyPr/>
              <a:lstStyle/>
              <a:p>
                <a:pPr>
                  <a:defRPr b="1"/>
                </a:pPr>
                <a:endParaRPr lang="it-IT"/>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'[20230322_DS 03 - DS2022 - Grafici rating ENG_v1.xlsx]data'!$A$333:$A$348</c:f>
              <c:strCache>
                <c:ptCount val="16"/>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pt idx="15">
                  <c:v>Average</c:v>
                </c:pt>
              </c:strCache>
            </c:strRef>
          </c:cat>
          <c:val>
            <c:numRef>
              <c:f>'[20230322_DS 03 - DS2022 - Grafici rating ENG_v1.xlsx]data'!$D$333:$D$348</c:f>
              <c:numCache>
                <c:formatCode>0.00%</c:formatCode>
                <c:ptCount val="16"/>
                <c:pt idx="0">
                  <c:v>0.109032</c:v>
                </c:pt>
                <c:pt idx="1">
                  <c:v>9.9001199999999998E-2</c:v>
                </c:pt>
                <c:pt idx="2">
                  <c:v>8.0392599999999995E-2</c:v>
                </c:pt>
                <c:pt idx="3">
                  <c:v>9.8843700000000007E-2</c:v>
                </c:pt>
                <c:pt idx="4">
                  <c:v>9.2865100000000006E-2</c:v>
                </c:pt>
                <c:pt idx="5">
                  <c:v>8.0936099999999997E-2</c:v>
                </c:pt>
                <c:pt idx="6">
                  <c:v>6.8518800000000005E-2</c:v>
                </c:pt>
                <c:pt idx="7">
                  <c:v>5.5645699999999999E-2</c:v>
                </c:pt>
                <c:pt idx="8">
                  <c:v>4.07736E-2</c:v>
                </c:pt>
                <c:pt idx="9">
                  <c:v>3.6806999999999999E-2</c:v>
                </c:pt>
                <c:pt idx="10">
                  <c:v>3.0831000000000001E-2</c:v>
                </c:pt>
                <c:pt idx="11">
                  <c:v>1.8758E-2</c:v>
                </c:pt>
                <c:pt idx="12">
                  <c:v>1.6932900000000001E-2</c:v>
                </c:pt>
                <c:pt idx="15">
                  <c:v>7.4446335937154148E-2</c:v>
                </c:pt>
              </c:numCache>
            </c:numRef>
          </c:val>
          <c:smooth val="0"/>
          <c:extLst>
            <c:ext xmlns:c16="http://schemas.microsoft.com/office/drawing/2014/chart" uri="{C3380CC4-5D6E-409C-BE32-E72D297353CC}">
              <c16:uniqueId val="{0000000E-0C0C-49C8-A5DA-A408ECD820AA}"/>
            </c:ext>
          </c:extLst>
        </c:ser>
        <c:ser>
          <c:idx val="3"/>
          <c:order val="3"/>
          <c:tx>
            <c:strRef>
              <c:f>'[20230322_DS 03 - DS2022 - Grafici rating ENG_v1.xlsx]data'!$E$332</c:f>
              <c:strCache>
                <c:ptCount val="1"/>
                <c:pt idx="0">
                  <c:v>4-y CDR</c:v>
                </c:pt>
              </c:strCache>
            </c:strRef>
          </c:tx>
          <c:dPt>
            <c:idx val="14"/>
            <c:bubble3D val="0"/>
            <c:spPr>
              <a:ln>
                <a:noFill/>
              </a:ln>
            </c:spPr>
            <c:extLst>
              <c:ext xmlns:c16="http://schemas.microsoft.com/office/drawing/2014/chart" uri="{C3380CC4-5D6E-409C-BE32-E72D297353CC}">
                <c16:uniqueId val="{00000010-0C0C-49C8-A5DA-A408ECD820AA}"/>
              </c:ext>
            </c:extLst>
          </c:dPt>
          <c:dLbls>
            <c:dLbl>
              <c:idx val="1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C0C-49C8-A5DA-A408ECD820AA}"/>
                </c:ext>
              </c:extLst>
            </c:dLbl>
            <c:dLbl>
              <c:idx val="15"/>
              <c:layout>
                <c:manualLayout>
                  <c:x val="-6.184770003865495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0C0C-49C8-A5DA-A408ECD820AA}"/>
                </c:ext>
              </c:extLst>
            </c:dLbl>
            <c:spPr>
              <a:noFill/>
              <a:ln>
                <a:noFill/>
              </a:ln>
              <a:effectLst/>
            </c:spPr>
            <c:txPr>
              <a:bodyPr/>
              <a:lstStyle/>
              <a:p>
                <a:pPr>
                  <a:defRPr b="1"/>
                </a:pPr>
                <a:endParaRPr lang="it-IT"/>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'[20230322_DS 03 - DS2022 - Grafici rating ENG_v1.xlsx]data'!$A$333:$A$348</c:f>
              <c:strCache>
                <c:ptCount val="16"/>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pt idx="15">
                  <c:v>Average</c:v>
                </c:pt>
              </c:strCache>
            </c:strRef>
          </c:cat>
          <c:val>
            <c:numRef>
              <c:f>'[20230322_DS 03 - DS2022 - Grafici rating ENG_v1.xlsx]data'!$E$333:$E$348</c:f>
              <c:numCache>
                <c:formatCode>0.00%</c:formatCode>
                <c:ptCount val="16"/>
                <c:pt idx="0">
                  <c:v>0.14180899999999999</c:v>
                </c:pt>
                <c:pt idx="1">
                  <c:v>0.11035300000000001</c:v>
                </c:pt>
                <c:pt idx="2">
                  <c:v>0.111442</c:v>
                </c:pt>
                <c:pt idx="3">
                  <c:v>0.12723799999999999</c:v>
                </c:pt>
                <c:pt idx="4">
                  <c:v>0.113298</c:v>
                </c:pt>
                <c:pt idx="5">
                  <c:v>9.8735900000000001E-2</c:v>
                </c:pt>
                <c:pt idx="6">
                  <c:v>8.3412700000000006E-2</c:v>
                </c:pt>
                <c:pt idx="7">
                  <c:v>7.0508299999999996E-2</c:v>
                </c:pt>
                <c:pt idx="8">
                  <c:v>5.0423200000000001E-2</c:v>
                </c:pt>
                <c:pt idx="9">
                  <c:v>4.5076999999999999E-2</c:v>
                </c:pt>
                <c:pt idx="10">
                  <c:v>3.6901000000000003E-2</c:v>
                </c:pt>
                <c:pt idx="11">
                  <c:v>2.71811E-2</c:v>
                </c:pt>
                <c:pt idx="15">
                  <c:v>9.7089089820308422E-2</c:v>
                </c:pt>
              </c:numCache>
            </c:numRef>
          </c:val>
          <c:smooth val="0"/>
          <c:extLst>
            <c:ext xmlns:c16="http://schemas.microsoft.com/office/drawing/2014/chart" uri="{C3380CC4-5D6E-409C-BE32-E72D297353CC}">
              <c16:uniqueId val="{00000011-0C0C-49C8-A5DA-A408ECD820AA}"/>
            </c:ext>
          </c:extLst>
        </c:ser>
        <c:ser>
          <c:idx val="4"/>
          <c:order val="4"/>
          <c:tx>
            <c:strRef>
              <c:f>'[20230322_DS 03 - DS2022 - Grafici rating ENG_v1.xlsx]data'!$F$330</c:f>
              <c:strCache>
                <c:ptCount val="1"/>
                <c:pt idx="0">
                  <c:v>5-y CDR</c:v>
                </c:pt>
              </c:strCache>
            </c:strRef>
          </c:tx>
          <c:dLbls>
            <c:dLbl>
              <c:idx val="1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0C0C-49C8-A5DA-A408ECD820AA}"/>
                </c:ext>
              </c:extLst>
            </c:dLbl>
            <c:dLbl>
              <c:idx val="15"/>
              <c:layout>
                <c:manualLayout>
                  <c:x val="-6.184770003865481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0C0C-49C8-A5DA-A408ECD820AA}"/>
                </c:ext>
              </c:extLst>
            </c:dLbl>
            <c:spPr>
              <a:noFill/>
              <a:ln>
                <a:noFill/>
              </a:ln>
              <a:effectLst/>
            </c:spPr>
            <c:txPr>
              <a:bodyPr/>
              <a:lstStyle/>
              <a:p>
                <a:pPr>
                  <a:defRPr b="1"/>
                </a:pPr>
                <a:endParaRPr lang="it-IT"/>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'[20230322_DS 03 - DS2022 - Grafici rating ENG_v1.xlsx]data'!$A$333:$A$348</c:f>
              <c:strCache>
                <c:ptCount val="16"/>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pt idx="15">
                  <c:v>Average</c:v>
                </c:pt>
              </c:strCache>
            </c:strRef>
          </c:cat>
          <c:val>
            <c:numRef>
              <c:f>'[20230322_DS 03 - DS2022 - Grafici rating ENG_v1.xlsx]data'!$F$331:$F$346</c:f>
              <c:numCache>
                <c:formatCode>0.00%</c:formatCode>
                <c:ptCount val="16"/>
                <c:pt idx="0">
                  <c:v>0.15524199999999999</c:v>
                </c:pt>
                <c:pt idx="1">
                  <c:v>0.14082700000000001</c:v>
                </c:pt>
                <c:pt idx="2">
                  <c:v>0.134884</c:v>
                </c:pt>
                <c:pt idx="3">
                  <c:v>0.14729200000000001</c:v>
                </c:pt>
                <c:pt idx="4">
                  <c:v>0.13018299999999999</c:v>
                </c:pt>
                <c:pt idx="5">
                  <c:v>0.114315</c:v>
                </c:pt>
                <c:pt idx="6">
                  <c:v>9.7932500000000006E-2</c:v>
                </c:pt>
                <c:pt idx="7">
                  <c:v>8.0602599999999996E-2</c:v>
                </c:pt>
                <c:pt idx="8">
                  <c:v>5.8649100000000003E-2</c:v>
                </c:pt>
                <c:pt idx="9">
                  <c:v>5.1157000000000001E-2</c:v>
                </c:pt>
                <c:pt idx="10">
                  <c:v>4.5680800000000001E-2</c:v>
                </c:pt>
                <c:pt idx="15">
                  <c:v>0.11963581457192436</c:v>
                </c:pt>
              </c:numCache>
            </c:numRef>
          </c:val>
          <c:smooth val="0"/>
          <c:extLst>
            <c:ext xmlns:c16="http://schemas.microsoft.com/office/drawing/2014/chart" uri="{C3380CC4-5D6E-409C-BE32-E72D297353CC}">
              <c16:uniqueId val="{00000013-0C0C-49C8-A5DA-A408ECD820AA}"/>
            </c:ext>
          </c:extLst>
        </c:ser>
        <c:dLbls>
          <c:showLegendKey val="0"/>
          <c:showVal val="0"/>
          <c:showCatName val="0"/>
          <c:showSerName val="0"/>
          <c:showPercent val="0"/>
          <c:showBubbleSize val="0"/>
        </c:dLbls>
        <c:marker val="1"/>
        <c:smooth val="0"/>
        <c:axId val="255174320"/>
        <c:axId val="255167656"/>
      </c:lineChart>
      <c:catAx>
        <c:axId val="255174320"/>
        <c:scaling>
          <c:orientation val="minMax"/>
        </c:scaling>
        <c:delete val="0"/>
        <c:axPos val="b"/>
        <c:numFmt formatCode="General" sourceLinked="0"/>
        <c:majorTickMark val="out"/>
        <c:minorTickMark val="none"/>
        <c:tickLblPos val="nextTo"/>
        <c:crossAx val="255167656"/>
        <c:crosses val="autoZero"/>
        <c:auto val="1"/>
        <c:lblAlgn val="ctr"/>
        <c:lblOffset val="100"/>
        <c:noMultiLvlLbl val="0"/>
      </c:catAx>
      <c:valAx>
        <c:axId val="255167656"/>
        <c:scaling>
          <c:orientation val="minMax"/>
        </c:scaling>
        <c:delete val="0"/>
        <c:axPos val="l"/>
        <c:numFmt formatCode="0%" sourceLinked="0"/>
        <c:majorTickMark val="out"/>
        <c:minorTickMark val="none"/>
        <c:tickLblPos val="nextTo"/>
        <c:crossAx val="255174320"/>
        <c:crosses val="autoZero"/>
        <c:crossBetween val="between"/>
      </c:valAx>
    </c:plotArea>
    <c:legend>
      <c:legendPos val="b"/>
      <c:overlay val="0"/>
    </c:legend>
    <c:plotVisOnly val="1"/>
    <c:dispBlanksAs val="gap"/>
    <c:showDLblsOverMax val="0"/>
  </c:chart>
  <c:spPr>
    <a:ln>
      <a:noFill/>
    </a:ln>
  </c:spPr>
  <c:txPr>
    <a:bodyPr/>
    <a:lstStyle/>
    <a:p>
      <a:pPr>
        <a:defRPr sz="700">
          <a:latin typeface="Source Sans Pro" panose="020B0503030403020204" pitchFamily="34" charset="0"/>
        </a:defRPr>
      </a:pPr>
      <a:endParaRPr lang="it-IT"/>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sz="700"/>
            </a:pPr>
            <a:r>
              <a:rPr lang="en-US" sz="700"/>
              <a:t>Cumulative default rates by rating category</a:t>
            </a:r>
          </a:p>
        </c:rich>
      </c:tx>
      <c:layout>
        <c:manualLayout>
          <c:xMode val="edge"/>
          <c:yMode val="edge"/>
          <c:x val="0.3722832819457676"/>
          <c:y val="2.4573928258967627E-2"/>
        </c:manualLayout>
      </c:layout>
      <c:overlay val="0"/>
    </c:title>
    <c:autoTitleDeleted val="0"/>
    <c:plotArea>
      <c:layout>
        <c:manualLayout>
          <c:layoutTarget val="inner"/>
          <c:xMode val="edge"/>
          <c:yMode val="edge"/>
          <c:x val="8.4512203659119337E-2"/>
          <c:y val="9.0381296092891888E-2"/>
          <c:w val="0.89422764945259303"/>
          <c:h val="0.7601846372059291"/>
        </c:manualLayout>
      </c:layout>
      <c:lineChart>
        <c:grouping val="standard"/>
        <c:varyColors val="0"/>
        <c:ser>
          <c:idx val="0"/>
          <c:order val="0"/>
          <c:tx>
            <c:strRef>
              <c:f>'[20230322_DS 03 - DS2022 - Grafici rating ENG_v1.xlsx]data'!$A$377</c:f>
              <c:strCache>
                <c:ptCount val="1"/>
                <c:pt idx="0">
                  <c:v>C2.1</c:v>
                </c:pt>
              </c:strCache>
            </c:strRef>
          </c:tx>
          <c:cat>
            <c:strRef>
              <c:f>'[20230322_DS 03 - DS2022 - Grafici rating ENG_v1.xlsx]data'!$B$376:$G$376</c:f>
              <c:strCache>
                <c:ptCount val="6"/>
                <c:pt idx="0">
                  <c:v>0-y</c:v>
                </c:pt>
                <c:pt idx="1">
                  <c:v>1-y</c:v>
                </c:pt>
                <c:pt idx="2">
                  <c:v>2-y</c:v>
                </c:pt>
                <c:pt idx="3">
                  <c:v>3-y</c:v>
                </c:pt>
                <c:pt idx="4">
                  <c:v>4-y</c:v>
                </c:pt>
                <c:pt idx="5">
                  <c:v>5-y</c:v>
                </c:pt>
              </c:strCache>
            </c:strRef>
          </c:cat>
          <c:val>
            <c:numRef>
              <c:f>'[20230322_DS 03 - DS2022 - Grafici rating ENG_v1.xlsx]data'!$B$373:$G$373</c:f>
              <c:numCache>
                <c:formatCode>General</c:formatCode>
                <c:ptCount val="6"/>
              </c:numCache>
            </c:numRef>
          </c:val>
          <c:smooth val="0"/>
          <c:extLst>
            <c:ext xmlns:c16="http://schemas.microsoft.com/office/drawing/2014/chart" uri="{C3380CC4-5D6E-409C-BE32-E72D297353CC}">
              <c16:uniqueId val="{00000000-A0CA-4648-A4D3-28E2B4787B3E}"/>
            </c:ext>
          </c:extLst>
        </c:ser>
        <c:ser>
          <c:idx val="1"/>
          <c:order val="1"/>
          <c:tx>
            <c:strRef>
              <c:f>'[20230322_DS 03 - DS2022 - Grafici rating ENG_v1.xlsx]data'!$A$378</c:f>
              <c:strCache>
                <c:ptCount val="1"/>
                <c:pt idx="0">
                  <c:v>C1.2</c:v>
                </c:pt>
              </c:strCache>
            </c:strRef>
          </c:tx>
          <c:cat>
            <c:strRef>
              <c:f>'[20230322_DS 03 - DS2022 - Grafici rating ENG_v1.xlsx]data'!$B$376:$G$376</c:f>
              <c:strCache>
                <c:ptCount val="6"/>
                <c:pt idx="0">
                  <c:v>0-y</c:v>
                </c:pt>
                <c:pt idx="1">
                  <c:v>1-y</c:v>
                </c:pt>
                <c:pt idx="2">
                  <c:v>2-y</c:v>
                </c:pt>
                <c:pt idx="3">
                  <c:v>3-y</c:v>
                </c:pt>
                <c:pt idx="4">
                  <c:v>4-y</c:v>
                </c:pt>
                <c:pt idx="5">
                  <c:v>5-y</c:v>
                </c:pt>
              </c:strCache>
            </c:strRef>
          </c:cat>
          <c:val>
            <c:numRef>
              <c:f>'[20230322_DS 03 - DS2022 - Grafici rating ENG_v1.xlsx]data'!$B$373:$G$373</c:f>
              <c:numCache>
                <c:formatCode>General</c:formatCode>
                <c:ptCount val="6"/>
              </c:numCache>
            </c:numRef>
          </c:val>
          <c:smooth val="0"/>
          <c:extLst>
            <c:ext xmlns:c16="http://schemas.microsoft.com/office/drawing/2014/chart" uri="{C3380CC4-5D6E-409C-BE32-E72D297353CC}">
              <c16:uniqueId val="{00000001-A0CA-4648-A4D3-28E2B4787B3E}"/>
            </c:ext>
          </c:extLst>
        </c:ser>
        <c:ser>
          <c:idx val="2"/>
          <c:order val="2"/>
          <c:tx>
            <c:strRef>
              <c:f>'[20230322_DS 03 - DS2022 - Grafici rating ENG_v1.xlsx]data'!$A$379</c:f>
              <c:strCache>
                <c:ptCount val="1"/>
                <c:pt idx="0">
                  <c:v>C1.1</c:v>
                </c:pt>
              </c:strCache>
            </c:strRef>
          </c:tx>
          <c:cat>
            <c:strRef>
              <c:f>'[20230322_DS 03 - DS2022 - Grafici rating ENG_v1.xlsx]data'!$B$376:$G$376</c:f>
              <c:strCache>
                <c:ptCount val="6"/>
                <c:pt idx="0">
                  <c:v>0-y</c:v>
                </c:pt>
                <c:pt idx="1">
                  <c:v>1-y</c:v>
                </c:pt>
                <c:pt idx="2">
                  <c:v>2-y</c:v>
                </c:pt>
                <c:pt idx="3">
                  <c:v>3-y</c:v>
                </c:pt>
                <c:pt idx="4">
                  <c:v>4-y</c:v>
                </c:pt>
                <c:pt idx="5">
                  <c:v>5-y</c:v>
                </c:pt>
              </c:strCache>
            </c:strRef>
          </c:cat>
          <c:val>
            <c:numRef>
              <c:f>'[20230322_DS 03 - DS2022 - Grafici rating ENG_v1.xlsx]data'!$B$374:$G$374</c:f>
              <c:numCache>
                <c:formatCode>General</c:formatCode>
                <c:ptCount val="6"/>
              </c:numCache>
            </c:numRef>
          </c:val>
          <c:smooth val="0"/>
          <c:extLst>
            <c:ext xmlns:c16="http://schemas.microsoft.com/office/drawing/2014/chart" uri="{C3380CC4-5D6E-409C-BE32-E72D297353CC}">
              <c16:uniqueId val="{00000002-A0CA-4648-A4D3-28E2B4787B3E}"/>
            </c:ext>
          </c:extLst>
        </c:ser>
        <c:ser>
          <c:idx val="3"/>
          <c:order val="3"/>
          <c:tx>
            <c:strRef>
              <c:f>'[20230322_DS 03 - DS2022 - Grafici rating ENG_v1.xlsx]data'!$A$389</c:f>
              <c:strCache>
                <c:ptCount val="1"/>
                <c:pt idx="0">
                  <c:v>A1.1</c:v>
                </c:pt>
              </c:strCache>
            </c:strRef>
          </c:tx>
          <c:cat>
            <c:strRef>
              <c:f>'[20230322_DS 03 - DS2022 - Grafici rating ENG_v1.xlsx]data'!$B$376:$G$376</c:f>
              <c:strCache>
                <c:ptCount val="6"/>
                <c:pt idx="0">
                  <c:v>0-y</c:v>
                </c:pt>
                <c:pt idx="1">
                  <c:v>1-y</c:v>
                </c:pt>
                <c:pt idx="2">
                  <c:v>2-y</c:v>
                </c:pt>
                <c:pt idx="3">
                  <c:v>3-y</c:v>
                </c:pt>
                <c:pt idx="4">
                  <c:v>4-y</c:v>
                </c:pt>
                <c:pt idx="5">
                  <c:v>5-y</c:v>
                </c:pt>
              </c:strCache>
            </c:strRef>
          </c:cat>
          <c:val>
            <c:numRef>
              <c:f>'[20230322_DS 03 - DS2022 - Grafici rating ENG_v1.xlsx]data'!$B$377:$G$377</c:f>
              <c:numCache>
                <c:formatCode>0.00%</c:formatCode>
                <c:ptCount val="6"/>
                <c:pt idx="0">
                  <c:v>0</c:v>
                </c:pt>
                <c:pt idx="1">
                  <c:v>0.50190699999999999</c:v>
                </c:pt>
                <c:pt idx="2">
                  <c:v>0.58381899999999998</c:v>
                </c:pt>
                <c:pt idx="3">
                  <c:v>0.62871100000000002</c:v>
                </c:pt>
                <c:pt idx="4">
                  <c:v>0.65796200000000005</c:v>
                </c:pt>
                <c:pt idx="5">
                  <c:v>0.68187200000000003</c:v>
                </c:pt>
              </c:numCache>
            </c:numRef>
          </c:val>
          <c:smooth val="0"/>
          <c:extLst>
            <c:ext xmlns:c16="http://schemas.microsoft.com/office/drawing/2014/chart" uri="{C3380CC4-5D6E-409C-BE32-E72D297353CC}">
              <c16:uniqueId val="{00000003-A0CA-4648-A4D3-28E2B4787B3E}"/>
            </c:ext>
          </c:extLst>
        </c:ser>
        <c:ser>
          <c:idx val="4"/>
          <c:order val="4"/>
          <c:tx>
            <c:strRef>
              <c:f>'[20230322_DS 03 - DS2022 - Grafici rating ENG_v1.xlsx]data'!$A$381</c:f>
              <c:strCache>
                <c:ptCount val="1"/>
                <c:pt idx="0">
                  <c:v>B2.1</c:v>
                </c:pt>
              </c:strCache>
            </c:strRef>
          </c:tx>
          <c:cat>
            <c:strRef>
              <c:f>'[20230322_DS 03 - DS2022 - Grafici rating ENG_v1.xlsx]data'!$B$376:$G$376</c:f>
              <c:strCache>
                <c:ptCount val="6"/>
                <c:pt idx="0">
                  <c:v>0-y</c:v>
                </c:pt>
                <c:pt idx="1">
                  <c:v>1-y</c:v>
                </c:pt>
                <c:pt idx="2">
                  <c:v>2-y</c:v>
                </c:pt>
                <c:pt idx="3">
                  <c:v>3-y</c:v>
                </c:pt>
                <c:pt idx="4">
                  <c:v>4-y</c:v>
                </c:pt>
                <c:pt idx="5">
                  <c:v>5-y</c:v>
                </c:pt>
              </c:strCache>
            </c:strRef>
          </c:cat>
          <c:val>
            <c:numRef>
              <c:f>'[20230322_DS 03 - DS2022 - Grafici rating ENG_v1.xlsx]data'!$B$376:$G$376</c:f>
              <c:numCache>
                <c:formatCode>General</c:formatCode>
                <c:ptCount val="6"/>
                <c:pt idx="0">
                  <c:v>0</c:v>
                </c:pt>
                <c:pt idx="1">
                  <c:v>0</c:v>
                </c:pt>
                <c:pt idx="2">
                  <c:v>0</c:v>
                </c:pt>
                <c:pt idx="3">
                  <c:v>0</c:v>
                </c:pt>
                <c:pt idx="4">
                  <c:v>0</c:v>
                </c:pt>
                <c:pt idx="5">
                  <c:v>0</c:v>
                </c:pt>
              </c:numCache>
            </c:numRef>
          </c:val>
          <c:smooth val="0"/>
          <c:extLst>
            <c:ext xmlns:c16="http://schemas.microsoft.com/office/drawing/2014/chart" uri="{C3380CC4-5D6E-409C-BE32-E72D297353CC}">
              <c16:uniqueId val="{00000004-A0CA-4648-A4D3-28E2B4787B3E}"/>
            </c:ext>
          </c:extLst>
        </c:ser>
        <c:ser>
          <c:idx val="5"/>
          <c:order val="5"/>
          <c:tx>
            <c:strRef>
              <c:f>'[20230322_DS 03 - DS2022 - Grafici rating ENG_v1.xlsx]data'!$A$382</c:f>
              <c:strCache>
                <c:ptCount val="1"/>
                <c:pt idx="0">
                  <c:v>B1.2</c:v>
                </c:pt>
              </c:strCache>
            </c:strRef>
          </c:tx>
          <c:cat>
            <c:strRef>
              <c:f>'[20230322_DS 03 - DS2022 - Grafici rating ENG_v1.xlsx]data'!$B$376:$G$376</c:f>
              <c:strCache>
                <c:ptCount val="6"/>
                <c:pt idx="0">
                  <c:v>0-y</c:v>
                </c:pt>
                <c:pt idx="1">
                  <c:v>1-y</c:v>
                </c:pt>
                <c:pt idx="2">
                  <c:v>2-y</c:v>
                </c:pt>
                <c:pt idx="3">
                  <c:v>3-y</c:v>
                </c:pt>
                <c:pt idx="4">
                  <c:v>4-y</c:v>
                </c:pt>
                <c:pt idx="5">
                  <c:v>5-y</c:v>
                </c:pt>
              </c:strCache>
            </c:strRef>
          </c:cat>
          <c:val>
            <c:numRef>
              <c:f>'[20230322_DS 03 - DS2022 - Grafici rating ENG_v1.xlsx]data'!$B$382:$G$382</c:f>
              <c:numCache>
                <c:formatCode>0.00%</c:formatCode>
                <c:ptCount val="6"/>
                <c:pt idx="0">
                  <c:v>0</c:v>
                </c:pt>
                <c:pt idx="1">
                  <c:v>5.56362E-3</c:v>
                </c:pt>
                <c:pt idx="2">
                  <c:v>1.4623300000000001E-2</c:v>
                </c:pt>
                <c:pt idx="3">
                  <c:v>2.5851699999999998E-2</c:v>
                </c:pt>
                <c:pt idx="4">
                  <c:v>3.9498900000000003E-2</c:v>
                </c:pt>
                <c:pt idx="5">
                  <c:v>5.4552999999999997E-2</c:v>
                </c:pt>
              </c:numCache>
            </c:numRef>
          </c:val>
          <c:smooth val="0"/>
          <c:extLst>
            <c:ext xmlns:c16="http://schemas.microsoft.com/office/drawing/2014/chart" uri="{C3380CC4-5D6E-409C-BE32-E72D297353CC}">
              <c16:uniqueId val="{00000005-A0CA-4648-A4D3-28E2B4787B3E}"/>
            </c:ext>
          </c:extLst>
        </c:ser>
        <c:ser>
          <c:idx val="6"/>
          <c:order val="6"/>
          <c:tx>
            <c:strRef>
              <c:f>'[20230322_DS 03 - DS2022 - Grafici rating ENG_v1.xlsx]data'!$A$383</c:f>
              <c:strCache>
                <c:ptCount val="1"/>
                <c:pt idx="0">
                  <c:v>B1.1</c:v>
                </c:pt>
              </c:strCache>
            </c:strRef>
          </c:tx>
          <c:cat>
            <c:strRef>
              <c:f>'[20230322_DS 03 - DS2022 - Grafici rating ENG_v1.xlsx]data'!$B$376:$G$376</c:f>
              <c:strCache>
                <c:ptCount val="6"/>
                <c:pt idx="0">
                  <c:v>0-y</c:v>
                </c:pt>
                <c:pt idx="1">
                  <c:v>1-y</c:v>
                </c:pt>
                <c:pt idx="2">
                  <c:v>2-y</c:v>
                </c:pt>
                <c:pt idx="3">
                  <c:v>3-y</c:v>
                </c:pt>
                <c:pt idx="4">
                  <c:v>4-y</c:v>
                </c:pt>
                <c:pt idx="5">
                  <c:v>5-y</c:v>
                </c:pt>
              </c:strCache>
            </c:strRef>
          </c:cat>
          <c:val>
            <c:numRef>
              <c:f>'[20230322_DS 03 - DS2022 - Grafici rating ENG_v1.xlsx]data'!$B$378:$G$378</c:f>
              <c:numCache>
                <c:formatCode>0.00%</c:formatCode>
                <c:ptCount val="6"/>
                <c:pt idx="0">
                  <c:v>0</c:v>
                </c:pt>
                <c:pt idx="1">
                  <c:v>0.13739699999999999</c:v>
                </c:pt>
                <c:pt idx="2">
                  <c:v>0.219667</c:v>
                </c:pt>
                <c:pt idx="3">
                  <c:v>0.28722199999999998</c:v>
                </c:pt>
                <c:pt idx="4">
                  <c:v>0.34018399999999999</c:v>
                </c:pt>
                <c:pt idx="5">
                  <c:v>0.38558100000000001</c:v>
                </c:pt>
              </c:numCache>
            </c:numRef>
          </c:val>
          <c:smooth val="0"/>
          <c:extLst>
            <c:ext xmlns:c16="http://schemas.microsoft.com/office/drawing/2014/chart" uri="{C3380CC4-5D6E-409C-BE32-E72D297353CC}">
              <c16:uniqueId val="{00000006-A0CA-4648-A4D3-28E2B4787B3E}"/>
            </c:ext>
          </c:extLst>
        </c:ser>
        <c:ser>
          <c:idx val="7"/>
          <c:order val="7"/>
          <c:tx>
            <c:strRef>
              <c:f>'[20230322_DS 03 - DS2022 - Grafici rating ENG_v1.xlsx]data'!$A$384</c:f>
              <c:strCache>
                <c:ptCount val="1"/>
                <c:pt idx="0">
                  <c:v>A3.1</c:v>
                </c:pt>
              </c:strCache>
            </c:strRef>
          </c:tx>
          <c:cat>
            <c:strRef>
              <c:f>'[20230322_DS 03 - DS2022 - Grafici rating ENG_v1.xlsx]data'!$B$376:$G$376</c:f>
              <c:strCache>
                <c:ptCount val="6"/>
                <c:pt idx="0">
                  <c:v>0-y</c:v>
                </c:pt>
                <c:pt idx="1">
                  <c:v>1-y</c:v>
                </c:pt>
                <c:pt idx="2">
                  <c:v>2-y</c:v>
                </c:pt>
                <c:pt idx="3">
                  <c:v>3-y</c:v>
                </c:pt>
                <c:pt idx="4">
                  <c:v>4-y</c:v>
                </c:pt>
                <c:pt idx="5">
                  <c:v>5-y</c:v>
                </c:pt>
              </c:strCache>
            </c:strRef>
          </c:cat>
          <c:val>
            <c:numRef>
              <c:f>'[20230322_DS 03 - DS2022 - Grafici rating ENG_v1.xlsx]data'!$B$379:$G$379</c:f>
              <c:numCache>
                <c:formatCode>0.00%</c:formatCode>
                <c:ptCount val="6"/>
                <c:pt idx="0">
                  <c:v>0</c:v>
                </c:pt>
                <c:pt idx="1">
                  <c:v>6.0179799999999999E-2</c:v>
                </c:pt>
                <c:pt idx="2">
                  <c:v>0.117589</c:v>
                </c:pt>
                <c:pt idx="3">
                  <c:v>0.17150399999999999</c:v>
                </c:pt>
                <c:pt idx="4">
                  <c:v>0.22265799999999999</c:v>
                </c:pt>
                <c:pt idx="5">
                  <c:v>0.26402399999999998</c:v>
                </c:pt>
              </c:numCache>
            </c:numRef>
          </c:val>
          <c:smooth val="0"/>
          <c:extLst>
            <c:ext xmlns:c16="http://schemas.microsoft.com/office/drawing/2014/chart" uri="{C3380CC4-5D6E-409C-BE32-E72D297353CC}">
              <c16:uniqueId val="{00000007-A0CA-4648-A4D3-28E2B4787B3E}"/>
            </c:ext>
          </c:extLst>
        </c:ser>
        <c:ser>
          <c:idx val="8"/>
          <c:order val="8"/>
          <c:tx>
            <c:strRef>
              <c:f>'[20230322_DS 03 - DS2022 - Grafici rating ENG_v1.xlsx]data'!$A$385</c:f>
              <c:strCache>
                <c:ptCount val="1"/>
                <c:pt idx="0">
                  <c:v>A2.2</c:v>
                </c:pt>
              </c:strCache>
            </c:strRef>
          </c:tx>
          <c:cat>
            <c:strRef>
              <c:f>'[20230322_DS 03 - DS2022 - Grafici rating ENG_v1.xlsx]data'!$B$376:$G$376</c:f>
              <c:strCache>
                <c:ptCount val="6"/>
                <c:pt idx="0">
                  <c:v>0-y</c:v>
                </c:pt>
                <c:pt idx="1">
                  <c:v>1-y</c:v>
                </c:pt>
                <c:pt idx="2">
                  <c:v>2-y</c:v>
                </c:pt>
                <c:pt idx="3">
                  <c:v>3-y</c:v>
                </c:pt>
                <c:pt idx="4">
                  <c:v>4-y</c:v>
                </c:pt>
                <c:pt idx="5">
                  <c:v>5-y</c:v>
                </c:pt>
              </c:strCache>
            </c:strRef>
          </c:cat>
          <c:val>
            <c:numRef>
              <c:f>'[20230322_DS 03 - DS2022 - Grafici rating ENG_v1.xlsx]data'!$B$380:$G$380</c:f>
              <c:numCache>
                <c:formatCode>0.00%</c:formatCode>
                <c:ptCount val="6"/>
                <c:pt idx="0">
                  <c:v>0</c:v>
                </c:pt>
                <c:pt idx="1">
                  <c:v>2.72874E-2</c:v>
                </c:pt>
                <c:pt idx="2">
                  <c:v>6.0419500000000001E-2</c:v>
                </c:pt>
                <c:pt idx="3">
                  <c:v>9.6119300000000005E-2</c:v>
                </c:pt>
                <c:pt idx="4">
                  <c:v>0.134632</c:v>
                </c:pt>
                <c:pt idx="5">
                  <c:v>0.16799700000000001</c:v>
                </c:pt>
              </c:numCache>
            </c:numRef>
          </c:val>
          <c:smooth val="0"/>
          <c:extLst>
            <c:ext xmlns:c16="http://schemas.microsoft.com/office/drawing/2014/chart" uri="{C3380CC4-5D6E-409C-BE32-E72D297353CC}">
              <c16:uniqueId val="{00000008-A0CA-4648-A4D3-28E2B4787B3E}"/>
            </c:ext>
          </c:extLst>
        </c:ser>
        <c:ser>
          <c:idx val="9"/>
          <c:order val="9"/>
          <c:tx>
            <c:strRef>
              <c:f>'[20230322_DS 03 - DS2022 - Grafici rating ENG_v1.xlsx]data'!$A$386</c:f>
              <c:strCache>
                <c:ptCount val="1"/>
                <c:pt idx="0">
                  <c:v>A2.1</c:v>
                </c:pt>
              </c:strCache>
            </c:strRef>
          </c:tx>
          <c:cat>
            <c:strRef>
              <c:f>'[20230322_DS 03 - DS2022 - Grafici rating ENG_v1.xlsx]data'!$B$376:$G$376</c:f>
              <c:strCache>
                <c:ptCount val="6"/>
                <c:pt idx="0">
                  <c:v>0-y</c:v>
                </c:pt>
                <c:pt idx="1">
                  <c:v>1-y</c:v>
                </c:pt>
                <c:pt idx="2">
                  <c:v>2-y</c:v>
                </c:pt>
                <c:pt idx="3">
                  <c:v>3-y</c:v>
                </c:pt>
                <c:pt idx="4">
                  <c:v>4-y</c:v>
                </c:pt>
                <c:pt idx="5">
                  <c:v>5-y</c:v>
                </c:pt>
              </c:strCache>
            </c:strRef>
          </c:cat>
          <c:val>
            <c:numRef>
              <c:f>'[20230322_DS 03 - DS2022 - Grafici rating ENG_v1.xlsx]data'!$B$381:$G$381</c:f>
              <c:numCache>
                <c:formatCode>0.00%</c:formatCode>
                <c:ptCount val="6"/>
                <c:pt idx="0">
                  <c:v>0</c:v>
                </c:pt>
                <c:pt idx="1">
                  <c:v>1.2545600000000001E-2</c:v>
                </c:pt>
                <c:pt idx="2">
                  <c:v>3.1389199999999999E-2</c:v>
                </c:pt>
                <c:pt idx="3">
                  <c:v>5.1940600000000003E-2</c:v>
                </c:pt>
                <c:pt idx="4">
                  <c:v>7.6823199999999994E-2</c:v>
                </c:pt>
                <c:pt idx="5">
                  <c:v>0.101871</c:v>
                </c:pt>
              </c:numCache>
            </c:numRef>
          </c:val>
          <c:smooth val="0"/>
          <c:extLst>
            <c:ext xmlns:c16="http://schemas.microsoft.com/office/drawing/2014/chart" uri="{C3380CC4-5D6E-409C-BE32-E72D297353CC}">
              <c16:uniqueId val="{00000009-A0CA-4648-A4D3-28E2B4787B3E}"/>
            </c:ext>
          </c:extLst>
        </c:ser>
        <c:ser>
          <c:idx val="10"/>
          <c:order val="10"/>
          <c:tx>
            <c:strRef>
              <c:f>'[20230322_DS 03 - DS2022 - Grafici rating ENG_v1.xlsx]data'!$A$387</c:f>
              <c:strCache>
                <c:ptCount val="1"/>
                <c:pt idx="0">
                  <c:v>A1.3</c:v>
                </c:pt>
              </c:strCache>
            </c:strRef>
          </c:tx>
          <c:cat>
            <c:strRef>
              <c:f>'[20230322_DS 03 - DS2022 - Grafici rating ENG_v1.xlsx]data'!$B$376:$G$376</c:f>
              <c:strCache>
                <c:ptCount val="6"/>
                <c:pt idx="0">
                  <c:v>0-y</c:v>
                </c:pt>
                <c:pt idx="1">
                  <c:v>1-y</c:v>
                </c:pt>
                <c:pt idx="2">
                  <c:v>2-y</c:v>
                </c:pt>
                <c:pt idx="3">
                  <c:v>3-y</c:v>
                </c:pt>
                <c:pt idx="4">
                  <c:v>4-y</c:v>
                </c:pt>
                <c:pt idx="5">
                  <c:v>5-y</c:v>
                </c:pt>
              </c:strCache>
            </c:strRef>
          </c:cat>
          <c:val>
            <c:numRef>
              <c:f>'[20230322_DS 03 - DS2022 - Grafici rating ENG_v1.xlsx]data'!$B$382:$G$382</c:f>
              <c:numCache>
                <c:formatCode>0.00%</c:formatCode>
                <c:ptCount val="6"/>
                <c:pt idx="0">
                  <c:v>0</c:v>
                </c:pt>
                <c:pt idx="1">
                  <c:v>5.56362E-3</c:v>
                </c:pt>
                <c:pt idx="2">
                  <c:v>1.4623300000000001E-2</c:v>
                </c:pt>
                <c:pt idx="3">
                  <c:v>2.5851699999999998E-2</c:v>
                </c:pt>
                <c:pt idx="4">
                  <c:v>3.9498900000000003E-2</c:v>
                </c:pt>
                <c:pt idx="5">
                  <c:v>5.4552999999999997E-2</c:v>
                </c:pt>
              </c:numCache>
            </c:numRef>
          </c:val>
          <c:smooth val="0"/>
          <c:extLst>
            <c:ext xmlns:c16="http://schemas.microsoft.com/office/drawing/2014/chart" uri="{C3380CC4-5D6E-409C-BE32-E72D297353CC}">
              <c16:uniqueId val="{0000000A-A0CA-4648-A4D3-28E2B4787B3E}"/>
            </c:ext>
          </c:extLst>
        </c:ser>
        <c:ser>
          <c:idx val="11"/>
          <c:order val="11"/>
          <c:tx>
            <c:strRef>
              <c:f>'[20230322_DS 03 - DS2022 - Grafici rating ENG_v1.xlsx]data'!$A$388</c:f>
              <c:strCache>
                <c:ptCount val="1"/>
                <c:pt idx="0">
                  <c:v>A1.2</c:v>
                </c:pt>
              </c:strCache>
            </c:strRef>
          </c:tx>
          <c:cat>
            <c:strRef>
              <c:f>'[20230322_DS 03 - DS2022 - Grafici rating ENG_v1.xlsx]data'!$B$376:$G$376</c:f>
              <c:strCache>
                <c:ptCount val="6"/>
                <c:pt idx="0">
                  <c:v>0-y</c:v>
                </c:pt>
                <c:pt idx="1">
                  <c:v>1-y</c:v>
                </c:pt>
                <c:pt idx="2">
                  <c:v>2-y</c:v>
                </c:pt>
                <c:pt idx="3">
                  <c:v>3-y</c:v>
                </c:pt>
                <c:pt idx="4">
                  <c:v>4-y</c:v>
                </c:pt>
                <c:pt idx="5">
                  <c:v>5-y</c:v>
                </c:pt>
              </c:strCache>
            </c:strRef>
          </c:cat>
          <c:val>
            <c:numRef>
              <c:f>'[20230322_DS 03 - DS2022 - Grafici rating ENG_v1.xlsx]data'!$B$383:$G$383</c:f>
              <c:numCache>
                <c:formatCode>0.00%</c:formatCode>
                <c:ptCount val="6"/>
                <c:pt idx="0">
                  <c:v>0</c:v>
                </c:pt>
                <c:pt idx="1">
                  <c:v>2.2812100000000001E-3</c:v>
                </c:pt>
                <c:pt idx="2">
                  <c:v>6.5498199999999996E-3</c:v>
                </c:pt>
                <c:pt idx="3">
                  <c:v>1.26981E-2</c:v>
                </c:pt>
                <c:pt idx="4">
                  <c:v>2.0379100000000001E-2</c:v>
                </c:pt>
                <c:pt idx="5">
                  <c:v>2.9236499999999999E-2</c:v>
                </c:pt>
              </c:numCache>
            </c:numRef>
          </c:val>
          <c:smooth val="0"/>
          <c:extLst>
            <c:ext xmlns:c16="http://schemas.microsoft.com/office/drawing/2014/chart" uri="{C3380CC4-5D6E-409C-BE32-E72D297353CC}">
              <c16:uniqueId val="{0000000B-A0CA-4648-A4D3-28E2B4787B3E}"/>
            </c:ext>
          </c:extLst>
        </c:ser>
        <c:ser>
          <c:idx val="12"/>
          <c:order val="12"/>
          <c:tx>
            <c:strRef>
              <c:f>'[20230322_DS 03 - DS2022 - Grafici rating ENG_v1.xlsx]data'!$A$389</c:f>
              <c:strCache>
                <c:ptCount val="1"/>
                <c:pt idx="0">
                  <c:v>A1.1</c:v>
                </c:pt>
              </c:strCache>
            </c:strRef>
          </c:tx>
          <c:cat>
            <c:strRef>
              <c:f>'[20230322_DS 03 - DS2022 - Grafici rating ENG_v1.xlsx]data'!$B$376:$G$376</c:f>
              <c:strCache>
                <c:ptCount val="6"/>
                <c:pt idx="0">
                  <c:v>0-y</c:v>
                </c:pt>
                <c:pt idx="1">
                  <c:v>1-y</c:v>
                </c:pt>
                <c:pt idx="2">
                  <c:v>2-y</c:v>
                </c:pt>
                <c:pt idx="3">
                  <c:v>3-y</c:v>
                </c:pt>
                <c:pt idx="4">
                  <c:v>4-y</c:v>
                </c:pt>
                <c:pt idx="5">
                  <c:v>5-y</c:v>
                </c:pt>
              </c:strCache>
            </c:strRef>
          </c:cat>
          <c:val>
            <c:numRef>
              <c:f>'[20230322_DS 03 - DS2022 - Grafici rating ENG_v1.xlsx]data'!$B$384:$G$384</c:f>
              <c:numCache>
                <c:formatCode>0.00%</c:formatCode>
                <c:ptCount val="6"/>
                <c:pt idx="0">
                  <c:v>0</c:v>
                </c:pt>
                <c:pt idx="1">
                  <c:v>8.7896999999999997E-4</c:v>
                </c:pt>
                <c:pt idx="2">
                  <c:v>2.3735599999999998E-3</c:v>
                </c:pt>
                <c:pt idx="3">
                  <c:v>5.0249099999999996E-3</c:v>
                </c:pt>
                <c:pt idx="4">
                  <c:v>8.8048099999999997E-3</c:v>
                </c:pt>
                <c:pt idx="5">
                  <c:v>1.39659E-2</c:v>
                </c:pt>
              </c:numCache>
            </c:numRef>
          </c:val>
          <c:smooth val="0"/>
          <c:extLst>
            <c:ext xmlns:c16="http://schemas.microsoft.com/office/drawing/2014/chart" uri="{C3380CC4-5D6E-409C-BE32-E72D297353CC}">
              <c16:uniqueId val="{0000000C-A0CA-4648-A4D3-28E2B4787B3E}"/>
            </c:ext>
          </c:extLst>
        </c:ser>
        <c:dLbls>
          <c:showLegendKey val="0"/>
          <c:showVal val="0"/>
          <c:showCatName val="0"/>
          <c:showSerName val="0"/>
          <c:showPercent val="0"/>
          <c:showBubbleSize val="0"/>
        </c:dLbls>
        <c:marker val="1"/>
        <c:smooth val="0"/>
        <c:axId val="255169616"/>
        <c:axId val="255166088"/>
      </c:lineChart>
      <c:catAx>
        <c:axId val="255169616"/>
        <c:scaling>
          <c:orientation val="minMax"/>
        </c:scaling>
        <c:delete val="0"/>
        <c:axPos val="b"/>
        <c:title>
          <c:tx>
            <c:rich>
              <a:bodyPr/>
              <a:lstStyle/>
              <a:p>
                <a:pPr>
                  <a:defRPr/>
                </a:pPr>
                <a:r>
                  <a:rPr lang="en-US"/>
                  <a:t>Time horizon in years </a:t>
                </a:r>
              </a:p>
            </c:rich>
          </c:tx>
          <c:overlay val="0"/>
        </c:title>
        <c:numFmt formatCode="General" sourceLinked="0"/>
        <c:majorTickMark val="out"/>
        <c:minorTickMark val="none"/>
        <c:tickLblPos val="nextTo"/>
        <c:crossAx val="255166088"/>
        <c:crosses val="autoZero"/>
        <c:auto val="1"/>
        <c:lblAlgn val="ctr"/>
        <c:lblOffset val="100"/>
        <c:noMultiLvlLbl val="0"/>
      </c:catAx>
      <c:valAx>
        <c:axId val="255166088"/>
        <c:scaling>
          <c:orientation val="minMax"/>
        </c:scaling>
        <c:delete val="0"/>
        <c:axPos val="l"/>
        <c:title>
          <c:tx>
            <c:rich>
              <a:bodyPr rot="-5400000" vert="horz"/>
              <a:lstStyle/>
              <a:p>
                <a:pPr>
                  <a:defRPr/>
                </a:pPr>
                <a:r>
                  <a:rPr lang="en-US"/>
                  <a:t>% Cumulative Default Rate</a:t>
                </a:r>
              </a:p>
            </c:rich>
          </c:tx>
          <c:overlay val="0"/>
        </c:title>
        <c:numFmt formatCode="0%" sourceLinked="0"/>
        <c:majorTickMark val="out"/>
        <c:minorTickMark val="none"/>
        <c:tickLblPos val="nextTo"/>
        <c:crossAx val="255169616"/>
        <c:crosses val="autoZero"/>
        <c:crossBetween val="between"/>
      </c:valAx>
      <c:spPr>
        <a:noFill/>
        <a:ln w="25400">
          <a:noFill/>
        </a:ln>
      </c:spPr>
    </c:plotArea>
    <c:legend>
      <c:legendPos val="b"/>
      <c:layout>
        <c:manualLayout>
          <c:xMode val="edge"/>
          <c:yMode val="edge"/>
          <c:x val="1.6035659825475036E-3"/>
          <c:y val="0.89948463108778065"/>
          <c:w val="0.99679271585060369"/>
          <c:h val="8.2737591134441527E-2"/>
        </c:manualLayout>
      </c:layout>
      <c:overlay val="0"/>
    </c:legend>
    <c:plotVisOnly val="1"/>
    <c:dispBlanksAs val="gap"/>
    <c:showDLblsOverMax val="0"/>
  </c:chart>
  <c:spPr>
    <a:ln>
      <a:noFill/>
    </a:ln>
  </c:spPr>
  <c:txPr>
    <a:bodyPr/>
    <a:lstStyle/>
    <a:p>
      <a:pPr>
        <a:defRPr sz="700">
          <a:latin typeface="Source Sans Pro" panose="020B0503030403020204" pitchFamily="34" charset="0"/>
          <a:ea typeface="Source Sans Pro" panose="020B0503030403020204" pitchFamily="34" charset="0"/>
        </a:defRPr>
      </a:pPr>
      <a:endParaRPr lang="it-IT"/>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sz="700"/>
            </a:pPr>
            <a:r>
              <a:rPr lang="it-IT" sz="700"/>
              <a:t>Average accuracy ratio by time horizon</a:t>
            </a:r>
          </a:p>
          <a:p>
            <a:pPr>
              <a:defRPr sz="700"/>
            </a:pPr>
            <a:r>
              <a:rPr lang="it-IT" sz="700" b="0"/>
              <a:t>From 1y to 5y , default period from 2009 to 2023</a:t>
            </a:r>
          </a:p>
        </c:rich>
      </c:tx>
      <c:overlay val="0"/>
    </c:title>
    <c:autoTitleDeleted val="0"/>
    <c:plotArea>
      <c:layout/>
      <c:barChart>
        <c:barDir val="col"/>
        <c:grouping val="clustered"/>
        <c:varyColors val="0"/>
        <c:ser>
          <c:idx val="0"/>
          <c:order val="0"/>
          <c:tx>
            <c:v>Accuracy ratio</c:v>
          </c:tx>
          <c:invertIfNegative val="0"/>
          <c:dLbls>
            <c:dLbl>
              <c:idx val="4"/>
              <c:tx>
                <c:rich>
                  <a:bodyPr/>
                  <a:lstStyle/>
                  <a:p>
                    <a:r>
                      <a:rPr lang="en-US"/>
                      <a:t>58.12%</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2D4-44A0-A0D1-5BA987E06BE7}"/>
                </c:ext>
              </c:extLst>
            </c:dLbl>
            <c:numFmt formatCode="0.00%" sourceLinked="0"/>
            <c:spPr>
              <a:noFill/>
              <a:ln>
                <a:noFill/>
              </a:ln>
              <a:effectLst/>
            </c:spPr>
            <c:txPr>
              <a:bodyPr/>
              <a:lstStyle/>
              <a:p>
                <a:pPr>
                  <a:defRPr b="1">
                    <a:solidFill>
                      <a:schemeClr val="bg1"/>
                    </a:solidFill>
                  </a:defRPr>
                </a:pPr>
                <a:endParaRPr lang="it-I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data!$B$695:$F$695</c:f>
              <c:strCache>
                <c:ptCount val="5"/>
                <c:pt idx="0">
                  <c:v>1-y Accuracy</c:v>
                </c:pt>
                <c:pt idx="1">
                  <c:v>2-y Accuracy</c:v>
                </c:pt>
                <c:pt idx="2">
                  <c:v>3-y Accuracy</c:v>
                </c:pt>
                <c:pt idx="3">
                  <c:v>4-y Accuracy</c:v>
                </c:pt>
                <c:pt idx="4">
                  <c:v>5-y Accuracy</c:v>
                </c:pt>
              </c:strCache>
            </c:strRef>
          </c:cat>
          <c:val>
            <c:numRef>
              <c:f>data!$B$696:$F$696</c:f>
              <c:numCache>
                <c:formatCode>0.000</c:formatCode>
                <c:ptCount val="5"/>
                <c:pt idx="0">
                  <c:v>0.78095000000000003</c:v>
                </c:pt>
                <c:pt idx="1">
                  <c:v>0.70462000000000002</c:v>
                </c:pt>
                <c:pt idx="2">
                  <c:v>0.65629000000000004</c:v>
                </c:pt>
                <c:pt idx="3">
                  <c:v>0.61667000000000005</c:v>
                </c:pt>
                <c:pt idx="4">
                  <c:v>0.58852000000000004</c:v>
                </c:pt>
              </c:numCache>
            </c:numRef>
          </c:val>
          <c:extLst>
            <c:ext xmlns:c16="http://schemas.microsoft.com/office/drawing/2014/chart" uri="{C3380CC4-5D6E-409C-BE32-E72D297353CC}">
              <c16:uniqueId val="{00000000-D085-4CA3-AB72-A9C54CEC347B}"/>
            </c:ext>
          </c:extLst>
        </c:ser>
        <c:dLbls>
          <c:showLegendKey val="0"/>
          <c:showVal val="0"/>
          <c:showCatName val="0"/>
          <c:showSerName val="0"/>
          <c:showPercent val="0"/>
          <c:showBubbleSize val="0"/>
        </c:dLbls>
        <c:gapWidth val="50"/>
        <c:axId val="255169224"/>
        <c:axId val="255171968"/>
      </c:barChart>
      <c:catAx>
        <c:axId val="255169224"/>
        <c:scaling>
          <c:orientation val="minMax"/>
        </c:scaling>
        <c:delete val="0"/>
        <c:axPos val="b"/>
        <c:numFmt formatCode="General" sourceLinked="0"/>
        <c:majorTickMark val="out"/>
        <c:minorTickMark val="none"/>
        <c:tickLblPos val="nextTo"/>
        <c:crossAx val="255171968"/>
        <c:crosses val="autoZero"/>
        <c:auto val="1"/>
        <c:lblAlgn val="ctr"/>
        <c:lblOffset val="100"/>
        <c:noMultiLvlLbl val="0"/>
      </c:catAx>
      <c:valAx>
        <c:axId val="255171968"/>
        <c:scaling>
          <c:orientation val="minMax"/>
        </c:scaling>
        <c:delete val="1"/>
        <c:axPos val="l"/>
        <c:title>
          <c:tx>
            <c:rich>
              <a:bodyPr rot="-5400000" vert="horz"/>
              <a:lstStyle/>
              <a:p>
                <a:pPr>
                  <a:defRPr/>
                </a:pPr>
                <a:r>
                  <a:rPr lang="en-US"/>
                  <a:t>Accuracy  Ratio (%)</a:t>
                </a:r>
              </a:p>
            </c:rich>
          </c:tx>
          <c:overlay val="0"/>
        </c:title>
        <c:numFmt formatCode="0%" sourceLinked="0"/>
        <c:majorTickMark val="out"/>
        <c:minorTickMark val="none"/>
        <c:tickLblPos val="nextTo"/>
        <c:crossAx val="255169224"/>
        <c:crosses val="autoZero"/>
        <c:crossBetween val="between"/>
      </c:valAx>
    </c:plotArea>
    <c:plotVisOnly val="1"/>
    <c:dispBlanksAs val="gap"/>
    <c:showDLblsOverMax val="0"/>
  </c:chart>
  <c:spPr>
    <a:ln>
      <a:noFill/>
    </a:ln>
  </c:spPr>
  <c:txPr>
    <a:bodyPr/>
    <a:lstStyle/>
    <a:p>
      <a:pPr>
        <a:defRPr sz="700">
          <a:latin typeface="Source Sans Pro" panose="020B0503030403020204" pitchFamily="34" charset="0"/>
          <a:cs typeface="Segoe UI" panose="020B0502040204020203" pitchFamily="34" charset="0"/>
        </a:defRPr>
      </a:pPr>
      <a:endParaRPr lang="it-IT"/>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a:solidFill>
                  <a:schemeClr val="tx2"/>
                </a:solidFill>
              </a:defRPr>
            </a:pPr>
            <a:r>
              <a:rPr lang="en-US" sz="700">
                <a:solidFill>
                  <a:schemeClr val="tx2"/>
                </a:solidFill>
              </a:rPr>
              <a:t>Comparing 1, 3, 5 year performance</a:t>
            </a:r>
          </a:p>
          <a:p>
            <a:pPr algn="ctr" rtl="0">
              <a:defRPr>
                <a:solidFill>
                  <a:schemeClr val="tx2"/>
                </a:solidFill>
              </a:defRPr>
            </a:pPr>
            <a:r>
              <a:rPr lang="en-US" sz="700" b="0">
                <a:solidFill>
                  <a:schemeClr val="tx2"/>
                </a:solidFill>
              </a:rPr>
              <a:t>% cumulative proportion of rated in static pool</a:t>
            </a:r>
          </a:p>
        </c:rich>
      </c:tx>
      <c:overlay val="0"/>
    </c:title>
    <c:autoTitleDeleted val="0"/>
    <c:plotArea>
      <c:layout/>
      <c:scatterChart>
        <c:scatterStyle val="lineMarker"/>
        <c:varyColors val="0"/>
        <c:ser>
          <c:idx val="4"/>
          <c:order val="0"/>
          <c:tx>
            <c:strRef>
              <c:f>'[Excel per calcolo AR.xlsx]ALL-ACCURACY GRAFICI XL (v2024)'!$F$40</c:f>
              <c:strCache>
                <c:ptCount val="1"/>
                <c:pt idx="0">
                  <c:v>Rating model (1-y)</c:v>
                </c:pt>
              </c:strCache>
            </c:strRef>
          </c:tx>
          <c:marker>
            <c:symbol val="circle"/>
            <c:size val="8"/>
          </c:marker>
          <c:xVal>
            <c:numRef>
              <c:f>'[Excel per calcolo AR.xlsx]ALL-ACCURACY GRAFICI XL (v2024)'!$G$39:$T$39</c:f>
              <c:numCache>
                <c:formatCode>0.00%</c:formatCode>
                <c:ptCount val="14"/>
                <c:pt idx="0">
                  <c:v>0</c:v>
                </c:pt>
                <c:pt idx="1">
                  <c:v>2.6709937923357043E-2</c:v>
                </c:pt>
                <c:pt idx="2">
                  <c:v>6.1316251250023587E-2</c:v>
                </c:pt>
                <c:pt idx="3">
                  <c:v>0.15158210532274194</c:v>
                </c:pt>
                <c:pt idx="4">
                  <c:v>0.27438630917564483</c:v>
                </c:pt>
                <c:pt idx="5">
                  <c:v>0.50404347251834936</c:v>
                </c:pt>
                <c:pt idx="6">
                  <c:v>0.70040378120341895</c:v>
                </c:pt>
                <c:pt idx="7">
                  <c:v>0.85921055114247435</c:v>
                </c:pt>
                <c:pt idx="8">
                  <c:v>0.95580860016226721</c:v>
                </c:pt>
                <c:pt idx="9">
                  <c:v>0.98904130266608803</c:v>
                </c:pt>
                <c:pt idx="10">
                  <c:v>0.99639427159003002</c:v>
                </c:pt>
                <c:pt idx="11">
                  <c:v>0.99891696069737168</c:v>
                </c:pt>
                <c:pt idx="12">
                  <c:v>0.99984339327157123</c:v>
                </c:pt>
                <c:pt idx="13">
                  <c:v>1</c:v>
                </c:pt>
              </c:numCache>
            </c:numRef>
          </c:xVal>
          <c:yVal>
            <c:numRef>
              <c:f>'[Excel per calcolo AR.xlsx]ALL-ACCURACY GRAFICI XL (v2024)'!$G$40:$T$40</c:f>
              <c:numCache>
                <c:formatCode>0.00%</c:formatCode>
                <c:ptCount val="14"/>
                <c:pt idx="0">
                  <c:v>0</c:v>
                </c:pt>
                <c:pt idx="1">
                  <c:v>0.4273941289701636</c:v>
                </c:pt>
                <c:pt idx="2">
                  <c:v>0.57898219441770937</c:v>
                </c:pt>
                <c:pt idx="3">
                  <c:v>0.75216554379210787</c:v>
                </c:pt>
                <c:pt idx="4">
                  <c:v>0.85899903753609252</c:v>
                </c:pt>
                <c:pt idx="5">
                  <c:v>0.95085418671799826</c:v>
                </c:pt>
                <c:pt idx="6">
                  <c:v>0.98568334937439861</c:v>
                </c:pt>
                <c:pt idx="7">
                  <c:v>0.99723291626564015</c:v>
                </c:pt>
                <c:pt idx="8">
                  <c:v>0.9999398460057749</c:v>
                </c:pt>
                <c:pt idx="9">
                  <c:v>1.0000000000000002</c:v>
                </c:pt>
                <c:pt idx="10">
                  <c:v>1.0000000000000002</c:v>
                </c:pt>
                <c:pt idx="11">
                  <c:v>1.0000000000000002</c:v>
                </c:pt>
                <c:pt idx="12">
                  <c:v>1.0000000000000002</c:v>
                </c:pt>
                <c:pt idx="13">
                  <c:v>1.0000000000000002</c:v>
                </c:pt>
              </c:numCache>
            </c:numRef>
          </c:yVal>
          <c:smooth val="0"/>
          <c:extLst>
            <c:ext xmlns:c16="http://schemas.microsoft.com/office/drawing/2014/chart" uri="{C3380CC4-5D6E-409C-BE32-E72D297353CC}">
              <c16:uniqueId val="{00000000-DBEF-4DC2-838F-C628B1727F55}"/>
            </c:ext>
          </c:extLst>
        </c:ser>
        <c:ser>
          <c:idx val="2"/>
          <c:order val="1"/>
          <c:tx>
            <c:strRef>
              <c:f>'[Excel per calcolo AR.xlsx]ALL-ACCURACY GRAFICI XL (v2024)'!$F$44</c:f>
              <c:strCache>
                <c:ptCount val="1"/>
                <c:pt idx="0">
                  <c:v>Rating model (3-y)</c:v>
                </c:pt>
              </c:strCache>
            </c:strRef>
          </c:tx>
          <c:spPr>
            <a:ln>
              <a:solidFill>
                <a:schemeClr val="accent1">
                  <a:lumMod val="60000"/>
                  <a:lumOff val="40000"/>
                  <a:alpha val="97000"/>
                </a:schemeClr>
              </a:solidFill>
            </a:ln>
          </c:spPr>
          <c:marker>
            <c:symbol val="triangle"/>
            <c:size val="8"/>
            <c:spPr>
              <a:solidFill>
                <a:schemeClr val="accent1">
                  <a:lumMod val="60000"/>
                  <a:lumOff val="40000"/>
                </a:schemeClr>
              </a:solidFill>
              <a:ln>
                <a:noFill/>
              </a:ln>
            </c:spPr>
          </c:marker>
          <c:xVal>
            <c:numRef>
              <c:f>'[Excel per calcolo AR.xlsx]ALL-ACCURACY GRAFICI XL (v2024)'!$G$43:$T$43</c:f>
              <c:numCache>
                <c:formatCode>0.00%</c:formatCode>
                <c:ptCount val="14"/>
                <c:pt idx="0">
                  <c:v>0</c:v>
                </c:pt>
                <c:pt idx="1">
                  <c:v>2.7992079877334687E-2</c:v>
                </c:pt>
                <c:pt idx="2">
                  <c:v>6.3266406687030402E-2</c:v>
                </c:pt>
                <c:pt idx="3">
                  <c:v>0.15443031861591028</c:v>
                </c:pt>
                <c:pt idx="4">
                  <c:v>0.2743650419951626</c:v>
                </c:pt>
                <c:pt idx="5">
                  <c:v>0.50289760585316379</c:v>
                </c:pt>
                <c:pt idx="6">
                  <c:v>0.69928083032505506</c:v>
                </c:pt>
                <c:pt idx="7">
                  <c:v>0.85980819459033087</c:v>
                </c:pt>
                <c:pt idx="8">
                  <c:v>0.95551571347507458</c:v>
                </c:pt>
                <c:pt idx="9">
                  <c:v>0.98938550633650058</c:v>
                </c:pt>
                <c:pt idx="10">
                  <c:v>0.9965470196916465</c:v>
                </c:pt>
                <c:pt idx="11">
                  <c:v>0.99892949561535893</c:v>
                </c:pt>
                <c:pt idx="12">
                  <c:v>0.99986115638620254</c:v>
                </c:pt>
                <c:pt idx="13">
                  <c:v>1</c:v>
                </c:pt>
              </c:numCache>
            </c:numRef>
          </c:xVal>
          <c:yVal>
            <c:numRef>
              <c:f>'[Excel per calcolo AR.xlsx]ALL-ACCURACY GRAFICI XL (v2024)'!$G$44:$T$44</c:f>
              <c:numCache>
                <c:formatCode>0.00%</c:formatCode>
                <c:ptCount val="14"/>
                <c:pt idx="0">
                  <c:v>0</c:v>
                </c:pt>
                <c:pt idx="1">
                  <c:v>0.23639754574695246</c:v>
                </c:pt>
                <c:pt idx="2">
                  <c:v>0.37248966132389116</c:v>
                </c:pt>
                <c:pt idx="3">
                  <c:v>0.58250668973159991</c:v>
                </c:pt>
                <c:pt idx="4">
                  <c:v>0.73735708300673031</c:v>
                </c:pt>
                <c:pt idx="5">
                  <c:v>0.89680244344136018</c:v>
                </c:pt>
                <c:pt idx="6">
                  <c:v>0.96499716193204865</c:v>
                </c:pt>
                <c:pt idx="7">
                  <c:v>0.99237776035894809</c:v>
                </c:pt>
                <c:pt idx="8">
                  <c:v>0.99883774360083255</c:v>
                </c:pt>
                <c:pt idx="9">
                  <c:v>0.99986485390707358</c:v>
                </c:pt>
                <c:pt idx="10">
                  <c:v>1</c:v>
                </c:pt>
                <c:pt idx="11">
                  <c:v>1</c:v>
                </c:pt>
                <c:pt idx="12">
                  <c:v>1</c:v>
                </c:pt>
                <c:pt idx="13">
                  <c:v>1</c:v>
                </c:pt>
              </c:numCache>
            </c:numRef>
          </c:yVal>
          <c:smooth val="0"/>
          <c:extLst>
            <c:ext xmlns:c16="http://schemas.microsoft.com/office/drawing/2014/chart" uri="{C3380CC4-5D6E-409C-BE32-E72D297353CC}">
              <c16:uniqueId val="{00000001-DBEF-4DC2-838F-C628B1727F55}"/>
            </c:ext>
          </c:extLst>
        </c:ser>
        <c:ser>
          <c:idx val="0"/>
          <c:order val="2"/>
          <c:tx>
            <c:strRef>
              <c:f>'[Excel per calcolo AR.xlsx]ALL-ACCURACY GRAFICI XL (v2024)'!$F$48</c:f>
              <c:strCache>
                <c:ptCount val="1"/>
                <c:pt idx="0">
                  <c:v>Rating model (5-y)</c:v>
                </c:pt>
              </c:strCache>
            </c:strRef>
          </c:tx>
          <c:marker>
            <c:symbol val="diamond"/>
            <c:size val="8"/>
          </c:marker>
          <c:xVal>
            <c:numRef>
              <c:f>'[Excel per calcolo AR.xlsx]ALL-ACCURACY GRAFICI XL (v2024)'!$G$47:$T$47</c:f>
              <c:numCache>
                <c:formatCode>0.00%</c:formatCode>
                <c:ptCount val="14"/>
                <c:pt idx="0">
                  <c:v>0</c:v>
                </c:pt>
                <c:pt idx="1">
                  <c:v>3.0284181822279314E-2</c:v>
                </c:pt>
                <c:pt idx="2">
                  <c:v>6.7263876681765949E-2</c:v>
                </c:pt>
                <c:pt idx="3">
                  <c:v>0.16203547202127422</c:v>
                </c:pt>
                <c:pt idx="4">
                  <c:v>0.2798030333761522</c:v>
                </c:pt>
                <c:pt idx="5">
                  <c:v>0.50633493340544933</c:v>
                </c:pt>
                <c:pt idx="6">
                  <c:v>0.70128005769274115</c:v>
                </c:pt>
                <c:pt idx="7">
                  <c:v>0.86045568250963433</c:v>
                </c:pt>
                <c:pt idx="8">
                  <c:v>0.95437090122371726</c:v>
                </c:pt>
                <c:pt idx="9">
                  <c:v>0.9895837558875894</c:v>
                </c:pt>
                <c:pt idx="10">
                  <c:v>0.99663308768845926</c:v>
                </c:pt>
                <c:pt idx="11">
                  <c:v>0.9988867103869471</c:v>
                </c:pt>
                <c:pt idx="12">
                  <c:v>0.99986703626078932</c:v>
                </c:pt>
                <c:pt idx="13">
                  <c:v>1</c:v>
                </c:pt>
              </c:numCache>
            </c:numRef>
          </c:xVal>
          <c:yVal>
            <c:numRef>
              <c:f>'[Excel per calcolo AR.xlsx]ALL-ACCURACY GRAFICI XL (v2024)'!$G$48:$T$48</c:f>
              <c:numCache>
                <c:formatCode>0.00%</c:formatCode>
                <c:ptCount val="14"/>
                <c:pt idx="0">
                  <c:v>0</c:v>
                </c:pt>
                <c:pt idx="1">
                  <c:v>0.17260671363447991</c:v>
                </c:pt>
                <c:pt idx="2">
                  <c:v>0.29179067927513846</c:v>
                </c:pt>
                <c:pt idx="3">
                  <c:v>0.50094186791244399</c:v>
                </c:pt>
                <c:pt idx="4">
                  <c:v>0.66631503597935426</c:v>
                </c:pt>
                <c:pt idx="5">
                  <c:v>0.85920958444787709</c:v>
                </c:pt>
                <c:pt idx="6">
                  <c:v>0.94810307802433791</c:v>
                </c:pt>
                <c:pt idx="7">
                  <c:v>0.98700222280827343</c:v>
                </c:pt>
                <c:pt idx="8">
                  <c:v>0.99796556530912106</c:v>
                </c:pt>
                <c:pt idx="9">
                  <c:v>0.99969860226801799</c:v>
                </c:pt>
                <c:pt idx="10">
                  <c:v>0.99998116264175119</c:v>
                </c:pt>
                <c:pt idx="11">
                  <c:v>1</c:v>
                </c:pt>
                <c:pt idx="12">
                  <c:v>1</c:v>
                </c:pt>
                <c:pt idx="13">
                  <c:v>1</c:v>
                </c:pt>
              </c:numCache>
            </c:numRef>
          </c:yVal>
          <c:smooth val="0"/>
          <c:extLst>
            <c:ext xmlns:c16="http://schemas.microsoft.com/office/drawing/2014/chart" uri="{C3380CC4-5D6E-409C-BE32-E72D297353CC}">
              <c16:uniqueId val="{00000002-DBEF-4DC2-838F-C628B1727F55}"/>
            </c:ext>
          </c:extLst>
        </c:ser>
        <c:dLbls>
          <c:showLegendKey val="0"/>
          <c:showVal val="0"/>
          <c:showCatName val="0"/>
          <c:showSerName val="0"/>
          <c:showPercent val="0"/>
          <c:showBubbleSize val="0"/>
        </c:dLbls>
        <c:axId val="289736576"/>
        <c:axId val="289738752"/>
      </c:scatterChart>
      <c:valAx>
        <c:axId val="289736576"/>
        <c:scaling>
          <c:orientation val="minMax"/>
          <c:max val="1"/>
        </c:scaling>
        <c:delete val="0"/>
        <c:axPos val="b"/>
        <c:title>
          <c:tx>
            <c:rich>
              <a:bodyPr/>
              <a:lstStyle/>
              <a:p>
                <a:pPr>
                  <a:defRPr>
                    <a:solidFill>
                      <a:schemeClr val="tx2"/>
                    </a:solidFill>
                  </a:defRPr>
                </a:pPr>
                <a:r>
                  <a:rPr lang="en-US">
                    <a:solidFill>
                      <a:schemeClr val="tx2"/>
                    </a:solidFill>
                  </a:rPr>
                  <a:t>% cumulative proportion of rated in static pool</a:t>
                </a:r>
              </a:p>
            </c:rich>
          </c:tx>
          <c:overlay val="0"/>
        </c:title>
        <c:numFmt formatCode="0%" sourceLinked="0"/>
        <c:majorTickMark val="out"/>
        <c:minorTickMark val="none"/>
        <c:tickLblPos val="nextTo"/>
        <c:crossAx val="289738752"/>
        <c:crosses val="autoZero"/>
        <c:crossBetween val="midCat"/>
        <c:majorUnit val="0.1"/>
      </c:valAx>
      <c:valAx>
        <c:axId val="289738752"/>
        <c:scaling>
          <c:orientation val="minMax"/>
          <c:max val="1"/>
        </c:scaling>
        <c:delete val="0"/>
        <c:axPos val="l"/>
        <c:title>
          <c:tx>
            <c:rich>
              <a:bodyPr rot="-5400000" vert="horz"/>
              <a:lstStyle/>
              <a:p>
                <a:pPr>
                  <a:defRPr>
                    <a:solidFill>
                      <a:schemeClr val="tx2"/>
                    </a:solidFill>
                  </a:defRPr>
                </a:pPr>
                <a:r>
                  <a:rPr lang="en-US">
                    <a:solidFill>
                      <a:schemeClr val="tx2"/>
                    </a:solidFill>
                  </a:rPr>
                  <a:t>% Cumulative proportion of defualt</a:t>
                </a:r>
              </a:p>
            </c:rich>
          </c:tx>
          <c:overlay val="0"/>
        </c:title>
        <c:numFmt formatCode="0%" sourceLinked="0"/>
        <c:majorTickMark val="out"/>
        <c:minorTickMark val="none"/>
        <c:tickLblPos val="nextTo"/>
        <c:txPr>
          <a:bodyPr/>
          <a:lstStyle/>
          <a:p>
            <a:pPr>
              <a:defRPr>
                <a:solidFill>
                  <a:schemeClr val="tx2"/>
                </a:solidFill>
              </a:defRPr>
            </a:pPr>
            <a:endParaRPr lang="it-IT"/>
          </a:p>
        </c:txPr>
        <c:crossAx val="289736576"/>
        <c:crosses val="autoZero"/>
        <c:crossBetween val="midCat"/>
      </c:valAx>
    </c:plotArea>
    <c:legend>
      <c:legendPos val="b"/>
      <c:overlay val="0"/>
    </c:legend>
    <c:plotVisOnly val="1"/>
    <c:dispBlanksAs val="gap"/>
    <c:showDLblsOverMax val="0"/>
  </c:chart>
  <c:spPr>
    <a:ln>
      <a:noFill/>
    </a:ln>
  </c:spPr>
  <c:txPr>
    <a:bodyPr/>
    <a:lstStyle/>
    <a:p>
      <a:pPr>
        <a:defRPr sz="700">
          <a:solidFill>
            <a:sysClr val="windowText" lastClr="000000"/>
          </a:solidFill>
          <a:latin typeface="Source Sans Pro" panose="020B0503030403020204" pitchFamily="34" charset="0"/>
          <a:ea typeface="Source Sans Pro" panose="020B0503030403020204" pitchFamily="34" charset="0"/>
        </a:defRPr>
      </a:pPr>
      <a:endParaRPr lang="it-IT"/>
    </a:p>
  </c:txPr>
  <c:externalData r:id="rId1">
    <c:autoUpdate val="0"/>
  </c:externalData>
  <c:userShapes r:id="rId2"/>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en-US" sz="700"/>
              <a:t>Accuracy ratio by static pool</a:t>
            </a:r>
          </a:p>
          <a:p>
            <a:pPr>
              <a:defRPr/>
            </a:pPr>
            <a:r>
              <a:rPr lang="en-US" sz="700" b="0"/>
              <a:t>1-year to 5-year</a:t>
            </a:r>
          </a:p>
        </c:rich>
      </c:tx>
      <c:overlay val="0"/>
    </c:title>
    <c:autoTitleDeleted val="0"/>
    <c:plotArea>
      <c:layout>
        <c:manualLayout>
          <c:layoutTarget val="inner"/>
          <c:xMode val="edge"/>
          <c:yMode val="edge"/>
          <c:x val="5.9587577617089785E-2"/>
          <c:y val="0.15593124294381511"/>
          <c:w val="0.92403623309032501"/>
          <c:h val="0.58468527232912459"/>
        </c:manualLayout>
      </c:layout>
      <c:lineChart>
        <c:grouping val="standard"/>
        <c:varyColors val="0"/>
        <c:ser>
          <c:idx val="0"/>
          <c:order val="0"/>
          <c:tx>
            <c:strRef>
              <c:f>'[20230322_DS 03 - DS2022 - Grafici rating ENG_v1.xlsx]data'!$B$703</c:f>
              <c:strCache>
                <c:ptCount val="1"/>
                <c:pt idx="0">
                  <c:v>1-y Accuracy</c:v>
                </c:pt>
              </c:strCache>
            </c:strRef>
          </c:tx>
          <c:cat>
            <c:strRef>
              <c:f>'[20230322_DS 03 - DS2022 - Grafici rating ENG_v1.xlsx]data'!$A$747:$A$761</c:f>
              <c:strCache>
                <c:ptCount val="15"/>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strCache>
            </c:strRef>
          </c:cat>
          <c:val>
            <c:numRef>
              <c:f>'[20230322_DS 03 - DS2022 - Grafici rating ENG_v1.xlsx]data'!$B$747:$B$761</c:f>
              <c:numCache>
                <c:formatCode>0.000</c:formatCode>
                <c:ptCount val="15"/>
                <c:pt idx="0">
                  <c:v>0.78832999999999998</c:v>
                </c:pt>
                <c:pt idx="1">
                  <c:v>0.80976000000000004</c:v>
                </c:pt>
                <c:pt idx="2">
                  <c:v>0.76670000000000005</c:v>
                </c:pt>
                <c:pt idx="3">
                  <c:v>0.74748000000000003</c:v>
                </c:pt>
                <c:pt idx="4">
                  <c:v>0.78191999999999995</c:v>
                </c:pt>
                <c:pt idx="5">
                  <c:v>0.75716000000000006</c:v>
                </c:pt>
                <c:pt idx="6">
                  <c:v>0.73372999999999999</c:v>
                </c:pt>
                <c:pt idx="7">
                  <c:v>0.75234999999999996</c:v>
                </c:pt>
                <c:pt idx="8">
                  <c:v>0.72421999999999997</c:v>
                </c:pt>
                <c:pt idx="9">
                  <c:v>0.75316000000000005</c:v>
                </c:pt>
                <c:pt idx="10">
                  <c:v>0.70501999999999998</c:v>
                </c:pt>
                <c:pt idx="11" formatCode="_-* #,##0.000_-;\-* #,##0.000_-;_-* &quot;-&quot;??_-;_-@_-">
                  <c:v>0.71819999999999995</c:v>
                </c:pt>
                <c:pt idx="12" formatCode="_-* #,##0.000_-;\-* #,##0.000_-;_-* &quot;-&quot;??_-;_-@_-">
                  <c:v>0.82916000000000001</c:v>
                </c:pt>
                <c:pt idx="13" formatCode="_-* #,##0.000_-;\-* #,##0.000_-;_-* &quot;-&quot;??_-;_-@_-">
                  <c:v>0.70242000000000004</c:v>
                </c:pt>
                <c:pt idx="14" formatCode="_-* #,##0.000_-;\-* #,##0.000_-;_-* &quot;-&quot;??_-;_-@_-">
                  <c:v>0.67856000000000005</c:v>
                </c:pt>
              </c:numCache>
            </c:numRef>
          </c:val>
          <c:smooth val="0"/>
          <c:extLst>
            <c:ext xmlns:c16="http://schemas.microsoft.com/office/drawing/2014/chart" uri="{C3380CC4-5D6E-409C-BE32-E72D297353CC}">
              <c16:uniqueId val="{00000000-02B0-419C-85A5-E5242520F684}"/>
            </c:ext>
          </c:extLst>
        </c:ser>
        <c:ser>
          <c:idx val="1"/>
          <c:order val="1"/>
          <c:tx>
            <c:strRef>
              <c:f>'[20230322_DS 03 - DS2022 - Grafici rating ENG_v1.xlsx]data'!$C$703</c:f>
              <c:strCache>
                <c:ptCount val="1"/>
                <c:pt idx="0">
                  <c:v>2-y Accuracy</c:v>
                </c:pt>
              </c:strCache>
            </c:strRef>
          </c:tx>
          <c:spPr>
            <a:ln>
              <a:solidFill>
                <a:schemeClr val="accent3"/>
              </a:solidFill>
            </a:ln>
          </c:spPr>
          <c:marker>
            <c:spPr>
              <a:solidFill>
                <a:schemeClr val="accent3"/>
              </a:solidFill>
              <a:ln>
                <a:solidFill>
                  <a:schemeClr val="accent3"/>
                </a:solidFill>
              </a:ln>
            </c:spPr>
          </c:marker>
          <c:cat>
            <c:strRef>
              <c:f>'[20230322_DS 03 - DS2022 - Grafici rating ENG_v1.xlsx]data'!$A$747:$A$761</c:f>
              <c:strCache>
                <c:ptCount val="15"/>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strCache>
            </c:strRef>
          </c:cat>
          <c:val>
            <c:numRef>
              <c:f>'[20230322_DS 03 - DS2022 - Grafici rating ENG_v1.xlsx]data'!$C$747:$C$761</c:f>
              <c:numCache>
                <c:formatCode>0.000</c:formatCode>
                <c:ptCount val="15"/>
                <c:pt idx="0">
                  <c:v>0.73641000000000001</c:v>
                </c:pt>
                <c:pt idx="1">
                  <c:v>0.74504000000000004</c:v>
                </c:pt>
                <c:pt idx="2">
                  <c:v>0.68493999999999999</c:v>
                </c:pt>
                <c:pt idx="3">
                  <c:v>0.67932999999999999</c:v>
                </c:pt>
                <c:pt idx="4">
                  <c:v>0.70609999999999995</c:v>
                </c:pt>
                <c:pt idx="5">
                  <c:v>0.64739000000000002</c:v>
                </c:pt>
                <c:pt idx="6">
                  <c:v>0.64539000000000002</c:v>
                </c:pt>
                <c:pt idx="7">
                  <c:v>0.66308999999999996</c:v>
                </c:pt>
                <c:pt idx="8">
                  <c:v>0.62112000000000001</c:v>
                </c:pt>
                <c:pt idx="9">
                  <c:v>0.61873</c:v>
                </c:pt>
                <c:pt idx="10">
                  <c:v>0.61660999999999999</c:v>
                </c:pt>
                <c:pt idx="11" formatCode="_-* #,##0.000_-;\-* #,##0.000_-;_-* &quot;-&quot;??_-;_-@_-">
                  <c:v>0.66295999999999999</c:v>
                </c:pt>
                <c:pt idx="12" formatCode="_-* #,##0.000_-;\-* #,##0.000_-;_-* &quot;-&quot;??_-;_-@_-">
                  <c:v>0.70655000000000001</c:v>
                </c:pt>
                <c:pt idx="13" formatCode="_-* #,##0.000_-;\-* #,##0.000_-;_-* &quot;-&quot;??_-;_-@_-">
                  <c:v>0.59999000000000002</c:v>
                </c:pt>
              </c:numCache>
            </c:numRef>
          </c:val>
          <c:smooth val="0"/>
          <c:extLst>
            <c:ext xmlns:c16="http://schemas.microsoft.com/office/drawing/2014/chart" uri="{C3380CC4-5D6E-409C-BE32-E72D297353CC}">
              <c16:uniqueId val="{00000001-02B0-419C-85A5-E5242520F684}"/>
            </c:ext>
          </c:extLst>
        </c:ser>
        <c:ser>
          <c:idx val="2"/>
          <c:order val="2"/>
          <c:tx>
            <c:strRef>
              <c:f>'[20230322_DS 03 - DS2022 - Grafici rating ENG_v1.xlsx]data'!$D$703</c:f>
              <c:strCache>
                <c:ptCount val="1"/>
                <c:pt idx="0">
                  <c:v>3-y Accuracy</c:v>
                </c:pt>
              </c:strCache>
            </c:strRef>
          </c:tx>
          <c:spPr>
            <a:ln>
              <a:solidFill>
                <a:schemeClr val="accent2"/>
              </a:solidFill>
            </a:ln>
          </c:spPr>
          <c:marker>
            <c:spPr>
              <a:solidFill>
                <a:schemeClr val="accent2"/>
              </a:solidFill>
              <a:ln>
                <a:noFill/>
              </a:ln>
            </c:spPr>
          </c:marker>
          <c:cat>
            <c:strRef>
              <c:f>'[20230322_DS 03 - DS2022 - Grafici rating ENG_v1.xlsx]data'!$A$747:$A$761</c:f>
              <c:strCache>
                <c:ptCount val="15"/>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strCache>
            </c:strRef>
          </c:cat>
          <c:val>
            <c:numRef>
              <c:f>'[20230322_DS 03 - DS2022 - Grafici rating ENG_v1.xlsx]data'!$D$747:$D$761</c:f>
              <c:numCache>
                <c:formatCode>0.000</c:formatCode>
                <c:ptCount val="15"/>
                <c:pt idx="0">
                  <c:v>0.69620000000000004</c:v>
                </c:pt>
                <c:pt idx="1">
                  <c:v>0.68700000000000006</c:v>
                </c:pt>
                <c:pt idx="2">
                  <c:v>0.64932999999999996</c:v>
                </c:pt>
                <c:pt idx="3">
                  <c:v>0.63217999999999996</c:v>
                </c:pt>
                <c:pt idx="4">
                  <c:v>0.65678000000000003</c:v>
                </c:pt>
                <c:pt idx="5">
                  <c:v>0.60199000000000003</c:v>
                </c:pt>
                <c:pt idx="6">
                  <c:v>0.58672000000000002</c:v>
                </c:pt>
                <c:pt idx="7">
                  <c:v>0.59728000000000003</c:v>
                </c:pt>
                <c:pt idx="8">
                  <c:v>0.55640999999999996</c:v>
                </c:pt>
                <c:pt idx="9">
                  <c:v>0.56113999999999997</c:v>
                </c:pt>
                <c:pt idx="10">
                  <c:v>0.57987999999999995</c:v>
                </c:pt>
                <c:pt idx="11" formatCode="_-* #,##0.000_-;\-* #,##0.000_-;_-* &quot;-&quot;??_-;_-@_-">
                  <c:v>0.62038000000000004</c:v>
                </c:pt>
                <c:pt idx="12" formatCode="_-* #,##0.000_-;\-* #,##0.000_-;_-* &quot;-&quot;??_-;_-@_-">
                  <c:v>0.59858</c:v>
                </c:pt>
              </c:numCache>
            </c:numRef>
          </c:val>
          <c:smooth val="0"/>
          <c:extLst>
            <c:ext xmlns:c16="http://schemas.microsoft.com/office/drawing/2014/chart" uri="{C3380CC4-5D6E-409C-BE32-E72D297353CC}">
              <c16:uniqueId val="{00000002-02B0-419C-85A5-E5242520F684}"/>
            </c:ext>
          </c:extLst>
        </c:ser>
        <c:ser>
          <c:idx val="3"/>
          <c:order val="3"/>
          <c:tx>
            <c:strRef>
              <c:f>'[20230322_DS 03 - DS2022 - Grafici rating ENG_v1.xlsx]data'!$E$702</c:f>
              <c:strCache>
                <c:ptCount val="1"/>
                <c:pt idx="0">
                  <c:v>4-y Accuracy</c:v>
                </c:pt>
              </c:strCache>
            </c:strRef>
          </c:tx>
          <c:cat>
            <c:strRef>
              <c:f>'[20230322_DS 03 - DS2022 - Grafici rating ENG_v1.xlsx]data'!$A$747:$A$761</c:f>
              <c:strCache>
                <c:ptCount val="15"/>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strCache>
            </c:strRef>
          </c:cat>
          <c:val>
            <c:numRef>
              <c:f>'[20230322_DS 03 - DS2022 - Grafici rating ENG_v1.xlsx]data'!$E$746:$E$759</c:f>
              <c:numCache>
                <c:formatCode>0.000</c:formatCode>
                <c:ptCount val="14"/>
                <c:pt idx="0">
                  <c:v>0.65495000000000003</c:v>
                </c:pt>
                <c:pt idx="1">
                  <c:v>0.66005000000000003</c:v>
                </c:pt>
                <c:pt idx="2">
                  <c:v>0.59467000000000003</c:v>
                </c:pt>
                <c:pt idx="3">
                  <c:v>0.60399999999999998</c:v>
                </c:pt>
                <c:pt idx="4">
                  <c:v>0.62597000000000003</c:v>
                </c:pt>
                <c:pt idx="5">
                  <c:v>0.57184999999999997</c:v>
                </c:pt>
                <c:pt idx="6">
                  <c:v>0.54883000000000004</c:v>
                </c:pt>
                <c:pt idx="7">
                  <c:v>0.55108999999999997</c:v>
                </c:pt>
                <c:pt idx="8">
                  <c:v>0.52149000000000001</c:v>
                </c:pt>
                <c:pt idx="9">
                  <c:v>0.53308999999999995</c:v>
                </c:pt>
                <c:pt idx="10" formatCode="_-* #,##0.000_-;\-* #,##0.000_-;_-* &quot;-&quot;??_-;_-@_-">
                  <c:v>0.56096000000000001</c:v>
                </c:pt>
                <c:pt idx="11" formatCode="General">
                  <c:v>0.56477999999999995</c:v>
                </c:pt>
              </c:numCache>
            </c:numRef>
          </c:val>
          <c:smooth val="0"/>
          <c:extLst>
            <c:ext xmlns:c16="http://schemas.microsoft.com/office/drawing/2014/chart" uri="{C3380CC4-5D6E-409C-BE32-E72D297353CC}">
              <c16:uniqueId val="{00000003-02B0-419C-85A5-E5242520F684}"/>
            </c:ext>
          </c:extLst>
        </c:ser>
        <c:ser>
          <c:idx val="4"/>
          <c:order val="4"/>
          <c:tx>
            <c:strRef>
              <c:f>'[20230322_DS 03 - DS2022 - Grafici rating ENG_v1.xlsx]data'!$F$701</c:f>
              <c:strCache>
                <c:ptCount val="1"/>
                <c:pt idx="0">
                  <c:v>5-y Accuracy</c:v>
                </c:pt>
              </c:strCache>
            </c:strRef>
          </c:tx>
          <c:cat>
            <c:strRef>
              <c:f>'[20230322_DS 03 - DS2022 - Grafici rating ENG_v1.xlsx]data'!$A$747:$A$761</c:f>
              <c:strCache>
                <c:ptCount val="15"/>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strCache>
            </c:strRef>
          </c:cat>
          <c:val>
            <c:numRef>
              <c:f>'[20230322_DS 03 - DS2022 - Grafici rating ENG_v1.xlsx]data'!$F$745:$F$757</c:f>
              <c:numCache>
                <c:formatCode>0.000</c:formatCode>
                <c:ptCount val="13"/>
                <c:pt idx="0">
                  <c:v>0.63200999999999996</c:v>
                </c:pt>
                <c:pt idx="1">
                  <c:v>0.61641999999999997</c:v>
                </c:pt>
                <c:pt idx="2">
                  <c:v>0.56189</c:v>
                </c:pt>
                <c:pt idx="3">
                  <c:v>0.58662999999999998</c:v>
                </c:pt>
                <c:pt idx="4">
                  <c:v>0.60328999999999999</c:v>
                </c:pt>
                <c:pt idx="5">
                  <c:v>0.55520999999999998</c:v>
                </c:pt>
                <c:pt idx="6">
                  <c:v>0.52302000000000004</c:v>
                </c:pt>
                <c:pt idx="7">
                  <c:v>0.52559</c:v>
                </c:pt>
                <c:pt idx="8">
                  <c:v>0.50121000000000004</c:v>
                </c:pt>
                <c:pt idx="9">
                  <c:v>0.52185000000000004</c:v>
                </c:pt>
                <c:pt idx="10" formatCode="General">
                  <c:v>0.52703999999999995</c:v>
                </c:pt>
              </c:numCache>
            </c:numRef>
          </c:val>
          <c:smooth val="0"/>
          <c:extLst>
            <c:ext xmlns:c16="http://schemas.microsoft.com/office/drawing/2014/chart" uri="{C3380CC4-5D6E-409C-BE32-E72D297353CC}">
              <c16:uniqueId val="{00000004-02B0-419C-85A5-E5242520F684}"/>
            </c:ext>
          </c:extLst>
        </c:ser>
        <c:dLbls>
          <c:showLegendKey val="0"/>
          <c:showVal val="0"/>
          <c:showCatName val="0"/>
          <c:showSerName val="0"/>
          <c:showPercent val="0"/>
          <c:showBubbleSize val="0"/>
        </c:dLbls>
        <c:marker val="1"/>
        <c:smooth val="0"/>
        <c:axId val="418119128"/>
        <c:axId val="418108936"/>
      </c:lineChart>
      <c:catAx>
        <c:axId val="418119128"/>
        <c:scaling>
          <c:orientation val="minMax"/>
        </c:scaling>
        <c:delete val="0"/>
        <c:axPos val="b"/>
        <c:numFmt formatCode="General" sourceLinked="0"/>
        <c:majorTickMark val="out"/>
        <c:minorTickMark val="none"/>
        <c:tickLblPos val="nextTo"/>
        <c:crossAx val="418108936"/>
        <c:crosses val="autoZero"/>
        <c:auto val="1"/>
        <c:lblAlgn val="ctr"/>
        <c:lblOffset val="100"/>
        <c:noMultiLvlLbl val="0"/>
      </c:catAx>
      <c:valAx>
        <c:axId val="418108936"/>
        <c:scaling>
          <c:orientation val="minMax"/>
          <c:min val="0.45"/>
        </c:scaling>
        <c:delete val="0"/>
        <c:axPos val="l"/>
        <c:title>
          <c:tx>
            <c:rich>
              <a:bodyPr rot="-5400000" vert="horz"/>
              <a:lstStyle/>
              <a:p>
                <a:pPr>
                  <a:defRPr/>
                </a:pPr>
                <a:r>
                  <a:rPr lang="en-US"/>
                  <a:t>Accuracy </a:t>
                </a:r>
              </a:p>
            </c:rich>
          </c:tx>
          <c:overlay val="0"/>
        </c:title>
        <c:numFmt formatCode="0%" sourceLinked="0"/>
        <c:majorTickMark val="out"/>
        <c:minorTickMark val="none"/>
        <c:tickLblPos val="nextTo"/>
        <c:crossAx val="418119128"/>
        <c:crosses val="autoZero"/>
        <c:crossBetween val="between"/>
      </c:valAx>
    </c:plotArea>
    <c:legend>
      <c:legendPos val="b"/>
      <c:overlay val="0"/>
    </c:legend>
    <c:plotVisOnly val="1"/>
    <c:dispBlanksAs val="gap"/>
    <c:showDLblsOverMax val="0"/>
  </c:chart>
  <c:spPr>
    <a:ln>
      <a:noFill/>
    </a:ln>
  </c:spPr>
  <c:txPr>
    <a:bodyPr/>
    <a:lstStyle/>
    <a:p>
      <a:pPr>
        <a:defRPr sz="700">
          <a:latin typeface="Source Sans Pro" panose="020B0503030403020204" pitchFamily="34" charset="0"/>
          <a:ea typeface="Source Sans Pro" panose="020B0503030403020204" pitchFamily="34" charset="0"/>
        </a:defRPr>
      </a:pPr>
      <a:endParaRPr lang="it-IT"/>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en-US" sz="700"/>
              <a:t>Breakdown of Small and Medium rated entities</a:t>
            </a:r>
          </a:p>
          <a:p>
            <a:pPr>
              <a:defRPr/>
            </a:pPr>
            <a:r>
              <a:rPr lang="en-US" sz="700" b="0"/>
              <a:t>% share of total SMEs</a:t>
            </a:r>
          </a:p>
        </c:rich>
      </c:tx>
      <c:overlay val="0"/>
    </c:title>
    <c:autoTitleDeleted val="0"/>
    <c:plotArea>
      <c:layout>
        <c:manualLayout>
          <c:layoutTarget val="inner"/>
          <c:xMode val="edge"/>
          <c:yMode val="edge"/>
          <c:x val="4.7062503226433371E-2"/>
          <c:y val="0.12174685418208735"/>
          <c:w val="0.94201529860830646"/>
          <c:h val="0.70062980469410241"/>
        </c:manualLayout>
      </c:layout>
      <c:barChart>
        <c:barDir val="col"/>
        <c:grouping val="percentStacked"/>
        <c:varyColors val="0"/>
        <c:ser>
          <c:idx val="0"/>
          <c:order val="0"/>
          <c:tx>
            <c:strRef>
              <c:f>'[20230322_DS 03 - DS2022 - Grafici rating ENG_v1.xlsx]data'!$B$765</c:f>
              <c:strCache>
                <c:ptCount val="1"/>
                <c:pt idx="0">
                  <c:v>Small</c:v>
                </c:pt>
              </c:strCache>
            </c:strRef>
          </c:tx>
          <c:spPr>
            <a:solidFill>
              <a:schemeClr val="tx2">
                <a:lumMod val="25000"/>
                <a:lumOff val="75000"/>
              </a:schemeClr>
            </a:solidFill>
          </c:spPr>
          <c:invertIfNegative val="0"/>
          <c:dLbls>
            <c:spPr>
              <a:noFill/>
              <a:ln>
                <a:noFill/>
              </a:ln>
              <a:effectLst/>
            </c:spPr>
            <c:txPr>
              <a:bodyPr/>
              <a:lstStyle/>
              <a:p>
                <a:pPr>
                  <a:defRPr b="1">
                    <a:solidFill>
                      <a:schemeClr val="bg1"/>
                    </a:solidFil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'[20230322_DS 03 - DS2022 - Grafici rating ENG_v1.xlsx]data'!$A$766:$A$781</c:f>
              <c:strCache>
                <c:ptCount val="16"/>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pt idx="15">
                  <c:v>Average</c:v>
                </c:pt>
              </c:strCache>
            </c:strRef>
          </c:cat>
          <c:val>
            <c:numRef>
              <c:f>'[20230322_DS 03 - DS2022 - Grafici rating ENG_v1.xlsx]data'!$B$766:$B$781</c:f>
              <c:numCache>
                <c:formatCode>0.0%</c:formatCode>
                <c:ptCount val="16"/>
                <c:pt idx="0">
                  <c:v>0.62301918265221012</c:v>
                </c:pt>
                <c:pt idx="1">
                  <c:v>0.63892726146810841</c:v>
                </c:pt>
                <c:pt idx="2">
                  <c:v>0.6333035003977725</c:v>
                </c:pt>
                <c:pt idx="3">
                  <c:v>0.57366867965962121</c:v>
                </c:pt>
                <c:pt idx="4">
                  <c:v>0.54763109941283661</c:v>
                </c:pt>
                <c:pt idx="5">
                  <c:v>0.56939895973800814</c:v>
                </c:pt>
                <c:pt idx="6">
                  <c:v>0.57018432246303419</c:v>
                </c:pt>
                <c:pt idx="7">
                  <c:v>0.52815055983482884</c:v>
                </c:pt>
                <c:pt idx="8">
                  <c:v>0.54052207188738555</c:v>
                </c:pt>
                <c:pt idx="9">
                  <c:v>0.54644582470669423</c:v>
                </c:pt>
                <c:pt idx="10">
                  <c:v>0.52162802293692345</c:v>
                </c:pt>
                <c:pt idx="11">
                  <c:v>0.53060174867135268</c:v>
                </c:pt>
                <c:pt idx="12">
                  <c:v>0.50003005349522145</c:v>
                </c:pt>
                <c:pt idx="13">
                  <c:v>0.42891847245165676</c:v>
                </c:pt>
                <c:pt idx="14">
                  <c:v>0.38947078280044101</c:v>
                </c:pt>
                <c:pt idx="15">
                  <c:v>0.56872896874461987</c:v>
                </c:pt>
              </c:numCache>
            </c:numRef>
          </c:val>
          <c:extLst>
            <c:ext xmlns:c16="http://schemas.microsoft.com/office/drawing/2014/chart" uri="{C3380CC4-5D6E-409C-BE32-E72D297353CC}">
              <c16:uniqueId val="{00000000-76EF-4833-A791-82721249A0AD}"/>
            </c:ext>
          </c:extLst>
        </c:ser>
        <c:ser>
          <c:idx val="1"/>
          <c:order val="1"/>
          <c:tx>
            <c:strRef>
              <c:f>'[20230322_DS 03 - DS2022 - Grafici rating ENG_v1.xlsx]data'!$C$765</c:f>
              <c:strCache>
                <c:ptCount val="1"/>
                <c:pt idx="0">
                  <c:v>Medium</c:v>
                </c:pt>
              </c:strCache>
            </c:strRef>
          </c:tx>
          <c:invertIfNegative val="0"/>
          <c:dLbls>
            <c:spPr>
              <a:noFill/>
              <a:ln>
                <a:noFill/>
              </a:ln>
              <a:effectLst/>
            </c:spPr>
            <c:txPr>
              <a:bodyPr/>
              <a:lstStyle/>
              <a:p>
                <a:pPr>
                  <a:defRPr b="1">
                    <a:solidFill>
                      <a:schemeClr val="bg1"/>
                    </a:solidFil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'[20230322_DS 03 - DS2022 - Grafici rating ENG_v1.xlsx]data'!$A$766:$A$781</c:f>
              <c:strCache>
                <c:ptCount val="16"/>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pt idx="15">
                  <c:v>Average</c:v>
                </c:pt>
              </c:strCache>
            </c:strRef>
          </c:cat>
          <c:val>
            <c:numRef>
              <c:f>'[20230322_DS 03 - DS2022 - Grafici rating ENG_v1.xlsx]data'!$C$766:$C$781</c:f>
              <c:numCache>
                <c:formatCode>0.0%</c:formatCode>
                <c:ptCount val="16"/>
                <c:pt idx="0">
                  <c:v>0.37698081734778982</c:v>
                </c:pt>
                <c:pt idx="1">
                  <c:v>0.36107273853189159</c:v>
                </c:pt>
                <c:pt idx="2">
                  <c:v>0.3666964996022275</c:v>
                </c:pt>
                <c:pt idx="3">
                  <c:v>0.42633132034037879</c:v>
                </c:pt>
                <c:pt idx="4">
                  <c:v>0.45236890058716339</c:v>
                </c:pt>
                <c:pt idx="5">
                  <c:v>0.43060104026199192</c:v>
                </c:pt>
                <c:pt idx="6">
                  <c:v>0.42981567753696576</c:v>
                </c:pt>
                <c:pt idx="7">
                  <c:v>0.47184944016517111</c:v>
                </c:pt>
                <c:pt idx="8">
                  <c:v>0.45947792811261445</c:v>
                </c:pt>
                <c:pt idx="9">
                  <c:v>0.45355417529330572</c:v>
                </c:pt>
                <c:pt idx="10">
                  <c:v>0.47837197706307655</c:v>
                </c:pt>
                <c:pt idx="11">
                  <c:v>0.46939825132864738</c:v>
                </c:pt>
                <c:pt idx="12">
                  <c:v>0.4999699465047785</c:v>
                </c:pt>
                <c:pt idx="13">
                  <c:v>0.57108152754834318</c:v>
                </c:pt>
                <c:pt idx="14">
                  <c:v>0.61052921719955899</c:v>
                </c:pt>
                <c:pt idx="15">
                  <c:v>0.43127103125538008</c:v>
                </c:pt>
              </c:numCache>
            </c:numRef>
          </c:val>
          <c:extLst>
            <c:ext xmlns:c16="http://schemas.microsoft.com/office/drawing/2014/chart" uri="{C3380CC4-5D6E-409C-BE32-E72D297353CC}">
              <c16:uniqueId val="{00000001-76EF-4833-A791-82721249A0AD}"/>
            </c:ext>
          </c:extLst>
        </c:ser>
        <c:dLbls>
          <c:showLegendKey val="0"/>
          <c:showVal val="0"/>
          <c:showCatName val="0"/>
          <c:showSerName val="0"/>
          <c:showPercent val="0"/>
          <c:showBubbleSize val="0"/>
        </c:dLbls>
        <c:gapWidth val="50"/>
        <c:overlap val="100"/>
        <c:axId val="418111288"/>
        <c:axId val="418104232"/>
      </c:barChart>
      <c:catAx>
        <c:axId val="418111288"/>
        <c:scaling>
          <c:orientation val="minMax"/>
        </c:scaling>
        <c:delete val="0"/>
        <c:axPos val="b"/>
        <c:numFmt formatCode="General" sourceLinked="1"/>
        <c:majorTickMark val="out"/>
        <c:minorTickMark val="none"/>
        <c:tickLblPos val="nextTo"/>
        <c:crossAx val="418104232"/>
        <c:crosses val="autoZero"/>
        <c:auto val="1"/>
        <c:lblAlgn val="ctr"/>
        <c:lblOffset val="100"/>
        <c:noMultiLvlLbl val="0"/>
      </c:catAx>
      <c:valAx>
        <c:axId val="418104232"/>
        <c:scaling>
          <c:orientation val="minMax"/>
        </c:scaling>
        <c:delete val="0"/>
        <c:axPos val="l"/>
        <c:numFmt formatCode="0%" sourceLinked="1"/>
        <c:majorTickMark val="out"/>
        <c:minorTickMark val="none"/>
        <c:tickLblPos val="nextTo"/>
        <c:crossAx val="418111288"/>
        <c:crosses val="autoZero"/>
        <c:crossBetween val="between"/>
      </c:valAx>
    </c:plotArea>
    <c:legend>
      <c:legendPos val="b"/>
      <c:overlay val="0"/>
    </c:legend>
    <c:plotVisOnly val="1"/>
    <c:dispBlanksAs val="gap"/>
    <c:showDLblsOverMax val="0"/>
  </c:chart>
  <c:spPr>
    <a:ln>
      <a:noFill/>
    </a:ln>
  </c:spPr>
  <c:txPr>
    <a:bodyPr/>
    <a:lstStyle/>
    <a:p>
      <a:pPr>
        <a:defRPr sz="700">
          <a:solidFill>
            <a:schemeClr val="tx1"/>
          </a:solidFill>
          <a:latin typeface="Source Sans Pro" panose="020B0503030403020204" pitchFamily="34" charset="0"/>
          <a:ea typeface="Source Sans Pro" panose="020B0503030403020204" pitchFamily="34" charset="0"/>
        </a:defRPr>
      </a:pPr>
      <a:endParaRPr lang="it-I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0" i="0" u="none" strike="noStrike" kern="1200" spc="0" baseline="0">
                <a:solidFill>
                  <a:schemeClr val="tx2"/>
                </a:solidFill>
                <a:latin typeface="Source Sans Pro" panose="020B0503030403020204" pitchFamily="34" charset="0"/>
                <a:ea typeface="+mn-ea"/>
                <a:cs typeface="+mn-cs"/>
              </a:defRPr>
            </a:pPr>
            <a:r>
              <a:rPr lang="en-US" sz="700" b="1"/>
              <a:t>Breakdown of rated entities by legal form</a:t>
            </a:r>
          </a:p>
          <a:p>
            <a:pPr>
              <a:defRPr/>
            </a:pPr>
            <a:r>
              <a:rPr lang="en-US" sz="700" b="0"/>
              <a:t>Years</a:t>
            </a:r>
            <a:r>
              <a:rPr lang="en-US" sz="700" b="0" baseline="0"/>
              <a:t> from 2008 to 2022</a:t>
            </a:r>
            <a:endParaRPr lang="en-US" sz="700" b="0"/>
          </a:p>
        </c:rich>
      </c:tx>
      <c:overlay val="0"/>
      <c:spPr>
        <a:noFill/>
        <a:ln>
          <a:noFill/>
        </a:ln>
        <a:effectLst/>
      </c:spPr>
      <c:txPr>
        <a:bodyPr rot="0" spcFirstLastPara="1" vertOverflow="ellipsis" vert="horz" wrap="square" anchor="ctr" anchorCtr="1"/>
        <a:lstStyle/>
        <a:p>
          <a:pPr>
            <a:defRPr sz="840" b="0" i="0" u="none" strike="noStrike" kern="1200" spc="0" baseline="0">
              <a:solidFill>
                <a:schemeClr val="tx2"/>
              </a:solidFill>
              <a:latin typeface="Source Sans Pro" panose="020B0503030403020204" pitchFamily="34" charset="0"/>
              <a:ea typeface="+mn-ea"/>
              <a:cs typeface="+mn-cs"/>
            </a:defRPr>
          </a:pPr>
          <a:endParaRPr lang="it-IT"/>
        </a:p>
      </c:txPr>
    </c:title>
    <c:autoTitleDeleted val="0"/>
    <c:plotArea>
      <c:layout>
        <c:manualLayout>
          <c:layoutTarget val="inner"/>
          <c:xMode val="edge"/>
          <c:yMode val="edge"/>
          <c:x val="2.1417445482866043E-2"/>
          <c:y val="0.15469135802469136"/>
          <c:w val="0.95716510903426788"/>
          <c:h val="0.64702861216422025"/>
        </c:manualLayout>
      </c:layout>
      <c:barChart>
        <c:barDir val="col"/>
        <c:grouping val="percentStacked"/>
        <c:varyColors val="0"/>
        <c:ser>
          <c:idx val="0"/>
          <c:order val="0"/>
          <c:tx>
            <c:strRef>
              <c:f>Foglio1!$B$1</c:f>
              <c:strCache>
                <c:ptCount val="1"/>
                <c:pt idx="0">
                  <c:v>Joint Stock and Limited Liability Company</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bg1"/>
                    </a:solidFill>
                    <a:latin typeface="Source Sans Pro" panose="020B0503030403020204" pitchFamily="34" charset="0"/>
                    <a:ea typeface="+mn-ea"/>
                    <a:cs typeface="+mn-cs"/>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Foglio1!$A$2:$A$16</c:f>
              <c:strCache>
                <c:ptCount val="15"/>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strCache>
            </c:strRef>
          </c:cat>
          <c:val>
            <c:numRef>
              <c:f>Foglio1!$B$2:$B$16</c:f>
              <c:numCache>
                <c:formatCode>0.0%</c:formatCode>
                <c:ptCount val="15"/>
                <c:pt idx="0">
                  <c:v>0.73226802532036439</c:v>
                </c:pt>
                <c:pt idx="1">
                  <c:v>0.67060093473464444</c:v>
                </c:pt>
                <c:pt idx="2">
                  <c:v>0.71060267707901525</c:v>
                </c:pt>
                <c:pt idx="3">
                  <c:v>0.91978622980296176</c:v>
                </c:pt>
                <c:pt idx="4">
                  <c:v>0.94183787822189013</c:v>
                </c:pt>
                <c:pt idx="5">
                  <c:v>0.94185172531602324</c:v>
                </c:pt>
                <c:pt idx="6">
                  <c:v>0.91886561479869422</c:v>
                </c:pt>
                <c:pt idx="7">
                  <c:v>0.92446991985391092</c:v>
                </c:pt>
                <c:pt idx="8">
                  <c:v>0.8573518943288776</c:v>
                </c:pt>
                <c:pt idx="9">
                  <c:v>0.86578296647614417</c:v>
                </c:pt>
                <c:pt idx="10">
                  <c:v>0.91636657900060692</c:v>
                </c:pt>
                <c:pt idx="11">
                  <c:v>0.94832278946594084</c:v>
                </c:pt>
                <c:pt idx="12">
                  <c:v>0.96820764859468589</c:v>
                </c:pt>
                <c:pt idx="13">
                  <c:v>0.97549591598599772</c:v>
                </c:pt>
                <c:pt idx="14">
                  <c:v>0.97784413257688862</c:v>
                </c:pt>
              </c:numCache>
            </c:numRef>
          </c:val>
          <c:extLst>
            <c:ext xmlns:c16="http://schemas.microsoft.com/office/drawing/2014/chart" uri="{C3380CC4-5D6E-409C-BE32-E72D297353CC}">
              <c16:uniqueId val="{00000000-664F-4937-8504-4AE5249D9454}"/>
            </c:ext>
          </c:extLst>
        </c:ser>
        <c:ser>
          <c:idx val="1"/>
          <c:order val="1"/>
          <c:tx>
            <c:strRef>
              <c:f>Foglio1!$C$1</c:f>
              <c:strCache>
                <c:ptCount val="1"/>
                <c:pt idx="0">
                  <c:v>Unlimited Partnership</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bg1"/>
                    </a:solidFill>
                    <a:latin typeface="Source Sans Pro" panose="020B0503030403020204" pitchFamily="34" charset="0"/>
                    <a:ea typeface="+mn-ea"/>
                    <a:cs typeface="+mn-cs"/>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Foglio1!$A$2:$A$16</c:f>
              <c:strCache>
                <c:ptCount val="15"/>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strCache>
            </c:strRef>
          </c:cat>
          <c:val>
            <c:numRef>
              <c:f>Foglio1!$C$2:$C$16</c:f>
              <c:numCache>
                <c:formatCode>0.0%</c:formatCode>
                <c:ptCount val="15"/>
                <c:pt idx="0">
                  <c:v>0.1758067006330091</c:v>
                </c:pt>
                <c:pt idx="1">
                  <c:v>0.27071718345946716</c:v>
                </c:pt>
                <c:pt idx="2">
                  <c:v>0.26480617252584143</c:v>
                </c:pt>
                <c:pt idx="3">
                  <c:v>7.1423220038458662E-2</c:v>
                </c:pt>
                <c:pt idx="4">
                  <c:v>5.2372058274187526E-2</c:v>
                </c:pt>
                <c:pt idx="5">
                  <c:v>5.186197471814144E-2</c:v>
                </c:pt>
                <c:pt idx="6">
                  <c:v>6.6342491838955381E-2</c:v>
                </c:pt>
                <c:pt idx="7">
                  <c:v>5.9044333975854721E-2</c:v>
                </c:pt>
                <c:pt idx="8">
                  <c:v>7.8976508740014231E-2</c:v>
                </c:pt>
                <c:pt idx="9">
                  <c:v>7.2682313835177759E-2</c:v>
                </c:pt>
                <c:pt idx="10">
                  <c:v>4.8351203722435766E-2</c:v>
                </c:pt>
                <c:pt idx="11">
                  <c:v>4.1194644696189497E-2</c:v>
                </c:pt>
                <c:pt idx="12">
                  <c:v>3.0640454615266471E-2</c:v>
                </c:pt>
                <c:pt idx="13">
                  <c:v>2.3705705336854389E-2</c:v>
                </c:pt>
                <c:pt idx="14">
                  <c:v>2.1200358315915199E-2</c:v>
                </c:pt>
              </c:numCache>
            </c:numRef>
          </c:val>
          <c:extLst>
            <c:ext xmlns:c16="http://schemas.microsoft.com/office/drawing/2014/chart" uri="{C3380CC4-5D6E-409C-BE32-E72D297353CC}">
              <c16:uniqueId val="{00000001-664F-4937-8504-4AE5249D9454}"/>
            </c:ext>
          </c:extLst>
        </c:ser>
        <c:ser>
          <c:idx val="2"/>
          <c:order val="2"/>
          <c:tx>
            <c:strRef>
              <c:f>Foglio1!$D$1</c:f>
              <c:strCache>
                <c:ptCount val="1"/>
                <c:pt idx="0">
                  <c:v>Sole Proprietorship</c:v>
                </c:pt>
              </c:strCache>
            </c:strRef>
          </c:tx>
          <c:spPr>
            <a:solidFill>
              <a:schemeClr val="accent4"/>
            </a:solidFill>
            <a:ln>
              <a:noFill/>
            </a:ln>
            <a:effectLst/>
          </c:spPr>
          <c:invertIfNegative val="0"/>
          <c:cat>
            <c:strRef>
              <c:f>Foglio1!$A$2:$A$16</c:f>
              <c:strCache>
                <c:ptCount val="15"/>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strCache>
            </c:strRef>
          </c:cat>
          <c:val>
            <c:numRef>
              <c:f>Foglio1!$D$2:$D$16</c:f>
              <c:numCache>
                <c:formatCode>0.0%</c:formatCode>
                <c:ptCount val="15"/>
                <c:pt idx="0">
                  <c:v>9.1925274046626523E-2</c:v>
                </c:pt>
                <c:pt idx="1">
                  <c:v>5.8681881805888354E-2</c:v>
                </c:pt>
                <c:pt idx="2">
                  <c:v>2.4591150395143282E-2</c:v>
                </c:pt>
                <c:pt idx="3">
                  <c:v>8.7905501585795274E-3</c:v>
                </c:pt>
                <c:pt idx="4">
                  <c:v>5.7900635039223013E-3</c:v>
                </c:pt>
                <c:pt idx="5">
                  <c:v>6.2862999658353262E-3</c:v>
                </c:pt>
                <c:pt idx="6">
                  <c:v>1.4791893362350381E-2</c:v>
                </c:pt>
                <c:pt idx="7">
                  <c:v>1.648574617023435E-2</c:v>
                </c:pt>
                <c:pt idx="8">
                  <c:v>6.3671596931108118E-2</c:v>
                </c:pt>
                <c:pt idx="9">
                  <c:v>6.1534719688678095E-2</c:v>
                </c:pt>
                <c:pt idx="10">
                  <c:v>3.5282217276957316E-2</c:v>
                </c:pt>
                <c:pt idx="11">
                  <c:v>1.0482565837869648E-2</c:v>
                </c:pt>
                <c:pt idx="12">
                  <c:v>1.1518967900476117E-3</c:v>
                </c:pt>
                <c:pt idx="13">
                  <c:v>7.9837867714794566E-4</c:v>
                </c:pt>
                <c:pt idx="14">
                  <c:v>9.5550910719617793E-4</c:v>
                </c:pt>
              </c:numCache>
            </c:numRef>
          </c:val>
          <c:extLst>
            <c:ext xmlns:c16="http://schemas.microsoft.com/office/drawing/2014/chart" uri="{C3380CC4-5D6E-409C-BE32-E72D297353CC}">
              <c16:uniqueId val="{00000002-664F-4937-8504-4AE5249D9454}"/>
            </c:ext>
          </c:extLst>
        </c:ser>
        <c:dLbls>
          <c:showLegendKey val="0"/>
          <c:showVal val="0"/>
          <c:showCatName val="0"/>
          <c:showSerName val="0"/>
          <c:showPercent val="0"/>
          <c:showBubbleSize val="0"/>
        </c:dLbls>
        <c:gapWidth val="50"/>
        <c:overlap val="100"/>
        <c:axId val="1486111168"/>
        <c:axId val="1486107808"/>
      </c:barChart>
      <c:catAx>
        <c:axId val="1486111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2"/>
                </a:solidFill>
                <a:latin typeface="Source Sans Pro" panose="020B0503030403020204" pitchFamily="34" charset="0"/>
                <a:ea typeface="+mn-ea"/>
                <a:cs typeface="+mn-cs"/>
              </a:defRPr>
            </a:pPr>
            <a:endParaRPr lang="it-IT"/>
          </a:p>
        </c:txPr>
        <c:crossAx val="1486107808"/>
        <c:crosses val="autoZero"/>
        <c:auto val="1"/>
        <c:lblAlgn val="ctr"/>
        <c:lblOffset val="100"/>
        <c:noMultiLvlLbl val="0"/>
      </c:catAx>
      <c:valAx>
        <c:axId val="1486107808"/>
        <c:scaling>
          <c:orientation val="minMax"/>
        </c:scaling>
        <c:delete val="1"/>
        <c:axPos val="l"/>
        <c:numFmt formatCode="0%" sourceLinked="1"/>
        <c:majorTickMark val="none"/>
        <c:minorTickMark val="none"/>
        <c:tickLblPos val="nextTo"/>
        <c:crossAx val="1486111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2"/>
              </a:solidFill>
              <a:latin typeface="Source Sans Pro" panose="020B0503030403020204" pitchFamily="34" charset="0"/>
              <a:ea typeface="+mn-ea"/>
              <a:cs typeface="+mn-cs"/>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solidFill>
            <a:schemeClr val="tx2"/>
          </a:solidFill>
          <a:latin typeface="Source Sans Pro" panose="020B0503030403020204" pitchFamily="34" charset="0"/>
        </a:defRPr>
      </a:pPr>
      <a:endParaRPr lang="it-IT"/>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0" i="0" u="none" strike="noStrike" kern="1200" spc="0" baseline="0">
                <a:solidFill>
                  <a:schemeClr val="tx1"/>
                </a:solidFill>
                <a:latin typeface="Source Sans Pro" panose="020B0503030403020204" pitchFamily="34" charset="0"/>
                <a:ea typeface="Source Sans Pro" panose="020B0503030403020204" pitchFamily="34" charset="0"/>
                <a:cs typeface="+mn-cs"/>
              </a:defRPr>
            </a:pPr>
            <a:r>
              <a:rPr lang="en-US" sz="700" b="1"/>
              <a:t>Rating distribution of Small and Medium rated entities </a:t>
            </a:r>
          </a:p>
          <a:p>
            <a:pPr>
              <a:defRPr/>
            </a:pPr>
            <a:r>
              <a:rPr lang="en-US" sz="700"/>
              <a:t>Pools from 2008 to 2022</a:t>
            </a:r>
          </a:p>
        </c:rich>
      </c:tx>
      <c:overlay val="0"/>
      <c:spPr>
        <a:noFill/>
        <a:ln>
          <a:noFill/>
        </a:ln>
        <a:effectLst/>
      </c:spPr>
      <c:txPr>
        <a:bodyPr rot="0" spcFirstLastPara="1" vertOverflow="ellipsis" vert="horz" wrap="square" anchor="ctr" anchorCtr="1"/>
        <a:lstStyle/>
        <a:p>
          <a:pPr>
            <a:defRPr sz="840" b="0" i="0" u="none" strike="noStrike" kern="1200" spc="0" baseline="0">
              <a:solidFill>
                <a:schemeClr val="tx1"/>
              </a:solidFill>
              <a:latin typeface="Source Sans Pro" panose="020B0503030403020204" pitchFamily="34" charset="0"/>
              <a:ea typeface="Source Sans Pro" panose="020B0503030403020204" pitchFamily="34" charset="0"/>
              <a:cs typeface="+mn-cs"/>
            </a:defRPr>
          </a:pPr>
          <a:endParaRPr lang="it-IT"/>
        </a:p>
      </c:txPr>
    </c:title>
    <c:autoTitleDeleted val="0"/>
    <c:plotArea>
      <c:layout>
        <c:manualLayout>
          <c:layoutTarget val="inner"/>
          <c:xMode val="edge"/>
          <c:yMode val="edge"/>
          <c:x val="2.1361297213321681E-2"/>
          <c:y val="0.15945716709075489"/>
          <c:w val="0.97475483056607437"/>
          <c:h val="0.75617799683436515"/>
        </c:manualLayout>
      </c:layout>
      <c:barChart>
        <c:barDir val="col"/>
        <c:grouping val="clustered"/>
        <c:varyColors val="0"/>
        <c:ser>
          <c:idx val="0"/>
          <c:order val="0"/>
          <c:spPr>
            <a:solidFill>
              <a:schemeClr val="accent1"/>
            </a:solidFill>
            <a:ln>
              <a:noFill/>
            </a:ln>
            <a:effectLst/>
          </c:spPr>
          <c:invertIfNegative val="0"/>
          <c:dLbls>
            <c:numFmt formatCode="0.00%" sourceLinked="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Source Sans Pro" panose="020B0503030403020204" pitchFamily="34" charset="0"/>
                    <a:ea typeface="Source Sans Pro" panose="020B0503030403020204" pitchFamily="34" charset="0"/>
                    <a:cs typeface="+mn-cs"/>
                  </a:defRPr>
                </a:pPr>
                <a:endParaRPr lang="it-I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'[20230322_DS 03 - DS2022 - Grafici rating ENG_v1.xlsx]data'!$K$782:$K$794</c:f>
              <c:strCache>
                <c:ptCount val="13"/>
                <c:pt idx="0">
                  <c:v>A1.1</c:v>
                </c:pt>
                <c:pt idx="1">
                  <c:v>A1.2</c:v>
                </c:pt>
                <c:pt idx="2">
                  <c:v>A1.3</c:v>
                </c:pt>
                <c:pt idx="3">
                  <c:v>A2.1</c:v>
                </c:pt>
                <c:pt idx="4">
                  <c:v>A2.2</c:v>
                </c:pt>
                <c:pt idx="5">
                  <c:v>A3.1</c:v>
                </c:pt>
                <c:pt idx="6">
                  <c:v>B1.1</c:v>
                </c:pt>
                <c:pt idx="7">
                  <c:v>B1.2</c:v>
                </c:pt>
                <c:pt idx="8">
                  <c:v>B2.1</c:v>
                </c:pt>
                <c:pt idx="9">
                  <c:v>B2.2</c:v>
                </c:pt>
                <c:pt idx="10">
                  <c:v>C1.1</c:v>
                </c:pt>
                <c:pt idx="11">
                  <c:v>C1.2</c:v>
                </c:pt>
                <c:pt idx="12">
                  <c:v>C2.1</c:v>
                </c:pt>
              </c:strCache>
            </c:strRef>
          </c:cat>
          <c:val>
            <c:numRef>
              <c:f>'[20230322_DS 03 - DS2022 - Grafici rating ENG_v1.xlsx]data'!$M$782:$M$794</c:f>
              <c:numCache>
                <c:formatCode>0.0%</c:formatCode>
                <c:ptCount val="13"/>
                <c:pt idx="0">
                  <c:v>0</c:v>
                </c:pt>
                <c:pt idx="1">
                  <c:v>5.947443381904121E-5</c:v>
                </c:pt>
                <c:pt idx="2">
                  <c:v>2.3789773527616484E-4</c:v>
                </c:pt>
                <c:pt idx="3">
                  <c:v>2.9236379572097101E-3</c:v>
                </c:pt>
                <c:pt idx="4">
                  <c:v>3.5490585823173118E-2</c:v>
                </c:pt>
                <c:pt idx="5">
                  <c:v>0.11056610270295651</c:v>
                </c:pt>
                <c:pt idx="6">
                  <c:v>0.18778582943358427</c:v>
                </c:pt>
                <c:pt idx="7">
                  <c:v>0.20599439688228757</c:v>
                </c:pt>
                <c:pt idx="8">
                  <c:v>0.22281627095299955</c:v>
                </c:pt>
                <c:pt idx="9">
                  <c:v>0.1102624700671435</c:v>
                </c:pt>
                <c:pt idx="10">
                  <c:v>7.7611005900489888E-2</c:v>
                </c:pt>
                <c:pt idx="11">
                  <c:v>2.7602397758752915E-2</c:v>
                </c:pt>
                <c:pt idx="12">
                  <c:v>1.8649930352307765E-2</c:v>
                </c:pt>
              </c:numCache>
            </c:numRef>
          </c:val>
          <c:extLst>
            <c:ext xmlns:c16="http://schemas.microsoft.com/office/drawing/2014/chart" uri="{C3380CC4-5D6E-409C-BE32-E72D297353CC}">
              <c16:uniqueId val="{00000000-3B28-41D0-80E0-B838D56A35C5}"/>
            </c:ext>
          </c:extLst>
        </c:ser>
        <c:dLbls>
          <c:dLblPos val="outEnd"/>
          <c:showLegendKey val="0"/>
          <c:showVal val="1"/>
          <c:showCatName val="0"/>
          <c:showSerName val="0"/>
          <c:showPercent val="0"/>
          <c:showBubbleSize val="0"/>
        </c:dLbls>
        <c:gapWidth val="20"/>
        <c:overlap val="-27"/>
        <c:axId val="569462736"/>
        <c:axId val="569465136"/>
      </c:barChart>
      <c:catAx>
        <c:axId val="569462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Source Sans Pro" panose="020B0503030403020204" pitchFamily="34" charset="0"/>
                <a:ea typeface="Source Sans Pro" panose="020B0503030403020204" pitchFamily="34" charset="0"/>
                <a:cs typeface="+mn-cs"/>
              </a:defRPr>
            </a:pPr>
            <a:endParaRPr lang="it-IT"/>
          </a:p>
        </c:txPr>
        <c:crossAx val="569465136"/>
        <c:crosses val="autoZero"/>
        <c:auto val="1"/>
        <c:lblAlgn val="ctr"/>
        <c:lblOffset val="100"/>
        <c:noMultiLvlLbl val="0"/>
      </c:catAx>
      <c:valAx>
        <c:axId val="569465136"/>
        <c:scaling>
          <c:orientation val="minMax"/>
        </c:scaling>
        <c:delete val="1"/>
        <c:axPos val="l"/>
        <c:numFmt formatCode="0.0%" sourceLinked="1"/>
        <c:majorTickMark val="none"/>
        <c:minorTickMark val="none"/>
        <c:tickLblPos val="nextTo"/>
        <c:crossAx val="56946273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700">
          <a:solidFill>
            <a:schemeClr val="tx1"/>
          </a:solidFill>
          <a:latin typeface="Source Sans Pro" panose="020B0503030403020204" pitchFamily="34" charset="0"/>
          <a:ea typeface="Source Sans Pro" panose="020B0503030403020204" pitchFamily="34" charset="0"/>
        </a:defRPr>
      </a:pPr>
      <a:endParaRPr lang="it-IT"/>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lgn="ctr">
              <a:defRPr/>
            </a:pPr>
            <a:r>
              <a:rPr lang="en-US" sz="700"/>
              <a:t>Distribution of SMEs by area of risk</a:t>
            </a:r>
            <a:r>
              <a:rPr lang="en-US" sz="700" baseline="0"/>
              <a:t> and size</a:t>
            </a:r>
            <a:endParaRPr lang="it-IT" sz="700"/>
          </a:p>
        </c:rich>
      </c:tx>
      <c:layout>
        <c:manualLayout>
          <c:xMode val="edge"/>
          <c:yMode val="edge"/>
          <c:x val="0.3754558680744729"/>
          <c:y val="1.2490252189978844E-2"/>
        </c:manualLayout>
      </c:layout>
      <c:overlay val="0"/>
    </c:title>
    <c:autoTitleDeleted val="0"/>
    <c:plotArea>
      <c:layout/>
      <c:barChart>
        <c:barDir val="col"/>
        <c:grouping val="percentStacked"/>
        <c:varyColors val="0"/>
        <c:ser>
          <c:idx val="0"/>
          <c:order val="0"/>
          <c:tx>
            <c:strRef>
              <c:f>'[20230322_DS 03 - DS2022 - Grafici rating ENG_v1.xlsx]data'!$A$804:$B$804</c:f>
              <c:strCache>
                <c:ptCount val="2"/>
                <c:pt idx="0">
                  <c:v>A1.1 - A3.1</c:v>
                </c:pt>
                <c:pt idx="1">
                  <c:v>[Safety]</c:v>
                </c:pt>
              </c:strCache>
            </c:strRef>
          </c:tx>
          <c:spPr>
            <a:solidFill>
              <a:schemeClr val="accent1"/>
            </a:solidFill>
          </c:spPr>
          <c:invertIfNegative val="0"/>
          <c:dLbls>
            <c:spPr>
              <a:noFill/>
              <a:ln>
                <a:noFill/>
              </a:ln>
              <a:effectLst/>
            </c:spPr>
            <c:txPr>
              <a:bodyPr/>
              <a:lstStyle/>
              <a:p>
                <a:pPr>
                  <a:defRPr b="1">
                    <a:solidFill>
                      <a:schemeClr val="bg1"/>
                    </a:solidFil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'[20230322_DS 03 - DS2022 - Grafici rating ENG_v1.xlsx]data'!$C$803:$D$803</c:f>
              <c:strCache>
                <c:ptCount val="2"/>
                <c:pt idx="0">
                  <c:v>Small</c:v>
                </c:pt>
                <c:pt idx="1">
                  <c:v>Medium</c:v>
                </c:pt>
              </c:strCache>
            </c:strRef>
          </c:cat>
          <c:val>
            <c:numRef>
              <c:f>'[20230322_DS 03 - DS2022 - Grafici rating ENG_v1.xlsx]data'!$C$804:$D$804</c:f>
              <c:numCache>
                <c:formatCode>0.00%</c:formatCode>
                <c:ptCount val="2"/>
                <c:pt idx="0">
                  <c:v>0.11092030887945886</c:v>
                </c:pt>
                <c:pt idx="1">
                  <c:v>0.19986064336314016</c:v>
                </c:pt>
              </c:numCache>
            </c:numRef>
          </c:val>
          <c:extLst>
            <c:ext xmlns:c16="http://schemas.microsoft.com/office/drawing/2014/chart" uri="{C3380CC4-5D6E-409C-BE32-E72D297353CC}">
              <c16:uniqueId val="{00000000-6260-4057-B256-EC03FD18A4BD}"/>
            </c:ext>
          </c:extLst>
        </c:ser>
        <c:ser>
          <c:idx val="1"/>
          <c:order val="1"/>
          <c:tx>
            <c:strRef>
              <c:f>'[20230322_DS 03 - DS2022 - Grafici rating ENG_v1.xlsx]data'!$A$805:$B$805</c:f>
              <c:strCache>
                <c:ptCount val="2"/>
                <c:pt idx="0">
                  <c:v>B1.1 - B1.2</c:v>
                </c:pt>
                <c:pt idx="1">
                  <c:v>[Solvency]</c:v>
                </c:pt>
              </c:strCache>
            </c:strRef>
          </c:tx>
          <c:invertIfNegative val="0"/>
          <c:dPt>
            <c:idx val="0"/>
            <c:invertIfNegative val="0"/>
            <c:bubble3D val="0"/>
            <c:spPr>
              <a:solidFill>
                <a:schemeClr val="accent3"/>
              </a:solidFill>
              <a:ln>
                <a:solidFill>
                  <a:sysClr val="windowText" lastClr="000000">
                    <a:tint val="75000"/>
                    <a:shade val="95000"/>
                    <a:satMod val="105000"/>
                  </a:sysClr>
                </a:solidFill>
              </a:ln>
            </c:spPr>
            <c:extLst>
              <c:ext xmlns:c16="http://schemas.microsoft.com/office/drawing/2014/chart" uri="{C3380CC4-5D6E-409C-BE32-E72D297353CC}">
                <c16:uniqueId val="{00000002-6260-4057-B256-EC03FD18A4BD}"/>
              </c:ext>
            </c:extLst>
          </c:dPt>
          <c:dPt>
            <c:idx val="1"/>
            <c:invertIfNegative val="0"/>
            <c:bubble3D val="0"/>
            <c:spPr>
              <a:solidFill>
                <a:schemeClr val="accent3"/>
              </a:solidFill>
            </c:spPr>
            <c:extLst>
              <c:ext xmlns:c16="http://schemas.microsoft.com/office/drawing/2014/chart" uri="{C3380CC4-5D6E-409C-BE32-E72D297353CC}">
                <c16:uniqueId val="{00000006-6260-4057-B256-EC03FD18A4BD}"/>
              </c:ext>
            </c:extLst>
          </c:dPt>
          <c:dLbls>
            <c:spPr>
              <a:noFill/>
              <a:ln>
                <a:noFill/>
              </a:ln>
              <a:effectLst/>
            </c:spPr>
            <c:txPr>
              <a:bodyPr/>
              <a:lstStyle/>
              <a:p>
                <a:pPr>
                  <a:defRPr b="1">
                    <a:solidFill>
                      <a:schemeClr val="bg1"/>
                    </a:solidFil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'[20230322_DS 03 - DS2022 - Grafici rating ENG_v1.xlsx]data'!$C$803:$D$803</c:f>
              <c:strCache>
                <c:ptCount val="2"/>
                <c:pt idx="0">
                  <c:v>Small</c:v>
                </c:pt>
                <c:pt idx="1">
                  <c:v>Medium</c:v>
                </c:pt>
              </c:strCache>
            </c:strRef>
          </c:cat>
          <c:val>
            <c:numRef>
              <c:f>'[20230322_DS 03 - DS2022 - Grafici rating ENG_v1.xlsx]data'!$C$805:$D$805</c:f>
              <c:numCache>
                <c:formatCode>0.00%</c:formatCode>
                <c:ptCount val="2"/>
                <c:pt idx="0">
                  <c:v>0.37573546004436154</c:v>
                </c:pt>
                <c:pt idx="1">
                  <c:v>0.41757635582394609</c:v>
                </c:pt>
              </c:numCache>
            </c:numRef>
          </c:val>
          <c:extLst>
            <c:ext xmlns:c16="http://schemas.microsoft.com/office/drawing/2014/chart" uri="{C3380CC4-5D6E-409C-BE32-E72D297353CC}">
              <c16:uniqueId val="{00000003-6260-4057-B256-EC03FD18A4BD}"/>
            </c:ext>
          </c:extLst>
        </c:ser>
        <c:ser>
          <c:idx val="2"/>
          <c:order val="2"/>
          <c:tx>
            <c:strRef>
              <c:f>'[20230322_DS 03 - DS2022 - Grafici rating ENG_v1.xlsx]data'!$A$806:$B$806</c:f>
              <c:strCache>
                <c:ptCount val="2"/>
                <c:pt idx="0">
                  <c:v>B2.1 - B2.2</c:v>
                </c:pt>
                <c:pt idx="1">
                  <c:v>[Vulnerability]</c:v>
                </c:pt>
              </c:strCache>
            </c:strRef>
          </c:tx>
          <c:spPr>
            <a:solidFill>
              <a:schemeClr val="accent5"/>
            </a:solidFill>
          </c:spPr>
          <c:invertIfNegative val="0"/>
          <c:dLbls>
            <c:spPr>
              <a:noFill/>
              <a:ln>
                <a:noFill/>
              </a:ln>
              <a:effectLst/>
            </c:spPr>
            <c:txPr>
              <a:bodyPr/>
              <a:lstStyle/>
              <a:p>
                <a:pPr>
                  <a:defRPr b="1">
                    <a:solidFill>
                      <a:schemeClr val="bg1"/>
                    </a:solidFil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'[20230322_DS 03 - DS2022 - Grafici rating ENG_v1.xlsx]data'!$C$803:$D$803</c:f>
              <c:strCache>
                <c:ptCount val="2"/>
                <c:pt idx="0">
                  <c:v>Small</c:v>
                </c:pt>
                <c:pt idx="1">
                  <c:v>Medium</c:v>
                </c:pt>
              </c:strCache>
            </c:strRef>
          </c:cat>
          <c:val>
            <c:numRef>
              <c:f>'[20230322_DS 03 - DS2022 - Grafici rating ENG_v1.xlsx]data'!$C$806:$D$806</c:f>
              <c:numCache>
                <c:formatCode>0.00%</c:formatCode>
                <c:ptCount val="2"/>
                <c:pt idx="0">
                  <c:v>0.36868495065744211</c:v>
                </c:pt>
                <c:pt idx="1">
                  <c:v>0.28612385321100919</c:v>
                </c:pt>
              </c:numCache>
            </c:numRef>
          </c:val>
          <c:extLst>
            <c:ext xmlns:c16="http://schemas.microsoft.com/office/drawing/2014/chart" uri="{C3380CC4-5D6E-409C-BE32-E72D297353CC}">
              <c16:uniqueId val="{00000004-6260-4057-B256-EC03FD18A4BD}"/>
            </c:ext>
          </c:extLst>
        </c:ser>
        <c:ser>
          <c:idx val="3"/>
          <c:order val="3"/>
          <c:tx>
            <c:strRef>
              <c:f>'[20230322_DS 03 - DS2022 - Grafici rating ENG_v1.xlsx]data'!$A$807:$B$807</c:f>
              <c:strCache>
                <c:ptCount val="2"/>
                <c:pt idx="0">
                  <c:v>C1.1 - C2.1</c:v>
                </c:pt>
                <c:pt idx="1">
                  <c:v>[Risk]</c:v>
                </c:pt>
              </c:strCache>
            </c:strRef>
          </c:tx>
          <c:spPr>
            <a:solidFill>
              <a:schemeClr val="tx2"/>
            </a:solidFill>
          </c:spPr>
          <c:invertIfNegative val="0"/>
          <c:dLbls>
            <c:spPr>
              <a:noFill/>
              <a:ln>
                <a:noFill/>
              </a:ln>
              <a:effectLst/>
            </c:spPr>
            <c:txPr>
              <a:bodyPr/>
              <a:lstStyle/>
              <a:p>
                <a:pPr>
                  <a:defRPr b="1">
                    <a:solidFill>
                      <a:schemeClr val="bg1"/>
                    </a:solidFil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'[20230322_DS 03 - DS2022 - Grafici rating ENG_v1.xlsx]data'!$C$803:$D$803</c:f>
              <c:strCache>
                <c:ptCount val="2"/>
                <c:pt idx="0">
                  <c:v>Small</c:v>
                </c:pt>
                <c:pt idx="1">
                  <c:v>Medium</c:v>
                </c:pt>
              </c:strCache>
            </c:strRef>
          </c:cat>
          <c:val>
            <c:numRef>
              <c:f>'[20230322_DS 03 - DS2022 - Grafici rating ENG_v1.xlsx]data'!$C$807:$D$807</c:f>
              <c:numCache>
                <c:formatCode>0.00%</c:formatCode>
                <c:ptCount val="2"/>
                <c:pt idx="0">
                  <c:v>0.14465928041873752</c:v>
                </c:pt>
                <c:pt idx="1">
                  <c:v>9.6439147601904543E-2</c:v>
                </c:pt>
              </c:numCache>
            </c:numRef>
          </c:val>
          <c:extLst>
            <c:ext xmlns:c16="http://schemas.microsoft.com/office/drawing/2014/chart" uri="{C3380CC4-5D6E-409C-BE32-E72D297353CC}">
              <c16:uniqueId val="{00000005-6260-4057-B256-EC03FD18A4BD}"/>
            </c:ext>
          </c:extLst>
        </c:ser>
        <c:dLbls>
          <c:showLegendKey val="0"/>
          <c:showVal val="0"/>
          <c:showCatName val="0"/>
          <c:showSerName val="0"/>
          <c:showPercent val="0"/>
          <c:showBubbleSize val="0"/>
        </c:dLbls>
        <c:gapWidth val="50"/>
        <c:overlap val="100"/>
        <c:axId val="418109328"/>
        <c:axId val="418112856"/>
      </c:barChart>
      <c:catAx>
        <c:axId val="418109328"/>
        <c:scaling>
          <c:orientation val="minMax"/>
        </c:scaling>
        <c:delete val="0"/>
        <c:axPos val="b"/>
        <c:numFmt formatCode="General" sourceLinked="0"/>
        <c:majorTickMark val="out"/>
        <c:minorTickMark val="none"/>
        <c:tickLblPos val="nextTo"/>
        <c:crossAx val="418112856"/>
        <c:crosses val="autoZero"/>
        <c:auto val="1"/>
        <c:lblAlgn val="ctr"/>
        <c:lblOffset val="100"/>
        <c:noMultiLvlLbl val="0"/>
      </c:catAx>
      <c:valAx>
        <c:axId val="418112856"/>
        <c:scaling>
          <c:orientation val="minMax"/>
        </c:scaling>
        <c:delete val="1"/>
        <c:axPos val="l"/>
        <c:numFmt formatCode="0%" sourceLinked="1"/>
        <c:majorTickMark val="out"/>
        <c:minorTickMark val="none"/>
        <c:tickLblPos val="nextTo"/>
        <c:crossAx val="418109328"/>
        <c:crosses val="autoZero"/>
        <c:crossBetween val="between"/>
      </c:valAx>
    </c:plotArea>
    <c:legend>
      <c:legendPos val="b"/>
      <c:layout>
        <c:manualLayout>
          <c:xMode val="edge"/>
          <c:yMode val="edge"/>
          <c:x val="0.109683639274507"/>
          <c:y val="0.93867662915192596"/>
          <c:w val="0.65487135074553193"/>
          <c:h val="4.7146189725803582E-2"/>
        </c:manualLayout>
      </c:layout>
      <c:overlay val="0"/>
    </c:legend>
    <c:plotVisOnly val="1"/>
    <c:dispBlanksAs val="gap"/>
    <c:showDLblsOverMax val="0"/>
  </c:chart>
  <c:spPr>
    <a:ln>
      <a:noFill/>
    </a:ln>
  </c:spPr>
  <c:txPr>
    <a:bodyPr/>
    <a:lstStyle/>
    <a:p>
      <a:pPr>
        <a:defRPr sz="700">
          <a:latin typeface="Source Sans Pro" panose="020B0503030403020204" pitchFamily="34" charset="0"/>
          <a:ea typeface="Source Sans Pro" panose="020B0503030403020204" pitchFamily="34" charset="0"/>
        </a:defRPr>
      </a:pPr>
      <a:endParaRPr lang="it-IT"/>
    </a:p>
  </c:txPr>
  <c:externalData r:id="rId1">
    <c:autoUpdate val="0"/>
  </c:externalData>
  <c:userShapes r:id="rId2"/>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nchor="ctr" anchorCtr="0"/>
          <a:lstStyle/>
          <a:p>
            <a:pPr>
              <a:defRPr/>
            </a:pPr>
            <a:r>
              <a:rPr lang="en-US" sz="700"/>
              <a:t>SMEs: breakdown of default rated entitites by risk categories</a:t>
            </a:r>
          </a:p>
          <a:p>
            <a:pPr>
              <a:defRPr/>
            </a:pPr>
            <a:r>
              <a:rPr lang="en-US" sz="700" b="0"/>
              <a:t>1-year</a:t>
            </a:r>
            <a:r>
              <a:rPr lang="en-US" sz="700" b="0" baseline="0"/>
              <a:t> default events</a:t>
            </a:r>
            <a:endParaRPr lang="it-IT" sz="700" b="0"/>
          </a:p>
        </c:rich>
      </c:tx>
      <c:layout>
        <c:manualLayout>
          <c:xMode val="edge"/>
          <c:yMode val="edge"/>
          <c:x val="0.2812356756526424"/>
          <c:y val="2.2544280410544536E-2"/>
        </c:manualLayout>
      </c:layout>
      <c:overlay val="0"/>
      <c:spPr>
        <a:ln>
          <a:noFill/>
        </a:ln>
      </c:spPr>
    </c:title>
    <c:autoTitleDeleted val="0"/>
    <c:plotArea>
      <c:layout/>
      <c:barChart>
        <c:barDir val="col"/>
        <c:grouping val="percentStacked"/>
        <c:varyColors val="0"/>
        <c:ser>
          <c:idx val="0"/>
          <c:order val="0"/>
          <c:tx>
            <c:strRef>
              <c:f>'[20230322_DS 03 - DS2022 - Grafici rating ENG_v1.xlsx]data'!$C$812</c:f>
              <c:strCache>
                <c:ptCount val="1"/>
                <c:pt idx="0">
                  <c:v>Investment</c:v>
                </c:pt>
              </c:strCache>
            </c:strRef>
          </c:tx>
          <c:invertIfNegative val="0"/>
          <c:cat>
            <c:multiLvlStrRef>
              <c:f>'[20230322_DS 03 - DS2022 - Grafici rating ENG_v1.xlsx]data'!$A$813:$B$828</c:f>
              <c:multiLvlStrCache>
                <c:ptCount val="16"/>
                <c:lvl>
                  <c:pt idx="0">
                    <c:v>Defaults 2009</c:v>
                  </c:pt>
                  <c:pt idx="1">
                    <c:v>Defaults 2010</c:v>
                  </c:pt>
                  <c:pt idx="2">
                    <c:v>Defaults 2011</c:v>
                  </c:pt>
                  <c:pt idx="3">
                    <c:v>Defaults 2012</c:v>
                  </c:pt>
                  <c:pt idx="4">
                    <c:v>Defaults 2013</c:v>
                  </c:pt>
                  <c:pt idx="5">
                    <c:v>Defaults 2014</c:v>
                  </c:pt>
                  <c:pt idx="6">
                    <c:v>Defaults 2015</c:v>
                  </c:pt>
                  <c:pt idx="7">
                    <c:v>Defaults 2016</c:v>
                  </c:pt>
                  <c:pt idx="8">
                    <c:v>Defaults 2017</c:v>
                  </c:pt>
                  <c:pt idx="9">
                    <c:v>Defaults 2018</c:v>
                  </c:pt>
                  <c:pt idx="10">
                    <c:v>Defaults 2019</c:v>
                  </c:pt>
                  <c:pt idx="11">
                    <c:v>Defaults 2020</c:v>
                  </c:pt>
                  <c:pt idx="12">
                    <c:v>Defaults 2021</c:v>
                  </c:pt>
                  <c:pt idx="13">
                    <c:v>Defaults 2022</c:v>
                  </c:pt>
                  <c:pt idx="14">
                    <c:v>Defaults 2023</c:v>
                  </c:pt>
                  <c:pt idx="15">
                    <c:v>2009-2023</c:v>
                  </c:pt>
                </c:lvl>
                <c:lvl>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pt idx="15">
                    <c:v>Average</c:v>
                  </c:pt>
                </c:lvl>
              </c:multiLvlStrCache>
            </c:multiLvlStrRef>
          </c:cat>
          <c:val>
            <c:numRef>
              <c:f>'[20230322_DS 03 - DS2022 - Grafici rating ENG_v1.xlsx]data'!$C$813:$C$828</c:f>
              <c:numCache>
                <c:formatCode>0.00%</c:formatCode>
                <c:ptCount val="16"/>
                <c:pt idx="0">
                  <c:v>3.2258064516129031E-2</c:v>
                </c:pt>
                <c:pt idx="1">
                  <c:v>2.5868440502586843E-2</c:v>
                </c:pt>
                <c:pt idx="2">
                  <c:v>3.3726812816188868E-2</c:v>
                </c:pt>
                <c:pt idx="3">
                  <c:v>6.4243448858833471E-2</c:v>
                </c:pt>
                <c:pt idx="4">
                  <c:v>4.5691906005221931E-2</c:v>
                </c:pt>
                <c:pt idx="5">
                  <c:v>8.4000000000000005E-2</c:v>
                </c:pt>
                <c:pt idx="6">
                  <c:v>9.8934550989345504E-2</c:v>
                </c:pt>
                <c:pt idx="7">
                  <c:v>9.4462540716612378E-2</c:v>
                </c:pt>
                <c:pt idx="8">
                  <c:v>8.4388185654008435E-2</c:v>
                </c:pt>
                <c:pt idx="9">
                  <c:v>7.2072072072072071E-2</c:v>
                </c:pt>
                <c:pt idx="10">
                  <c:v>8.1896551724137928E-2</c:v>
                </c:pt>
                <c:pt idx="11">
                  <c:v>8.3333333333333329E-2</c:v>
                </c:pt>
                <c:pt idx="12">
                  <c:v>1.0638297872340425E-2</c:v>
                </c:pt>
                <c:pt idx="13">
                  <c:v>7.6923076923076927E-2</c:v>
                </c:pt>
                <c:pt idx="14">
                  <c:v>7.3170731707317069E-2</c:v>
                </c:pt>
                <c:pt idx="15">
                  <c:v>5.3932842686292545E-2</c:v>
                </c:pt>
              </c:numCache>
            </c:numRef>
          </c:val>
          <c:extLst>
            <c:ext xmlns:c16="http://schemas.microsoft.com/office/drawing/2014/chart" uri="{C3380CC4-5D6E-409C-BE32-E72D297353CC}">
              <c16:uniqueId val="{00000000-FE54-4B20-9E02-65B59E649B81}"/>
            </c:ext>
          </c:extLst>
        </c:ser>
        <c:ser>
          <c:idx val="1"/>
          <c:order val="1"/>
          <c:tx>
            <c:strRef>
              <c:f>'[20230322_DS 03 - DS2022 - Grafici rating ENG_v1.xlsx]data'!$D$812</c:f>
              <c:strCache>
                <c:ptCount val="1"/>
                <c:pt idx="0">
                  <c:v>Speculative</c:v>
                </c:pt>
              </c:strCache>
            </c:strRef>
          </c:tx>
          <c:invertIfNegative val="0"/>
          <c:dLbls>
            <c:spPr>
              <a:noFill/>
              <a:ln>
                <a:noFill/>
              </a:ln>
              <a:effectLst/>
            </c:spPr>
            <c:txPr>
              <a:bodyPr/>
              <a:lstStyle/>
              <a:p>
                <a:pPr>
                  <a:defRPr b="1">
                    <a:solidFill>
                      <a:schemeClr val="bg1"/>
                    </a:solidFil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'[20230322_DS 03 - DS2022 - Grafici rating ENG_v1.xlsx]data'!$A$813:$B$828</c:f>
              <c:multiLvlStrCache>
                <c:ptCount val="16"/>
                <c:lvl>
                  <c:pt idx="0">
                    <c:v>Defaults 2009</c:v>
                  </c:pt>
                  <c:pt idx="1">
                    <c:v>Defaults 2010</c:v>
                  </c:pt>
                  <c:pt idx="2">
                    <c:v>Defaults 2011</c:v>
                  </c:pt>
                  <c:pt idx="3">
                    <c:v>Defaults 2012</c:v>
                  </c:pt>
                  <c:pt idx="4">
                    <c:v>Defaults 2013</c:v>
                  </c:pt>
                  <c:pt idx="5">
                    <c:v>Defaults 2014</c:v>
                  </c:pt>
                  <c:pt idx="6">
                    <c:v>Defaults 2015</c:v>
                  </c:pt>
                  <c:pt idx="7">
                    <c:v>Defaults 2016</c:v>
                  </c:pt>
                  <c:pt idx="8">
                    <c:v>Defaults 2017</c:v>
                  </c:pt>
                  <c:pt idx="9">
                    <c:v>Defaults 2018</c:v>
                  </c:pt>
                  <c:pt idx="10">
                    <c:v>Defaults 2019</c:v>
                  </c:pt>
                  <c:pt idx="11">
                    <c:v>Defaults 2020</c:v>
                  </c:pt>
                  <c:pt idx="12">
                    <c:v>Defaults 2021</c:v>
                  </c:pt>
                  <c:pt idx="13">
                    <c:v>Defaults 2022</c:v>
                  </c:pt>
                  <c:pt idx="14">
                    <c:v>Defaults 2023</c:v>
                  </c:pt>
                  <c:pt idx="15">
                    <c:v>2009-2023</c:v>
                  </c:pt>
                </c:lvl>
                <c:lvl>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pt idx="15">
                    <c:v>Average</c:v>
                  </c:pt>
                </c:lvl>
              </c:multiLvlStrCache>
            </c:multiLvlStrRef>
          </c:cat>
          <c:val>
            <c:numRef>
              <c:f>'[20230322_DS 03 - DS2022 - Grafici rating ENG_v1.xlsx]data'!$D$813:$D$828</c:f>
              <c:numCache>
                <c:formatCode>0.00%</c:formatCode>
                <c:ptCount val="16"/>
                <c:pt idx="0">
                  <c:v>0.967741935483871</c:v>
                </c:pt>
                <c:pt idx="1">
                  <c:v>0.97413155949741315</c:v>
                </c:pt>
                <c:pt idx="2">
                  <c:v>0.96627318718381117</c:v>
                </c:pt>
                <c:pt idx="3">
                  <c:v>0.93575655114116651</c:v>
                </c:pt>
                <c:pt idx="4">
                  <c:v>0.95430809399477812</c:v>
                </c:pt>
                <c:pt idx="5">
                  <c:v>0.91600000000000004</c:v>
                </c:pt>
                <c:pt idx="6">
                  <c:v>0.90106544901065444</c:v>
                </c:pt>
                <c:pt idx="7">
                  <c:v>0.90553745928338758</c:v>
                </c:pt>
                <c:pt idx="8">
                  <c:v>0.91561181434599159</c:v>
                </c:pt>
                <c:pt idx="9">
                  <c:v>0.92792792792792789</c:v>
                </c:pt>
                <c:pt idx="10">
                  <c:v>0.9181034482758621</c:v>
                </c:pt>
                <c:pt idx="11">
                  <c:v>0.91666666666666663</c:v>
                </c:pt>
                <c:pt idx="12">
                  <c:v>0.98936170212765961</c:v>
                </c:pt>
                <c:pt idx="13">
                  <c:v>0.92307692307692313</c:v>
                </c:pt>
                <c:pt idx="14">
                  <c:v>0.92682926829268297</c:v>
                </c:pt>
                <c:pt idx="15">
                  <c:v>0.9460671573137075</c:v>
                </c:pt>
              </c:numCache>
            </c:numRef>
          </c:val>
          <c:extLst>
            <c:ext xmlns:c16="http://schemas.microsoft.com/office/drawing/2014/chart" uri="{C3380CC4-5D6E-409C-BE32-E72D297353CC}">
              <c16:uniqueId val="{00000001-FE54-4B20-9E02-65B59E649B81}"/>
            </c:ext>
          </c:extLst>
        </c:ser>
        <c:dLbls>
          <c:showLegendKey val="0"/>
          <c:showVal val="0"/>
          <c:showCatName val="0"/>
          <c:showSerName val="0"/>
          <c:showPercent val="0"/>
          <c:showBubbleSize val="0"/>
        </c:dLbls>
        <c:gapWidth val="20"/>
        <c:overlap val="100"/>
        <c:axId val="418108152"/>
        <c:axId val="418111680"/>
      </c:barChart>
      <c:catAx>
        <c:axId val="418108152"/>
        <c:scaling>
          <c:orientation val="minMax"/>
        </c:scaling>
        <c:delete val="0"/>
        <c:axPos val="b"/>
        <c:numFmt formatCode="General" sourceLinked="0"/>
        <c:majorTickMark val="out"/>
        <c:minorTickMark val="none"/>
        <c:tickLblPos val="nextTo"/>
        <c:crossAx val="418111680"/>
        <c:crosses val="autoZero"/>
        <c:auto val="1"/>
        <c:lblAlgn val="ctr"/>
        <c:lblOffset val="100"/>
        <c:noMultiLvlLbl val="0"/>
      </c:catAx>
      <c:valAx>
        <c:axId val="418111680"/>
        <c:scaling>
          <c:orientation val="minMax"/>
        </c:scaling>
        <c:delete val="1"/>
        <c:axPos val="l"/>
        <c:numFmt formatCode="0%" sourceLinked="1"/>
        <c:majorTickMark val="out"/>
        <c:minorTickMark val="none"/>
        <c:tickLblPos val="nextTo"/>
        <c:crossAx val="418108152"/>
        <c:crosses val="autoZero"/>
        <c:crossBetween val="between"/>
      </c:valAx>
    </c:plotArea>
    <c:legend>
      <c:legendPos val="b"/>
      <c:overlay val="0"/>
    </c:legend>
    <c:plotVisOnly val="1"/>
    <c:dispBlanksAs val="gap"/>
    <c:showDLblsOverMax val="0"/>
  </c:chart>
  <c:spPr>
    <a:ln>
      <a:noFill/>
    </a:ln>
  </c:spPr>
  <c:txPr>
    <a:bodyPr/>
    <a:lstStyle/>
    <a:p>
      <a:pPr>
        <a:defRPr sz="700">
          <a:latin typeface="Source Sans Pro" panose="020B0503030403020204" pitchFamily="34" charset="0"/>
          <a:ea typeface="Source Sans Pro" panose="020B0503030403020204" pitchFamily="34" charset="0"/>
        </a:defRPr>
      </a:pPr>
      <a:endParaRPr lang="it-IT"/>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en-US" sz="700"/>
              <a:t>SMEs: Average default rates by rating grade</a:t>
            </a:r>
          </a:p>
          <a:p>
            <a:pPr>
              <a:defRPr/>
            </a:pPr>
            <a:r>
              <a:rPr lang="en-US" sz="700" b="0"/>
              <a:t>1-year default rates</a:t>
            </a:r>
            <a:endParaRPr lang="it-IT" sz="700" b="0"/>
          </a:p>
        </c:rich>
      </c:tx>
      <c:overlay val="0"/>
    </c:title>
    <c:autoTitleDeleted val="0"/>
    <c:plotArea>
      <c:layout>
        <c:manualLayout>
          <c:layoutTarget val="inner"/>
          <c:xMode val="edge"/>
          <c:yMode val="edge"/>
          <c:x val="3.8868154110751015E-2"/>
          <c:y val="0.12174685418208735"/>
          <c:w val="0.94255829462624752"/>
          <c:h val="0.64021191651561693"/>
        </c:manualLayout>
      </c:layout>
      <c:lineChart>
        <c:grouping val="standard"/>
        <c:varyColors val="0"/>
        <c:ser>
          <c:idx val="1"/>
          <c:order val="0"/>
          <c:tx>
            <c:strRef>
              <c:f>'[20230322_DS 03 - DS2022 - Grafici rating ENG_v1.xlsx]data'!$C$833</c:f>
              <c:strCache>
                <c:ptCount val="1"/>
                <c:pt idx="0">
                  <c:v>Investment</c:v>
                </c:pt>
              </c:strCache>
            </c:strRef>
          </c:tx>
          <c:spPr>
            <a:ln>
              <a:solidFill>
                <a:schemeClr val="accent2"/>
              </a:solidFill>
            </a:ln>
          </c:spPr>
          <c:marker>
            <c:spPr>
              <a:solidFill>
                <a:schemeClr val="accent2"/>
              </a:solidFill>
              <a:ln>
                <a:noFill/>
              </a:ln>
            </c:spPr>
          </c:marker>
          <c:dPt>
            <c:idx val="9"/>
            <c:bubble3D val="0"/>
            <c:extLst>
              <c:ext xmlns:c16="http://schemas.microsoft.com/office/drawing/2014/chart" uri="{C3380CC4-5D6E-409C-BE32-E72D297353CC}">
                <c16:uniqueId val="{00000000-C72B-48D2-A94E-B44C051E3B34}"/>
              </c:ext>
            </c:extLst>
          </c:dPt>
          <c:dPt>
            <c:idx val="10"/>
            <c:bubble3D val="0"/>
            <c:extLst>
              <c:ext xmlns:c16="http://schemas.microsoft.com/office/drawing/2014/chart" uri="{C3380CC4-5D6E-409C-BE32-E72D297353CC}">
                <c16:uniqueId val="{00000001-C72B-48D2-A94E-B44C051E3B34}"/>
              </c:ext>
            </c:extLst>
          </c:dPt>
          <c:dPt>
            <c:idx val="11"/>
            <c:bubble3D val="0"/>
            <c:extLst>
              <c:ext xmlns:c16="http://schemas.microsoft.com/office/drawing/2014/chart" uri="{C3380CC4-5D6E-409C-BE32-E72D297353CC}">
                <c16:uniqueId val="{00000002-C72B-48D2-A94E-B44C051E3B34}"/>
              </c:ext>
            </c:extLst>
          </c:dPt>
          <c:dPt>
            <c:idx val="12"/>
            <c:bubble3D val="0"/>
            <c:extLst>
              <c:ext xmlns:c16="http://schemas.microsoft.com/office/drawing/2014/chart" uri="{C3380CC4-5D6E-409C-BE32-E72D297353CC}">
                <c16:uniqueId val="{00000003-C72B-48D2-A94E-B44C051E3B34}"/>
              </c:ext>
            </c:extLst>
          </c:dPt>
          <c:dPt>
            <c:idx val="13"/>
            <c:bubble3D val="0"/>
            <c:extLst>
              <c:ext xmlns:c16="http://schemas.microsoft.com/office/drawing/2014/chart" uri="{C3380CC4-5D6E-409C-BE32-E72D297353CC}">
                <c16:uniqueId val="{00000004-C72B-48D2-A94E-B44C051E3B34}"/>
              </c:ext>
            </c:extLst>
          </c:dPt>
          <c:dPt>
            <c:idx val="14"/>
            <c:bubble3D val="0"/>
            <c:extLst>
              <c:ext xmlns:c16="http://schemas.microsoft.com/office/drawing/2014/chart" uri="{C3380CC4-5D6E-409C-BE32-E72D297353CC}">
                <c16:uniqueId val="{00000006-C72B-48D2-A94E-B44C051E3B34}"/>
              </c:ext>
            </c:extLst>
          </c:dPt>
          <c:dPt>
            <c:idx val="15"/>
            <c:bubble3D val="0"/>
            <c:spPr>
              <a:ln>
                <a:noFill/>
              </a:ln>
            </c:spPr>
            <c:extLst>
              <c:ext xmlns:c16="http://schemas.microsoft.com/office/drawing/2014/chart" uri="{C3380CC4-5D6E-409C-BE32-E72D297353CC}">
                <c16:uniqueId val="{0000001A-C72B-48D2-A94E-B44C051E3B34}"/>
              </c:ext>
            </c:extLst>
          </c:dPt>
          <c:dLbls>
            <c:dLbl>
              <c:idx val="1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C72B-48D2-A94E-B44C051E3B3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[1]data!$A$813:$B$828</c:f>
              <c:multiLvlStrCache>
                <c:ptCount val="16"/>
                <c:lvl>
                  <c:pt idx="0">
                    <c:v>Defaults 2009</c:v>
                  </c:pt>
                  <c:pt idx="1">
                    <c:v>Defaults 2010</c:v>
                  </c:pt>
                  <c:pt idx="2">
                    <c:v>Defaults 2011</c:v>
                  </c:pt>
                  <c:pt idx="3">
                    <c:v>Defaults 2012</c:v>
                  </c:pt>
                  <c:pt idx="4">
                    <c:v>Defaults 2013</c:v>
                  </c:pt>
                  <c:pt idx="5">
                    <c:v>Defaults 2014</c:v>
                  </c:pt>
                  <c:pt idx="6">
                    <c:v>Defaults 2015</c:v>
                  </c:pt>
                  <c:pt idx="7">
                    <c:v>Defaults 2016</c:v>
                  </c:pt>
                  <c:pt idx="8">
                    <c:v>Defaults 2017</c:v>
                  </c:pt>
                  <c:pt idx="9">
                    <c:v>Defaults 2018</c:v>
                  </c:pt>
                  <c:pt idx="10">
                    <c:v>Defaults 2019</c:v>
                  </c:pt>
                  <c:pt idx="11">
                    <c:v>Defaults 2020</c:v>
                  </c:pt>
                  <c:pt idx="12">
                    <c:v>Defaults 2021</c:v>
                  </c:pt>
                  <c:pt idx="13">
                    <c:v>Defaults 2022</c:v>
                  </c:pt>
                  <c:pt idx="14">
                    <c:v>Defaults 2023</c:v>
                  </c:pt>
                  <c:pt idx="15">
                    <c:v>2009-2023</c:v>
                  </c:pt>
                </c:lvl>
                <c:lvl>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pt idx="15">
                    <c:v>Average</c:v>
                  </c:pt>
                </c:lvl>
              </c:multiLvlStrCache>
            </c:multiLvlStrRef>
          </c:cat>
          <c:val>
            <c:numRef>
              <c:f>[1]data!$C$834:$C$849</c:f>
              <c:numCache>
                <c:formatCode>0.00%</c:formatCode>
                <c:ptCount val="16"/>
                <c:pt idx="0">
                  <c:v>2.6295798515748262E-3</c:v>
                </c:pt>
                <c:pt idx="1">
                  <c:v>1.5155451632458648E-3</c:v>
                </c:pt>
                <c:pt idx="2">
                  <c:v>1.9919326726756635E-3</c:v>
                </c:pt>
                <c:pt idx="3">
                  <c:v>4.5769346582354709E-3</c:v>
                </c:pt>
                <c:pt idx="4">
                  <c:v>3.2213529682466636E-3</c:v>
                </c:pt>
                <c:pt idx="5">
                  <c:v>5.1516886090440753E-3</c:v>
                </c:pt>
                <c:pt idx="6">
                  <c:v>5.588513455420858E-3</c:v>
                </c:pt>
                <c:pt idx="7">
                  <c:v>3.7275064267352186E-3</c:v>
                </c:pt>
                <c:pt idx="8">
                  <c:v>2.3250406882120438E-3</c:v>
                </c:pt>
                <c:pt idx="9">
                  <c:v>1.9588638589618022E-3</c:v>
                </c:pt>
                <c:pt idx="10">
                  <c:v>2.0303483650352641E-3</c:v>
                </c:pt>
                <c:pt idx="11">
                  <c:v>1.421396759215389E-3</c:v>
                </c:pt>
                <c:pt idx="12">
                  <c:v>8.6449103090555438E-4</c:v>
                </c:pt>
                <c:pt idx="13">
                  <c:v>8.6449103090555438E-4</c:v>
                </c:pt>
                <c:pt idx="14">
                  <c:v>1.2244897959183673E-3</c:v>
                </c:pt>
                <c:pt idx="15">
                  <c:v>2.7033570045190444E-3</c:v>
                </c:pt>
              </c:numCache>
            </c:numRef>
          </c:val>
          <c:smooth val="0"/>
          <c:extLst>
            <c:ext xmlns:c16="http://schemas.microsoft.com/office/drawing/2014/chart" uri="{C3380CC4-5D6E-409C-BE32-E72D297353CC}">
              <c16:uniqueId val="{00000007-C72B-48D2-A94E-B44C051E3B34}"/>
            </c:ext>
          </c:extLst>
        </c:ser>
        <c:ser>
          <c:idx val="2"/>
          <c:order val="1"/>
          <c:tx>
            <c:strRef>
              <c:f>'[20230322_DS 03 - DS2022 - Grafici rating ENG_v1.xlsx]data'!$D$833</c:f>
              <c:strCache>
                <c:ptCount val="1"/>
                <c:pt idx="0">
                  <c:v>Speculative</c:v>
                </c:pt>
              </c:strCache>
            </c:strRef>
          </c:tx>
          <c:spPr>
            <a:ln>
              <a:solidFill>
                <a:schemeClr val="accent3"/>
              </a:solidFill>
            </a:ln>
          </c:spPr>
          <c:marker>
            <c:spPr>
              <a:solidFill>
                <a:schemeClr val="accent3"/>
              </a:solidFill>
              <a:ln>
                <a:noFill/>
              </a:ln>
            </c:spPr>
          </c:marker>
          <c:dPt>
            <c:idx val="9"/>
            <c:bubble3D val="0"/>
            <c:extLst>
              <c:ext xmlns:c16="http://schemas.microsoft.com/office/drawing/2014/chart" uri="{C3380CC4-5D6E-409C-BE32-E72D297353CC}">
                <c16:uniqueId val="{00000008-C72B-48D2-A94E-B44C051E3B34}"/>
              </c:ext>
            </c:extLst>
          </c:dPt>
          <c:dPt>
            <c:idx val="10"/>
            <c:bubble3D val="0"/>
            <c:extLst>
              <c:ext xmlns:c16="http://schemas.microsoft.com/office/drawing/2014/chart" uri="{C3380CC4-5D6E-409C-BE32-E72D297353CC}">
                <c16:uniqueId val="{00000009-C72B-48D2-A94E-B44C051E3B34}"/>
              </c:ext>
            </c:extLst>
          </c:dPt>
          <c:dPt>
            <c:idx val="11"/>
            <c:bubble3D val="0"/>
            <c:extLst>
              <c:ext xmlns:c16="http://schemas.microsoft.com/office/drawing/2014/chart" uri="{C3380CC4-5D6E-409C-BE32-E72D297353CC}">
                <c16:uniqueId val="{0000000A-C72B-48D2-A94E-B44C051E3B34}"/>
              </c:ext>
            </c:extLst>
          </c:dPt>
          <c:dPt>
            <c:idx val="12"/>
            <c:bubble3D val="0"/>
            <c:extLst>
              <c:ext xmlns:c16="http://schemas.microsoft.com/office/drawing/2014/chart" uri="{C3380CC4-5D6E-409C-BE32-E72D297353CC}">
                <c16:uniqueId val="{0000000B-C72B-48D2-A94E-B44C051E3B34}"/>
              </c:ext>
            </c:extLst>
          </c:dPt>
          <c:dPt>
            <c:idx val="13"/>
            <c:bubble3D val="0"/>
            <c:extLst>
              <c:ext xmlns:c16="http://schemas.microsoft.com/office/drawing/2014/chart" uri="{C3380CC4-5D6E-409C-BE32-E72D297353CC}">
                <c16:uniqueId val="{0000000C-C72B-48D2-A94E-B44C051E3B34}"/>
              </c:ext>
            </c:extLst>
          </c:dPt>
          <c:dPt>
            <c:idx val="14"/>
            <c:bubble3D val="0"/>
            <c:extLst>
              <c:ext xmlns:c16="http://schemas.microsoft.com/office/drawing/2014/chart" uri="{C3380CC4-5D6E-409C-BE32-E72D297353CC}">
                <c16:uniqueId val="{0000000E-C72B-48D2-A94E-B44C051E3B34}"/>
              </c:ext>
            </c:extLst>
          </c:dPt>
          <c:dPt>
            <c:idx val="15"/>
            <c:bubble3D val="0"/>
            <c:spPr>
              <a:ln>
                <a:noFill/>
              </a:ln>
            </c:spPr>
            <c:extLst>
              <c:ext xmlns:c16="http://schemas.microsoft.com/office/drawing/2014/chart" uri="{C3380CC4-5D6E-409C-BE32-E72D297353CC}">
                <c16:uniqueId val="{00000018-C72B-48D2-A94E-B44C051E3B34}"/>
              </c:ext>
            </c:extLst>
          </c:dPt>
          <c:dLbls>
            <c:dLbl>
              <c:idx val="1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C72B-48D2-A94E-B44C051E3B3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[1]data!$A$813:$B$828</c:f>
              <c:multiLvlStrCache>
                <c:ptCount val="16"/>
                <c:lvl>
                  <c:pt idx="0">
                    <c:v>Defaults 2009</c:v>
                  </c:pt>
                  <c:pt idx="1">
                    <c:v>Defaults 2010</c:v>
                  </c:pt>
                  <c:pt idx="2">
                    <c:v>Defaults 2011</c:v>
                  </c:pt>
                  <c:pt idx="3">
                    <c:v>Defaults 2012</c:v>
                  </c:pt>
                  <c:pt idx="4">
                    <c:v>Defaults 2013</c:v>
                  </c:pt>
                  <c:pt idx="5">
                    <c:v>Defaults 2014</c:v>
                  </c:pt>
                  <c:pt idx="6">
                    <c:v>Defaults 2015</c:v>
                  </c:pt>
                  <c:pt idx="7">
                    <c:v>Defaults 2016</c:v>
                  </c:pt>
                  <c:pt idx="8">
                    <c:v>Defaults 2017</c:v>
                  </c:pt>
                  <c:pt idx="9">
                    <c:v>Defaults 2018</c:v>
                  </c:pt>
                  <c:pt idx="10">
                    <c:v>Defaults 2019</c:v>
                  </c:pt>
                  <c:pt idx="11">
                    <c:v>Defaults 2020</c:v>
                  </c:pt>
                  <c:pt idx="12">
                    <c:v>Defaults 2021</c:v>
                  </c:pt>
                  <c:pt idx="13">
                    <c:v>Defaults 2022</c:v>
                  </c:pt>
                  <c:pt idx="14">
                    <c:v>Defaults 2023</c:v>
                  </c:pt>
                  <c:pt idx="15">
                    <c:v>2009-2023</c:v>
                  </c:pt>
                </c:lvl>
                <c:lvl>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pt idx="15">
                    <c:v>Average</c:v>
                  </c:pt>
                </c:lvl>
              </c:multiLvlStrCache>
            </c:multiLvlStrRef>
          </c:cat>
          <c:val>
            <c:numRef>
              <c:f>[1]data!$D$834:$D$849</c:f>
              <c:numCache>
                <c:formatCode>0.00%</c:formatCode>
                <c:ptCount val="16"/>
                <c:pt idx="0">
                  <c:v>7.64525993883792E-2</c:v>
                </c:pt>
                <c:pt idx="1">
                  <c:v>6.9764979885665893E-2</c:v>
                </c:pt>
                <c:pt idx="2">
                  <c:v>5.6893213523308346E-2</c:v>
                </c:pt>
                <c:pt idx="3">
                  <c:v>8.8284552197144914E-2</c:v>
                </c:pt>
                <c:pt idx="4">
                  <c:v>8.2217973231357558E-2</c:v>
                </c:pt>
                <c:pt idx="5">
                  <c:v>8.0492091388400702E-2</c:v>
                </c:pt>
                <c:pt idx="6">
                  <c:v>7.2933349759763455E-2</c:v>
                </c:pt>
                <c:pt idx="7">
                  <c:v>5.7760232703095785E-2</c:v>
                </c:pt>
                <c:pt idx="8">
                  <c:v>3.5974801061007956E-2</c:v>
                </c:pt>
                <c:pt idx="9">
                  <c:v>3.2584625118633345E-2</c:v>
                </c:pt>
                <c:pt idx="10">
                  <c:v>3.1857612922524675E-2</c:v>
                </c:pt>
                <c:pt idx="11">
                  <c:v>2.3754678951914771E-2</c:v>
                </c:pt>
                <c:pt idx="12">
                  <c:v>1.1662904439428141E-2</c:v>
                </c:pt>
                <c:pt idx="13">
                  <c:v>8.4745762711864406E-3</c:v>
                </c:pt>
                <c:pt idx="14">
                  <c:v>1.2700534759358289E-2</c:v>
                </c:pt>
                <c:pt idx="15">
                  <c:v>5.6358193414030977E-2</c:v>
                </c:pt>
              </c:numCache>
            </c:numRef>
          </c:val>
          <c:smooth val="0"/>
          <c:extLst>
            <c:ext xmlns:c16="http://schemas.microsoft.com/office/drawing/2014/chart" uri="{C3380CC4-5D6E-409C-BE32-E72D297353CC}">
              <c16:uniqueId val="{0000000F-C72B-48D2-A94E-B44C051E3B34}"/>
            </c:ext>
          </c:extLst>
        </c:ser>
        <c:ser>
          <c:idx val="0"/>
          <c:order val="2"/>
          <c:tx>
            <c:strRef>
              <c:f>'[20230322_DS 03 - DS2022 - Grafici rating ENG_v1.xlsx]data'!$E$832</c:f>
              <c:strCache>
                <c:ptCount val="1"/>
                <c:pt idx="0">
                  <c:v>Average</c:v>
                </c:pt>
              </c:strCache>
            </c:strRef>
          </c:tx>
          <c:spPr>
            <a:ln>
              <a:solidFill>
                <a:schemeClr val="accent1"/>
              </a:solidFill>
            </a:ln>
          </c:spPr>
          <c:dPt>
            <c:idx val="9"/>
            <c:bubble3D val="0"/>
            <c:extLst>
              <c:ext xmlns:c16="http://schemas.microsoft.com/office/drawing/2014/chart" uri="{C3380CC4-5D6E-409C-BE32-E72D297353CC}">
                <c16:uniqueId val="{00000010-C72B-48D2-A94E-B44C051E3B34}"/>
              </c:ext>
            </c:extLst>
          </c:dPt>
          <c:dPt>
            <c:idx val="10"/>
            <c:bubble3D val="0"/>
            <c:extLst>
              <c:ext xmlns:c16="http://schemas.microsoft.com/office/drawing/2014/chart" uri="{C3380CC4-5D6E-409C-BE32-E72D297353CC}">
                <c16:uniqueId val="{00000011-C72B-48D2-A94E-B44C051E3B34}"/>
              </c:ext>
            </c:extLst>
          </c:dPt>
          <c:dPt>
            <c:idx val="11"/>
            <c:bubble3D val="0"/>
            <c:extLst>
              <c:ext xmlns:c16="http://schemas.microsoft.com/office/drawing/2014/chart" uri="{C3380CC4-5D6E-409C-BE32-E72D297353CC}">
                <c16:uniqueId val="{00000012-C72B-48D2-A94E-B44C051E3B34}"/>
              </c:ext>
            </c:extLst>
          </c:dPt>
          <c:dPt>
            <c:idx val="12"/>
            <c:bubble3D val="0"/>
            <c:extLst>
              <c:ext xmlns:c16="http://schemas.microsoft.com/office/drawing/2014/chart" uri="{C3380CC4-5D6E-409C-BE32-E72D297353CC}">
                <c16:uniqueId val="{00000013-C72B-48D2-A94E-B44C051E3B34}"/>
              </c:ext>
            </c:extLst>
          </c:dPt>
          <c:dPt>
            <c:idx val="13"/>
            <c:bubble3D val="0"/>
            <c:extLst>
              <c:ext xmlns:c16="http://schemas.microsoft.com/office/drawing/2014/chart" uri="{C3380CC4-5D6E-409C-BE32-E72D297353CC}">
                <c16:uniqueId val="{00000014-C72B-48D2-A94E-B44C051E3B34}"/>
              </c:ext>
            </c:extLst>
          </c:dPt>
          <c:dPt>
            <c:idx val="14"/>
            <c:bubble3D val="0"/>
            <c:extLst>
              <c:ext xmlns:c16="http://schemas.microsoft.com/office/drawing/2014/chart" uri="{C3380CC4-5D6E-409C-BE32-E72D297353CC}">
                <c16:uniqueId val="{00000016-C72B-48D2-A94E-B44C051E3B34}"/>
              </c:ext>
            </c:extLst>
          </c:dPt>
          <c:dPt>
            <c:idx val="15"/>
            <c:bubble3D val="0"/>
            <c:spPr>
              <a:ln>
                <a:noFill/>
              </a:ln>
            </c:spPr>
            <c:extLst>
              <c:ext xmlns:c16="http://schemas.microsoft.com/office/drawing/2014/chart" uri="{C3380CC4-5D6E-409C-BE32-E72D297353CC}">
                <c16:uniqueId val="{00000019-C72B-48D2-A94E-B44C051E3B34}"/>
              </c:ext>
            </c:extLst>
          </c:dPt>
          <c:dLbls>
            <c:dLbl>
              <c:idx val="1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C72B-48D2-A94E-B44C051E3B3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[1]data!$A$813:$B$828</c:f>
              <c:multiLvlStrCache>
                <c:ptCount val="16"/>
                <c:lvl>
                  <c:pt idx="0">
                    <c:v>Defaults 2009</c:v>
                  </c:pt>
                  <c:pt idx="1">
                    <c:v>Defaults 2010</c:v>
                  </c:pt>
                  <c:pt idx="2">
                    <c:v>Defaults 2011</c:v>
                  </c:pt>
                  <c:pt idx="3">
                    <c:v>Defaults 2012</c:v>
                  </c:pt>
                  <c:pt idx="4">
                    <c:v>Defaults 2013</c:v>
                  </c:pt>
                  <c:pt idx="5">
                    <c:v>Defaults 2014</c:v>
                  </c:pt>
                  <c:pt idx="6">
                    <c:v>Defaults 2015</c:v>
                  </c:pt>
                  <c:pt idx="7">
                    <c:v>Defaults 2016</c:v>
                  </c:pt>
                  <c:pt idx="8">
                    <c:v>Defaults 2017</c:v>
                  </c:pt>
                  <c:pt idx="9">
                    <c:v>Defaults 2018</c:v>
                  </c:pt>
                  <c:pt idx="10">
                    <c:v>Defaults 2019</c:v>
                  </c:pt>
                  <c:pt idx="11">
                    <c:v>Defaults 2020</c:v>
                  </c:pt>
                  <c:pt idx="12">
                    <c:v>Defaults 2021</c:v>
                  </c:pt>
                  <c:pt idx="13">
                    <c:v>Defaults 2022</c:v>
                  </c:pt>
                  <c:pt idx="14">
                    <c:v>Defaults 2023</c:v>
                  </c:pt>
                  <c:pt idx="15">
                    <c:v>2009-2023</c:v>
                  </c:pt>
                </c:lvl>
                <c:lvl>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pt idx="15">
                    <c:v>Average</c:v>
                  </c:pt>
                </c:lvl>
              </c:multiLvlStrCache>
            </c:multiLvlStrRef>
          </c:cat>
          <c:val>
            <c:numRef>
              <c:f>[1]data!$E$833:$E$848</c:f>
              <c:numCache>
                <c:formatCode>0.00%</c:formatCode>
                <c:ptCount val="16"/>
                <c:pt idx="0">
                  <c:v>4.0119639929826582E-2</c:v>
                </c:pt>
                <c:pt idx="1">
                  <c:v>3.2225027390082407E-2</c:v>
                </c:pt>
                <c:pt idx="2">
                  <c:v>2.94848846459825E-2</c:v>
                </c:pt>
                <c:pt idx="3">
                  <c:v>4.0591545429590994E-2</c:v>
                </c:pt>
                <c:pt idx="4">
                  <c:v>3.8773030977930757E-2</c:v>
                </c:pt>
                <c:pt idx="5">
                  <c:v>3.6120208052398385E-2</c:v>
                </c:pt>
                <c:pt idx="6">
                  <c:v>3.3269191816892849E-2</c:v>
                </c:pt>
                <c:pt idx="7">
                  <c:v>2.4378623044548558E-2</c:v>
                </c:pt>
                <c:pt idx="8">
                  <c:v>1.6195161951619515E-2</c:v>
                </c:pt>
                <c:pt idx="9">
                  <c:v>1.5320910973084885E-2</c:v>
                </c:pt>
                <c:pt idx="10">
                  <c:v>1.4460234355522314E-2</c:v>
                </c:pt>
                <c:pt idx="11">
                  <c:v>1.0286302074404252E-2</c:v>
                </c:pt>
                <c:pt idx="12">
                  <c:v>1.0735495660118775E-2</c:v>
                </c:pt>
                <c:pt idx="13">
                  <c:v>5.0529588961228259E-3</c:v>
                </c:pt>
                <c:pt idx="14">
                  <c:v>7.5339948548327823E-3</c:v>
                </c:pt>
                <c:pt idx="15">
                  <c:v>2.7220509288967493E-2</c:v>
                </c:pt>
              </c:numCache>
            </c:numRef>
          </c:val>
          <c:smooth val="0"/>
          <c:extLst>
            <c:ext xmlns:c16="http://schemas.microsoft.com/office/drawing/2014/chart" uri="{C3380CC4-5D6E-409C-BE32-E72D297353CC}">
              <c16:uniqueId val="{00000017-C72B-48D2-A94E-B44C051E3B34}"/>
            </c:ext>
          </c:extLst>
        </c:ser>
        <c:dLbls>
          <c:showLegendKey val="0"/>
          <c:showVal val="0"/>
          <c:showCatName val="0"/>
          <c:showSerName val="0"/>
          <c:showPercent val="0"/>
          <c:showBubbleSize val="0"/>
        </c:dLbls>
        <c:marker val="1"/>
        <c:smooth val="0"/>
        <c:axId val="418104624"/>
        <c:axId val="418105408"/>
      </c:lineChart>
      <c:catAx>
        <c:axId val="418104624"/>
        <c:scaling>
          <c:orientation val="minMax"/>
        </c:scaling>
        <c:delete val="0"/>
        <c:axPos val="b"/>
        <c:numFmt formatCode="General" sourceLinked="1"/>
        <c:majorTickMark val="out"/>
        <c:minorTickMark val="none"/>
        <c:tickLblPos val="nextTo"/>
        <c:crossAx val="418105408"/>
        <c:crosses val="autoZero"/>
        <c:auto val="1"/>
        <c:lblAlgn val="ctr"/>
        <c:lblOffset val="100"/>
        <c:noMultiLvlLbl val="0"/>
      </c:catAx>
      <c:valAx>
        <c:axId val="418105408"/>
        <c:scaling>
          <c:orientation val="minMax"/>
        </c:scaling>
        <c:delete val="0"/>
        <c:axPos val="l"/>
        <c:numFmt formatCode="0%" sourceLinked="0"/>
        <c:majorTickMark val="out"/>
        <c:minorTickMark val="none"/>
        <c:tickLblPos val="nextTo"/>
        <c:crossAx val="418104624"/>
        <c:crosses val="autoZero"/>
        <c:crossBetween val="between"/>
      </c:valAx>
    </c:plotArea>
    <c:legend>
      <c:legendPos val="b"/>
      <c:overlay val="0"/>
    </c:legend>
    <c:plotVisOnly val="1"/>
    <c:dispBlanksAs val="gap"/>
    <c:showDLblsOverMax val="0"/>
  </c:chart>
  <c:spPr>
    <a:ln>
      <a:noFill/>
    </a:ln>
  </c:spPr>
  <c:txPr>
    <a:bodyPr/>
    <a:lstStyle/>
    <a:p>
      <a:pPr>
        <a:defRPr sz="700">
          <a:solidFill>
            <a:schemeClr val="tx1"/>
          </a:solidFill>
          <a:latin typeface="Source Sans Pro" panose="020B0503030403020204" pitchFamily="34" charset="0"/>
          <a:ea typeface="Source Sans Pro" panose="020B0503030403020204" pitchFamily="34" charset="0"/>
        </a:defRPr>
      </a:pPr>
      <a:endParaRPr lang="it-IT"/>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en-US" sz="700"/>
              <a:t>SMEs: Average default rates by risk area</a:t>
            </a:r>
            <a:endParaRPr lang="it-IT" sz="700"/>
          </a:p>
          <a:p>
            <a:pPr>
              <a:defRPr/>
            </a:pPr>
            <a:r>
              <a:rPr lang="it-IT" sz="700" b="0"/>
              <a:t>1-year default rates</a:t>
            </a:r>
            <a:endParaRPr lang="en-US" sz="700" b="0"/>
          </a:p>
        </c:rich>
      </c:tx>
      <c:overlay val="0"/>
    </c:title>
    <c:autoTitleDeleted val="0"/>
    <c:plotArea>
      <c:layout>
        <c:manualLayout>
          <c:layoutTarget val="inner"/>
          <c:xMode val="edge"/>
          <c:yMode val="edge"/>
          <c:x val="4.1488991737644865E-2"/>
          <c:y val="0.12171081841053721"/>
          <c:w val="0.93771992615755562"/>
          <c:h val="0.64031840995456446"/>
        </c:manualLayout>
      </c:layout>
      <c:lineChart>
        <c:grouping val="standard"/>
        <c:varyColors val="0"/>
        <c:ser>
          <c:idx val="2"/>
          <c:order val="0"/>
          <c:tx>
            <c:strRef>
              <c:f>'[20230322_DS 03 - DS2022 - Grafici rating ENG_v1.xlsx]data'!$C$854:$C$855</c:f>
              <c:strCache>
                <c:ptCount val="2"/>
                <c:pt idx="0">
                  <c:v>A1.1 - A3.1</c:v>
                </c:pt>
                <c:pt idx="1">
                  <c:v>[Safety]</c:v>
                </c:pt>
              </c:strCache>
            </c:strRef>
          </c:tx>
          <c:spPr>
            <a:ln>
              <a:solidFill>
                <a:schemeClr val="accent3"/>
              </a:solidFill>
            </a:ln>
          </c:spPr>
          <c:marker>
            <c:spPr>
              <a:solidFill>
                <a:schemeClr val="accent3"/>
              </a:solidFill>
              <a:ln>
                <a:noFill/>
              </a:ln>
            </c:spPr>
          </c:marker>
          <c:dPt>
            <c:idx val="9"/>
            <c:bubble3D val="0"/>
            <c:extLst>
              <c:ext xmlns:c16="http://schemas.microsoft.com/office/drawing/2014/chart" uri="{C3380CC4-5D6E-409C-BE32-E72D297353CC}">
                <c16:uniqueId val="{00000000-67B5-49F4-ADFE-0DF1E4B661B0}"/>
              </c:ext>
            </c:extLst>
          </c:dPt>
          <c:dPt>
            <c:idx val="10"/>
            <c:bubble3D val="0"/>
            <c:extLst>
              <c:ext xmlns:c16="http://schemas.microsoft.com/office/drawing/2014/chart" uri="{C3380CC4-5D6E-409C-BE32-E72D297353CC}">
                <c16:uniqueId val="{00000001-67B5-49F4-ADFE-0DF1E4B661B0}"/>
              </c:ext>
            </c:extLst>
          </c:dPt>
          <c:dPt>
            <c:idx val="11"/>
            <c:bubble3D val="0"/>
            <c:extLst>
              <c:ext xmlns:c16="http://schemas.microsoft.com/office/drawing/2014/chart" uri="{C3380CC4-5D6E-409C-BE32-E72D297353CC}">
                <c16:uniqueId val="{00000002-67B5-49F4-ADFE-0DF1E4B661B0}"/>
              </c:ext>
            </c:extLst>
          </c:dPt>
          <c:dPt>
            <c:idx val="12"/>
            <c:bubble3D val="0"/>
            <c:extLst>
              <c:ext xmlns:c16="http://schemas.microsoft.com/office/drawing/2014/chart" uri="{C3380CC4-5D6E-409C-BE32-E72D297353CC}">
                <c16:uniqueId val="{00000003-67B5-49F4-ADFE-0DF1E4B661B0}"/>
              </c:ext>
            </c:extLst>
          </c:dPt>
          <c:dPt>
            <c:idx val="13"/>
            <c:bubble3D val="0"/>
            <c:extLst>
              <c:ext xmlns:c16="http://schemas.microsoft.com/office/drawing/2014/chart" uri="{C3380CC4-5D6E-409C-BE32-E72D297353CC}">
                <c16:uniqueId val="{00000005-67B5-49F4-ADFE-0DF1E4B661B0}"/>
              </c:ext>
            </c:extLst>
          </c:dPt>
          <c:dPt>
            <c:idx val="14"/>
            <c:bubble3D val="0"/>
            <c:extLst>
              <c:ext xmlns:c16="http://schemas.microsoft.com/office/drawing/2014/chart" uri="{C3380CC4-5D6E-409C-BE32-E72D297353CC}">
                <c16:uniqueId val="{00000007-67B5-49F4-ADFE-0DF1E4B661B0}"/>
              </c:ext>
            </c:extLst>
          </c:dPt>
          <c:dPt>
            <c:idx val="15"/>
            <c:bubble3D val="0"/>
            <c:spPr>
              <a:ln>
                <a:noFill/>
              </a:ln>
            </c:spPr>
            <c:extLst>
              <c:ext xmlns:c16="http://schemas.microsoft.com/office/drawing/2014/chart" uri="{C3380CC4-5D6E-409C-BE32-E72D297353CC}">
                <c16:uniqueId val="{00000028-67B5-49F4-ADFE-0DF1E4B661B0}"/>
              </c:ext>
            </c:extLst>
          </c:dPt>
          <c:dLbls>
            <c:dLbl>
              <c:idx val="15"/>
              <c:layout>
                <c:manualLayout>
                  <c:x val="-4.8318515655199075E-2"/>
                  <c:y val="-1.18395737753441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67B5-49F4-ADFE-0DF1E4B661B0}"/>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'[20230322_DS 03 - DS2022 - Grafici rating ENG_v1.xlsx]data'!$A$813:$B$828</c:f>
              <c:multiLvlStrCache>
                <c:ptCount val="16"/>
                <c:lvl>
                  <c:pt idx="0">
                    <c:v>Defaults 2009</c:v>
                  </c:pt>
                  <c:pt idx="1">
                    <c:v>Defaults 2010</c:v>
                  </c:pt>
                  <c:pt idx="2">
                    <c:v>Defaults 2011</c:v>
                  </c:pt>
                  <c:pt idx="3">
                    <c:v>Defaults 2012</c:v>
                  </c:pt>
                  <c:pt idx="4">
                    <c:v>Defaults 2013</c:v>
                  </c:pt>
                  <c:pt idx="5">
                    <c:v>Defaults 2014</c:v>
                  </c:pt>
                  <c:pt idx="6">
                    <c:v>Defaults 2015</c:v>
                  </c:pt>
                  <c:pt idx="7">
                    <c:v>Defaults 2016</c:v>
                  </c:pt>
                  <c:pt idx="8">
                    <c:v>Defaults 2017</c:v>
                  </c:pt>
                  <c:pt idx="9">
                    <c:v>Defaults 2018</c:v>
                  </c:pt>
                  <c:pt idx="10">
                    <c:v>Defaults 2019</c:v>
                  </c:pt>
                  <c:pt idx="11">
                    <c:v>Defaults 2020</c:v>
                  </c:pt>
                  <c:pt idx="12">
                    <c:v>Defaults 2021</c:v>
                  </c:pt>
                  <c:pt idx="13">
                    <c:v>Defaults 2022</c:v>
                  </c:pt>
                  <c:pt idx="14">
                    <c:v>Defaults 2023</c:v>
                  </c:pt>
                  <c:pt idx="15">
                    <c:v>2009-2023</c:v>
                  </c:pt>
                </c:lvl>
                <c:lvl>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pt idx="15">
                    <c:v>Average</c:v>
                  </c:pt>
                </c:lvl>
              </c:multiLvlStrCache>
            </c:multiLvlStrRef>
          </c:cat>
          <c:val>
            <c:numRef>
              <c:f>'[20230322_DS 03 - DS2022 - Grafici rating ENG_v1.xlsx]data'!$C$856:$C$871</c:f>
              <c:numCache>
                <c:formatCode>0.00%</c:formatCode>
                <c:ptCount val="16"/>
                <c:pt idx="0">
                  <c:v>6.5242211710977006E-4</c:v>
                </c:pt>
                <c:pt idx="1">
                  <c:v>2.43842965130456E-4</c:v>
                </c:pt>
                <c:pt idx="2">
                  <c:v>5.4904831625183018E-4</c:v>
                </c:pt>
                <c:pt idx="3">
                  <c:v>2.1482277121374866E-4</c:v>
                </c:pt>
                <c:pt idx="4">
                  <c:v>0</c:v>
                </c:pt>
                <c:pt idx="5">
                  <c:v>2.5846471956577927E-4</c:v>
                </c:pt>
                <c:pt idx="6">
                  <c:v>1.009421265141319E-3</c:v>
                </c:pt>
                <c:pt idx="7">
                  <c:v>5.7012542759407071E-4</c:v>
                </c:pt>
                <c:pt idx="8">
                  <c:v>5.3361792956243333E-4</c:v>
                </c:pt>
                <c:pt idx="9">
                  <c:v>0</c:v>
                </c:pt>
                <c:pt idx="10">
                  <c:v>1.1792452830188679E-3</c:v>
                </c:pt>
                <c:pt idx="11">
                  <c:v>0</c:v>
                </c:pt>
                <c:pt idx="12">
                  <c:v>0</c:v>
                </c:pt>
                <c:pt idx="13">
                  <c:v>9.42507068803016E-4</c:v>
                </c:pt>
                <c:pt idx="14">
                  <c:v>9.2165898617511521E-4</c:v>
                </c:pt>
                <c:pt idx="15">
                  <c:v>4.193839250141542E-4</c:v>
                </c:pt>
              </c:numCache>
            </c:numRef>
          </c:val>
          <c:smooth val="0"/>
          <c:extLst>
            <c:ext xmlns:c16="http://schemas.microsoft.com/office/drawing/2014/chart" uri="{C3380CC4-5D6E-409C-BE32-E72D297353CC}">
              <c16:uniqueId val="{00000008-67B5-49F4-ADFE-0DF1E4B661B0}"/>
            </c:ext>
          </c:extLst>
        </c:ser>
        <c:ser>
          <c:idx val="0"/>
          <c:order val="1"/>
          <c:tx>
            <c:strRef>
              <c:f>'[20230322_DS 03 - DS2022 - Grafici rating ENG_v1.xlsx]data'!$D$854:$D$855</c:f>
              <c:strCache>
                <c:ptCount val="2"/>
                <c:pt idx="0">
                  <c:v>B1.1 - B1.2</c:v>
                </c:pt>
                <c:pt idx="1">
                  <c:v>[Solvency]</c:v>
                </c:pt>
              </c:strCache>
            </c:strRef>
          </c:tx>
          <c:spPr>
            <a:ln>
              <a:solidFill>
                <a:schemeClr val="accent2"/>
              </a:solidFill>
            </a:ln>
          </c:spPr>
          <c:marker>
            <c:spPr>
              <a:solidFill>
                <a:schemeClr val="accent2"/>
              </a:solidFill>
              <a:ln>
                <a:noFill/>
              </a:ln>
            </c:spPr>
          </c:marker>
          <c:dPt>
            <c:idx val="9"/>
            <c:bubble3D val="0"/>
            <c:extLst>
              <c:ext xmlns:c16="http://schemas.microsoft.com/office/drawing/2014/chart" uri="{C3380CC4-5D6E-409C-BE32-E72D297353CC}">
                <c16:uniqueId val="{00000009-67B5-49F4-ADFE-0DF1E4B661B0}"/>
              </c:ext>
            </c:extLst>
          </c:dPt>
          <c:dPt>
            <c:idx val="10"/>
            <c:bubble3D val="0"/>
            <c:extLst>
              <c:ext xmlns:c16="http://schemas.microsoft.com/office/drawing/2014/chart" uri="{C3380CC4-5D6E-409C-BE32-E72D297353CC}">
                <c16:uniqueId val="{0000000A-67B5-49F4-ADFE-0DF1E4B661B0}"/>
              </c:ext>
            </c:extLst>
          </c:dPt>
          <c:dPt>
            <c:idx val="11"/>
            <c:bubble3D val="0"/>
            <c:extLst>
              <c:ext xmlns:c16="http://schemas.microsoft.com/office/drawing/2014/chart" uri="{C3380CC4-5D6E-409C-BE32-E72D297353CC}">
                <c16:uniqueId val="{0000000B-67B5-49F4-ADFE-0DF1E4B661B0}"/>
              </c:ext>
            </c:extLst>
          </c:dPt>
          <c:dPt>
            <c:idx val="12"/>
            <c:bubble3D val="0"/>
            <c:extLst>
              <c:ext xmlns:c16="http://schemas.microsoft.com/office/drawing/2014/chart" uri="{C3380CC4-5D6E-409C-BE32-E72D297353CC}">
                <c16:uniqueId val="{0000000C-67B5-49F4-ADFE-0DF1E4B661B0}"/>
              </c:ext>
            </c:extLst>
          </c:dPt>
          <c:dPt>
            <c:idx val="14"/>
            <c:bubble3D val="0"/>
            <c:extLst>
              <c:ext xmlns:c16="http://schemas.microsoft.com/office/drawing/2014/chart" uri="{C3380CC4-5D6E-409C-BE32-E72D297353CC}">
                <c16:uniqueId val="{0000000E-67B5-49F4-ADFE-0DF1E4B661B0}"/>
              </c:ext>
            </c:extLst>
          </c:dPt>
          <c:dPt>
            <c:idx val="15"/>
            <c:bubble3D val="0"/>
            <c:spPr>
              <a:ln>
                <a:noFill/>
              </a:ln>
            </c:spPr>
            <c:extLst>
              <c:ext xmlns:c16="http://schemas.microsoft.com/office/drawing/2014/chart" uri="{C3380CC4-5D6E-409C-BE32-E72D297353CC}">
                <c16:uniqueId val="{00000029-67B5-49F4-ADFE-0DF1E4B661B0}"/>
              </c:ext>
            </c:extLst>
          </c:dPt>
          <c:dLbls>
            <c:dLbl>
              <c:idx val="15"/>
              <c:layout>
                <c:manualLayout>
                  <c:x val="0"/>
                  <c:y val="-8.87968033150806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67B5-49F4-ADFE-0DF1E4B661B0}"/>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'[20230322_DS 03 - DS2022 - Grafici rating ENG_v1.xlsx]data'!$A$813:$B$828</c:f>
              <c:multiLvlStrCache>
                <c:ptCount val="16"/>
                <c:lvl>
                  <c:pt idx="0">
                    <c:v>Defaults 2009</c:v>
                  </c:pt>
                  <c:pt idx="1">
                    <c:v>Defaults 2010</c:v>
                  </c:pt>
                  <c:pt idx="2">
                    <c:v>Defaults 2011</c:v>
                  </c:pt>
                  <c:pt idx="3">
                    <c:v>Defaults 2012</c:v>
                  </c:pt>
                  <c:pt idx="4">
                    <c:v>Defaults 2013</c:v>
                  </c:pt>
                  <c:pt idx="5">
                    <c:v>Defaults 2014</c:v>
                  </c:pt>
                  <c:pt idx="6">
                    <c:v>Defaults 2015</c:v>
                  </c:pt>
                  <c:pt idx="7">
                    <c:v>Defaults 2016</c:v>
                  </c:pt>
                  <c:pt idx="8">
                    <c:v>Defaults 2017</c:v>
                  </c:pt>
                  <c:pt idx="9">
                    <c:v>Defaults 2018</c:v>
                  </c:pt>
                  <c:pt idx="10">
                    <c:v>Defaults 2019</c:v>
                  </c:pt>
                  <c:pt idx="11">
                    <c:v>Defaults 2020</c:v>
                  </c:pt>
                  <c:pt idx="12">
                    <c:v>Defaults 2021</c:v>
                  </c:pt>
                  <c:pt idx="13">
                    <c:v>Defaults 2022</c:v>
                  </c:pt>
                  <c:pt idx="14">
                    <c:v>Defaults 2023</c:v>
                  </c:pt>
                  <c:pt idx="15">
                    <c:v>2009-2023</c:v>
                  </c:pt>
                </c:lvl>
                <c:lvl>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pt idx="15">
                    <c:v>Average</c:v>
                  </c:pt>
                </c:lvl>
              </c:multiLvlStrCache>
            </c:multiLvlStrRef>
          </c:cat>
          <c:val>
            <c:numRef>
              <c:f>'[20230322_DS 03 - DS2022 - Grafici rating ENG_v1.xlsx]data'!$D$856:$D$871</c:f>
              <c:numCache>
                <c:formatCode>0.00%</c:formatCode>
                <c:ptCount val="16"/>
                <c:pt idx="0">
                  <c:v>3.7333818976507012E-3</c:v>
                </c:pt>
                <c:pt idx="1">
                  <c:v>2.2159548751007254E-3</c:v>
                </c:pt>
                <c:pt idx="2">
                  <c:v>2.5312991721967572E-3</c:v>
                </c:pt>
                <c:pt idx="3">
                  <c:v>6.2761506276150627E-3</c:v>
                </c:pt>
                <c:pt idx="4">
                  <c:v>4.4186340108572147E-3</c:v>
                </c:pt>
                <c:pt idx="5">
                  <c:v>7.4162679425837322E-3</c:v>
                </c:pt>
                <c:pt idx="6">
                  <c:v>7.1601801593717523E-3</c:v>
                </c:pt>
                <c:pt idx="7">
                  <c:v>4.6465316959840687E-3</c:v>
                </c:pt>
                <c:pt idx="8">
                  <c:v>2.8240190249702733E-3</c:v>
                </c:pt>
                <c:pt idx="9">
                  <c:v>2.467232074016962E-3</c:v>
                </c:pt>
                <c:pt idx="10">
                  <c:v>2.218741842860872E-3</c:v>
                </c:pt>
                <c:pt idx="11">
                  <c:v>1.8946570670708603E-3</c:v>
                </c:pt>
                <c:pt idx="12">
                  <c:v>1.6079755587715066E-4</c:v>
                </c:pt>
                <c:pt idx="13">
                  <c:v>8.4127874369040938E-4</c:v>
                </c:pt>
                <c:pt idx="14">
                  <c:v>1.3106159895150721E-3</c:v>
                </c:pt>
                <c:pt idx="15">
                  <c:v>3.5691857645927232E-3</c:v>
                </c:pt>
              </c:numCache>
            </c:numRef>
          </c:val>
          <c:smooth val="0"/>
          <c:extLst>
            <c:ext xmlns:c16="http://schemas.microsoft.com/office/drawing/2014/chart" uri="{C3380CC4-5D6E-409C-BE32-E72D297353CC}">
              <c16:uniqueId val="{0000000F-67B5-49F4-ADFE-0DF1E4B661B0}"/>
            </c:ext>
          </c:extLst>
        </c:ser>
        <c:ser>
          <c:idx val="3"/>
          <c:order val="2"/>
          <c:tx>
            <c:strRef>
              <c:f>'[20230322_DS 03 - DS2022 - Grafici rating ENG_v1.xlsx]data'!$E$853:$E$854</c:f>
              <c:strCache>
                <c:ptCount val="2"/>
                <c:pt idx="0">
                  <c:v>B2.1 - B2.2</c:v>
                </c:pt>
                <c:pt idx="1">
                  <c:v>[Vulnerability]</c:v>
                </c:pt>
              </c:strCache>
            </c:strRef>
          </c:tx>
          <c:spPr>
            <a:ln>
              <a:solidFill>
                <a:schemeClr val="accent4"/>
              </a:solidFill>
            </a:ln>
          </c:spPr>
          <c:marker>
            <c:spPr>
              <a:solidFill>
                <a:schemeClr val="accent4"/>
              </a:solidFill>
              <a:ln>
                <a:noFill/>
              </a:ln>
            </c:spPr>
          </c:marker>
          <c:dPt>
            <c:idx val="9"/>
            <c:bubble3D val="0"/>
            <c:extLst>
              <c:ext xmlns:c16="http://schemas.microsoft.com/office/drawing/2014/chart" uri="{C3380CC4-5D6E-409C-BE32-E72D297353CC}">
                <c16:uniqueId val="{00000010-67B5-49F4-ADFE-0DF1E4B661B0}"/>
              </c:ext>
            </c:extLst>
          </c:dPt>
          <c:dPt>
            <c:idx val="10"/>
            <c:bubble3D val="0"/>
            <c:extLst>
              <c:ext xmlns:c16="http://schemas.microsoft.com/office/drawing/2014/chart" uri="{C3380CC4-5D6E-409C-BE32-E72D297353CC}">
                <c16:uniqueId val="{00000011-67B5-49F4-ADFE-0DF1E4B661B0}"/>
              </c:ext>
            </c:extLst>
          </c:dPt>
          <c:dPt>
            <c:idx val="11"/>
            <c:bubble3D val="0"/>
            <c:extLst>
              <c:ext xmlns:c16="http://schemas.microsoft.com/office/drawing/2014/chart" uri="{C3380CC4-5D6E-409C-BE32-E72D297353CC}">
                <c16:uniqueId val="{00000012-67B5-49F4-ADFE-0DF1E4B661B0}"/>
              </c:ext>
            </c:extLst>
          </c:dPt>
          <c:dPt>
            <c:idx val="12"/>
            <c:bubble3D val="0"/>
            <c:extLst>
              <c:ext xmlns:c16="http://schemas.microsoft.com/office/drawing/2014/chart" uri="{C3380CC4-5D6E-409C-BE32-E72D297353CC}">
                <c16:uniqueId val="{00000013-67B5-49F4-ADFE-0DF1E4B661B0}"/>
              </c:ext>
            </c:extLst>
          </c:dPt>
          <c:dPt>
            <c:idx val="13"/>
            <c:bubble3D val="0"/>
            <c:extLst>
              <c:ext xmlns:c16="http://schemas.microsoft.com/office/drawing/2014/chart" uri="{C3380CC4-5D6E-409C-BE32-E72D297353CC}">
                <c16:uniqueId val="{00000014-67B5-49F4-ADFE-0DF1E4B661B0}"/>
              </c:ext>
            </c:extLst>
          </c:dPt>
          <c:dPt>
            <c:idx val="14"/>
            <c:bubble3D val="0"/>
            <c:extLst>
              <c:ext xmlns:c16="http://schemas.microsoft.com/office/drawing/2014/chart" uri="{C3380CC4-5D6E-409C-BE32-E72D297353CC}">
                <c16:uniqueId val="{00000016-67B5-49F4-ADFE-0DF1E4B661B0}"/>
              </c:ext>
            </c:extLst>
          </c:dPt>
          <c:dPt>
            <c:idx val="15"/>
            <c:bubble3D val="0"/>
            <c:spPr>
              <a:ln>
                <a:noFill/>
              </a:ln>
            </c:spPr>
            <c:extLst>
              <c:ext xmlns:c16="http://schemas.microsoft.com/office/drawing/2014/chart" uri="{C3380CC4-5D6E-409C-BE32-E72D297353CC}">
                <c16:uniqueId val="{0000002A-67B5-49F4-ADFE-0DF1E4B661B0}"/>
              </c:ext>
            </c:extLst>
          </c:dPt>
          <c:dLbls>
            <c:dLbl>
              <c:idx val="15"/>
              <c:layout>
                <c:manualLayout>
                  <c:x val="0"/>
                  <c:y val="-2.9598934438360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67B5-49F4-ADFE-0DF1E4B661B0}"/>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'[20230322_DS 03 - DS2022 - Grafici rating ENG_v1.xlsx]data'!$A$813:$B$828</c:f>
              <c:multiLvlStrCache>
                <c:ptCount val="16"/>
                <c:lvl>
                  <c:pt idx="0">
                    <c:v>Defaults 2009</c:v>
                  </c:pt>
                  <c:pt idx="1">
                    <c:v>Defaults 2010</c:v>
                  </c:pt>
                  <c:pt idx="2">
                    <c:v>Defaults 2011</c:v>
                  </c:pt>
                  <c:pt idx="3">
                    <c:v>Defaults 2012</c:v>
                  </c:pt>
                  <c:pt idx="4">
                    <c:v>Defaults 2013</c:v>
                  </c:pt>
                  <c:pt idx="5">
                    <c:v>Defaults 2014</c:v>
                  </c:pt>
                  <c:pt idx="6">
                    <c:v>Defaults 2015</c:v>
                  </c:pt>
                  <c:pt idx="7">
                    <c:v>Defaults 2016</c:v>
                  </c:pt>
                  <c:pt idx="8">
                    <c:v>Defaults 2017</c:v>
                  </c:pt>
                  <c:pt idx="9">
                    <c:v>Defaults 2018</c:v>
                  </c:pt>
                  <c:pt idx="10">
                    <c:v>Defaults 2019</c:v>
                  </c:pt>
                  <c:pt idx="11">
                    <c:v>Defaults 2020</c:v>
                  </c:pt>
                  <c:pt idx="12">
                    <c:v>Defaults 2021</c:v>
                  </c:pt>
                  <c:pt idx="13">
                    <c:v>Defaults 2022</c:v>
                  </c:pt>
                  <c:pt idx="14">
                    <c:v>Defaults 2023</c:v>
                  </c:pt>
                  <c:pt idx="15">
                    <c:v>2009-2023</c:v>
                  </c:pt>
                </c:lvl>
                <c:lvl>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pt idx="15">
                    <c:v>Average</c:v>
                  </c:pt>
                </c:lvl>
              </c:multiLvlStrCache>
            </c:multiLvlStrRef>
          </c:cat>
          <c:val>
            <c:numRef>
              <c:f>'[20230322_DS 03 - DS2022 - Grafici rating ENG_v1.xlsx]data'!$E$855:$E$870</c:f>
              <c:numCache>
                <c:formatCode>0.00%</c:formatCode>
                <c:ptCount val="16"/>
                <c:pt idx="0">
                  <c:v>2.02123695976155E-2</c:v>
                </c:pt>
                <c:pt idx="1">
                  <c:v>1.7056327481487644E-2</c:v>
                </c:pt>
                <c:pt idx="2">
                  <c:v>1.5717803853397074E-2</c:v>
                </c:pt>
                <c:pt idx="3">
                  <c:v>3.5118628141883955E-2</c:v>
                </c:pt>
                <c:pt idx="4">
                  <c:v>2.7677694071405176E-2</c:v>
                </c:pt>
                <c:pt idx="5">
                  <c:v>3.0371035308198683E-2</c:v>
                </c:pt>
                <c:pt idx="6">
                  <c:v>2.5065104166666668E-2</c:v>
                </c:pt>
                <c:pt idx="7">
                  <c:v>2.2597402597402599E-2</c:v>
                </c:pt>
                <c:pt idx="8">
                  <c:v>1.4937589523224883E-2</c:v>
                </c:pt>
                <c:pt idx="9">
                  <c:v>1.3102924420812762E-2</c:v>
                </c:pt>
                <c:pt idx="10">
                  <c:v>1.6728297235428773E-2</c:v>
                </c:pt>
                <c:pt idx="11">
                  <c:v>1.1622115224970945E-2</c:v>
                </c:pt>
                <c:pt idx="12">
                  <c:v>1.6703786191536749E-3</c:v>
                </c:pt>
                <c:pt idx="13">
                  <c:v>3.3602150537634409E-3</c:v>
                </c:pt>
                <c:pt idx="14">
                  <c:v>6.5411298315163529E-3</c:v>
                </c:pt>
                <c:pt idx="15">
                  <c:v>1.8025129925662787E-2</c:v>
                </c:pt>
              </c:numCache>
            </c:numRef>
          </c:val>
          <c:smooth val="0"/>
          <c:extLst>
            <c:ext xmlns:c16="http://schemas.microsoft.com/office/drawing/2014/chart" uri="{C3380CC4-5D6E-409C-BE32-E72D297353CC}">
              <c16:uniqueId val="{00000017-67B5-49F4-ADFE-0DF1E4B661B0}"/>
            </c:ext>
          </c:extLst>
        </c:ser>
        <c:ser>
          <c:idx val="4"/>
          <c:order val="3"/>
          <c:tx>
            <c:strRef>
              <c:f>'[20230322_DS 03 - DS2022 - Grafici rating ENG_v1.xlsx]data'!$F$852:$F$853</c:f>
              <c:strCache>
                <c:ptCount val="2"/>
                <c:pt idx="0">
                  <c:v>C1.1 - C2.1</c:v>
                </c:pt>
                <c:pt idx="1">
                  <c:v>[Risk]</c:v>
                </c:pt>
              </c:strCache>
            </c:strRef>
          </c:tx>
          <c:spPr>
            <a:ln>
              <a:solidFill>
                <a:srgbClr val="345B89"/>
              </a:solidFill>
            </a:ln>
          </c:spPr>
          <c:marker>
            <c:spPr>
              <a:ln>
                <a:solidFill>
                  <a:srgbClr val="0A4274"/>
                </a:solidFill>
              </a:ln>
            </c:spPr>
          </c:marker>
          <c:dPt>
            <c:idx val="9"/>
            <c:bubble3D val="0"/>
            <c:extLst>
              <c:ext xmlns:c16="http://schemas.microsoft.com/office/drawing/2014/chart" uri="{C3380CC4-5D6E-409C-BE32-E72D297353CC}">
                <c16:uniqueId val="{00000018-67B5-49F4-ADFE-0DF1E4B661B0}"/>
              </c:ext>
            </c:extLst>
          </c:dPt>
          <c:dPt>
            <c:idx val="10"/>
            <c:bubble3D val="0"/>
            <c:extLst>
              <c:ext xmlns:c16="http://schemas.microsoft.com/office/drawing/2014/chart" uri="{C3380CC4-5D6E-409C-BE32-E72D297353CC}">
                <c16:uniqueId val="{00000019-67B5-49F4-ADFE-0DF1E4B661B0}"/>
              </c:ext>
            </c:extLst>
          </c:dPt>
          <c:dPt>
            <c:idx val="11"/>
            <c:bubble3D val="0"/>
            <c:extLst>
              <c:ext xmlns:c16="http://schemas.microsoft.com/office/drawing/2014/chart" uri="{C3380CC4-5D6E-409C-BE32-E72D297353CC}">
                <c16:uniqueId val="{0000001A-67B5-49F4-ADFE-0DF1E4B661B0}"/>
              </c:ext>
            </c:extLst>
          </c:dPt>
          <c:dPt>
            <c:idx val="12"/>
            <c:bubble3D val="0"/>
            <c:extLst>
              <c:ext xmlns:c16="http://schemas.microsoft.com/office/drawing/2014/chart" uri="{C3380CC4-5D6E-409C-BE32-E72D297353CC}">
                <c16:uniqueId val="{0000001B-67B5-49F4-ADFE-0DF1E4B661B0}"/>
              </c:ext>
            </c:extLst>
          </c:dPt>
          <c:dPt>
            <c:idx val="13"/>
            <c:bubble3D val="0"/>
            <c:extLst>
              <c:ext xmlns:c16="http://schemas.microsoft.com/office/drawing/2014/chart" uri="{C3380CC4-5D6E-409C-BE32-E72D297353CC}">
                <c16:uniqueId val="{0000001C-67B5-49F4-ADFE-0DF1E4B661B0}"/>
              </c:ext>
            </c:extLst>
          </c:dPt>
          <c:dPt>
            <c:idx val="14"/>
            <c:bubble3D val="0"/>
            <c:extLst>
              <c:ext xmlns:c16="http://schemas.microsoft.com/office/drawing/2014/chart" uri="{C3380CC4-5D6E-409C-BE32-E72D297353CC}">
                <c16:uniqueId val="{0000001E-67B5-49F4-ADFE-0DF1E4B661B0}"/>
              </c:ext>
            </c:extLst>
          </c:dPt>
          <c:dPt>
            <c:idx val="15"/>
            <c:bubble3D val="0"/>
            <c:spPr>
              <a:ln>
                <a:noFill/>
              </a:ln>
            </c:spPr>
            <c:extLst>
              <c:ext xmlns:c16="http://schemas.microsoft.com/office/drawing/2014/chart" uri="{C3380CC4-5D6E-409C-BE32-E72D297353CC}">
                <c16:uniqueId val="{0000002C-67B5-49F4-ADFE-0DF1E4B661B0}"/>
              </c:ext>
            </c:extLst>
          </c:dPt>
          <c:dLbls>
            <c:dLbl>
              <c:idx val="15"/>
              <c:layout>
                <c:manualLayout>
                  <c:x val="-1.4173267528062457E-16"/>
                  <c:y val="-2.36791475506881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67B5-49F4-ADFE-0DF1E4B661B0}"/>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'[20230322_DS 03 - DS2022 - Grafici rating ENG_v1.xlsx]data'!$A$813:$B$828</c:f>
              <c:multiLvlStrCache>
                <c:ptCount val="16"/>
                <c:lvl>
                  <c:pt idx="0">
                    <c:v>Defaults 2009</c:v>
                  </c:pt>
                  <c:pt idx="1">
                    <c:v>Defaults 2010</c:v>
                  </c:pt>
                  <c:pt idx="2">
                    <c:v>Defaults 2011</c:v>
                  </c:pt>
                  <c:pt idx="3">
                    <c:v>Defaults 2012</c:v>
                  </c:pt>
                  <c:pt idx="4">
                    <c:v>Defaults 2013</c:v>
                  </c:pt>
                  <c:pt idx="5">
                    <c:v>Defaults 2014</c:v>
                  </c:pt>
                  <c:pt idx="6">
                    <c:v>Defaults 2015</c:v>
                  </c:pt>
                  <c:pt idx="7">
                    <c:v>Defaults 2016</c:v>
                  </c:pt>
                  <c:pt idx="8">
                    <c:v>Defaults 2017</c:v>
                  </c:pt>
                  <c:pt idx="9">
                    <c:v>Defaults 2018</c:v>
                  </c:pt>
                  <c:pt idx="10">
                    <c:v>Defaults 2019</c:v>
                  </c:pt>
                  <c:pt idx="11">
                    <c:v>Defaults 2020</c:v>
                  </c:pt>
                  <c:pt idx="12">
                    <c:v>Defaults 2021</c:v>
                  </c:pt>
                  <c:pt idx="13">
                    <c:v>Defaults 2022</c:v>
                  </c:pt>
                  <c:pt idx="14">
                    <c:v>Defaults 2023</c:v>
                  </c:pt>
                  <c:pt idx="15">
                    <c:v>2009-2023</c:v>
                  </c:pt>
                </c:lvl>
                <c:lvl>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pt idx="15">
                    <c:v>Average</c:v>
                  </c:pt>
                </c:lvl>
              </c:multiLvlStrCache>
            </c:multiLvlStrRef>
          </c:cat>
          <c:val>
            <c:numRef>
              <c:f>'[20230322_DS 03 - DS2022 - Grafici rating ENG_v1.xlsx]data'!$F$854:$F$869</c:f>
              <c:numCache>
                <c:formatCode>0.00%</c:formatCode>
                <c:ptCount val="16"/>
                <c:pt idx="0">
                  <c:v>0.16368101704709623</c:v>
                </c:pt>
                <c:pt idx="1">
                  <c:v>0.16193801833260585</c:v>
                </c:pt>
                <c:pt idx="2">
                  <c:v>0.14659933722581664</c:v>
                </c:pt>
                <c:pt idx="3">
                  <c:v>0.20074534161490684</c:v>
                </c:pt>
                <c:pt idx="4">
                  <c:v>0.20179533213644524</c:v>
                </c:pt>
                <c:pt idx="5">
                  <c:v>0.26148028092922743</c:v>
                </c:pt>
                <c:pt idx="6">
                  <c:v>0.22199695894576787</c:v>
                </c:pt>
                <c:pt idx="7">
                  <c:v>0.19833852544132918</c:v>
                </c:pt>
                <c:pt idx="8">
                  <c:v>0.125764192139738</c:v>
                </c:pt>
                <c:pt idx="9">
                  <c:v>0.12973484848484848</c:v>
                </c:pt>
                <c:pt idx="10">
                  <c:v>0.11717974180734857</c:v>
                </c:pt>
                <c:pt idx="11">
                  <c:v>0.10292524377031419</c:v>
                </c:pt>
                <c:pt idx="12">
                  <c:v>5.1559516231699555E-2</c:v>
                </c:pt>
                <c:pt idx="13">
                  <c:v>2.75E-2</c:v>
                </c:pt>
                <c:pt idx="14">
                  <c:v>4.5793397231096912E-2</c:v>
                </c:pt>
                <c:pt idx="15">
                  <c:v>0.15943896891584533</c:v>
                </c:pt>
              </c:numCache>
            </c:numRef>
          </c:val>
          <c:smooth val="0"/>
          <c:extLst>
            <c:ext xmlns:c16="http://schemas.microsoft.com/office/drawing/2014/chart" uri="{C3380CC4-5D6E-409C-BE32-E72D297353CC}">
              <c16:uniqueId val="{0000001F-67B5-49F4-ADFE-0DF1E4B661B0}"/>
            </c:ext>
          </c:extLst>
        </c:ser>
        <c:ser>
          <c:idx val="5"/>
          <c:order val="4"/>
          <c:tx>
            <c:strRef>
              <c:f>'[20230322_DS 03 - DS2022 - Grafici rating ENG_v1.xlsx]data'!$G$852</c:f>
              <c:strCache>
                <c:ptCount val="1"/>
                <c:pt idx="0">
                  <c:v>Average</c:v>
                </c:pt>
              </c:strCache>
            </c:strRef>
          </c:tx>
          <c:spPr>
            <a:ln>
              <a:solidFill>
                <a:schemeClr val="tx1"/>
              </a:solidFill>
            </a:ln>
          </c:spPr>
          <c:marker>
            <c:spPr>
              <a:solidFill>
                <a:schemeClr val="tx1"/>
              </a:solidFill>
              <a:ln>
                <a:noFill/>
              </a:ln>
            </c:spPr>
          </c:marker>
          <c:dPt>
            <c:idx val="9"/>
            <c:bubble3D val="0"/>
            <c:extLst>
              <c:ext xmlns:c16="http://schemas.microsoft.com/office/drawing/2014/chart" uri="{C3380CC4-5D6E-409C-BE32-E72D297353CC}">
                <c16:uniqueId val="{00000020-67B5-49F4-ADFE-0DF1E4B661B0}"/>
              </c:ext>
            </c:extLst>
          </c:dPt>
          <c:dPt>
            <c:idx val="10"/>
            <c:bubble3D val="0"/>
            <c:extLst>
              <c:ext xmlns:c16="http://schemas.microsoft.com/office/drawing/2014/chart" uri="{C3380CC4-5D6E-409C-BE32-E72D297353CC}">
                <c16:uniqueId val="{00000021-67B5-49F4-ADFE-0DF1E4B661B0}"/>
              </c:ext>
            </c:extLst>
          </c:dPt>
          <c:dPt>
            <c:idx val="11"/>
            <c:bubble3D val="0"/>
            <c:extLst>
              <c:ext xmlns:c16="http://schemas.microsoft.com/office/drawing/2014/chart" uri="{C3380CC4-5D6E-409C-BE32-E72D297353CC}">
                <c16:uniqueId val="{00000022-67B5-49F4-ADFE-0DF1E4B661B0}"/>
              </c:ext>
            </c:extLst>
          </c:dPt>
          <c:dPt>
            <c:idx val="12"/>
            <c:bubble3D val="0"/>
            <c:extLst>
              <c:ext xmlns:c16="http://schemas.microsoft.com/office/drawing/2014/chart" uri="{C3380CC4-5D6E-409C-BE32-E72D297353CC}">
                <c16:uniqueId val="{00000023-67B5-49F4-ADFE-0DF1E4B661B0}"/>
              </c:ext>
            </c:extLst>
          </c:dPt>
          <c:dPt>
            <c:idx val="13"/>
            <c:bubble3D val="0"/>
            <c:extLst>
              <c:ext xmlns:c16="http://schemas.microsoft.com/office/drawing/2014/chart" uri="{C3380CC4-5D6E-409C-BE32-E72D297353CC}">
                <c16:uniqueId val="{00000024-67B5-49F4-ADFE-0DF1E4B661B0}"/>
              </c:ext>
            </c:extLst>
          </c:dPt>
          <c:dPt>
            <c:idx val="14"/>
            <c:bubble3D val="0"/>
            <c:extLst>
              <c:ext xmlns:c16="http://schemas.microsoft.com/office/drawing/2014/chart" uri="{C3380CC4-5D6E-409C-BE32-E72D297353CC}">
                <c16:uniqueId val="{00000026-67B5-49F4-ADFE-0DF1E4B661B0}"/>
              </c:ext>
            </c:extLst>
          </c:dPt>
          <c:dPt>
            <c:idx val="15"/>
            <c:bubble3D val="0"/>
            <c:spPr>
              <a:ln>
                <a:noFill/>
              </a:ln>
            </c:spPr>
            <c:extLst>
              <c:ext xmlns:c16="http://schemas.microsoft.com/office/drawing/2014/chart" uri="{C3380CC4-5D6E-409C-BE32-E72D297353CC}">
                <c16:uniqueId val="{0000002B-67B5-49F4-ADFE-0DF1E4B661B0}"/>
              </c:ext>
            </c:extLst>
          </c:dPt>
          <c:dLbls>
            <c:dLbl>
              <c:idx val="15"/>
              <c:layout>
                <c:manualLayout>
                  <c:x val="0"/>
                  <c:y val="-1.4799467219180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67B5-49F4-ADFE-0DF1E4B661B0}"/>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'[20230322_DS 03 - DS2022 - Grafici rating ENG_v1.xlsx]data'!$A$813:$B$828</c:f>
              <c:multiLvlStrCache>
                <c:ptCount val="16"/>
                <c:lvl>
                  <c:pt idx="0">
                    <c:v>Defaults 2009</c:v>
                  </c:pt>
                  <c:pt idx="1">
                    <c:v>Defaults 2010</c:v>
                  </c:pt>
                  <c:pt idx="2">
                    <c:v>Defaults 2011</c:v>
                  </c:pt>
                  <c:pt idx="3">
                    <c:v>Defaults 2012</c:v>
                  </c:pt>
                  <c:pt idx="4">
                    <c:v>Defaults 2013</c:v>
                  </c:pt>
                  <c:pt idx="5">
                    <c:v>Defaults 2014</c:v>
                  </c:pt>
                  <c:pt idx="6">
                    <c:v>Defaults 2015</c:v>
                  </c:pt>
                  <c:pt idx="7">
                    <c:v>Defaults 2016</c:v>
                  </c:pt>
                  <c:pt idx="8">
                    <c:v>Defaults 2017</c:v>
                  </c:pt>
                  <c:pt idx="9">
                    <c:v>Defaults 2018</c:v>
                  </c:pt>
                  <c:pt idx="10">
                    <c:v>Defaults 2019</c:v>
                  </c:pt>
                  <c:pt idx="11">
                    <c:v>Defaults 2020</c:v>
                  </c:pt>
                  <c:pt idx="12">
                    <c:v>Defaults 2021</c:v>
                  </c:pt>
                  <c:pt idx="13">
                    <c:v>Defaults 2022</c:v>
                  </c:pt>
                  <c:pt idx="14">
                    <c:v>Defaults 2023</c:v>
                  </c:pt>
                  <c:pt idx="15">
                    <c:v>2009-2023</c:v>
                  </c:pt>
                </c:lvl>
                <c:lvl>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pt idx="15">
                    <c:v>Average</c:v>
                  </c:pt>
                </c:lvl>
              </c:multiLvlStrCache>
            </c:multiLvlStrRef>
          </c:cat>
          <c:val>
            <c:numRef>
              <c:f>'[20230322_DS 03 - DS2022 - Grafici rating ENG_v1.xlsx]data'!$G$854:$G$869</c:f>
              <c:numCache>
                <c:formatCode>0.00%</c:formatCode>
                <c:ptCount val="16"/>
                <c:pt idx="0">
                  <c:v>4.0119639929826582E-2</c:v>
                </c:pt>
                <c:pt idx="1">
                  <c:v>3.2225027390082407E-2</c:v>
                </c:pt>
                <c:pt idx="2">
                  <c:v>2.94848846459825E-2</c:v>
                </c:pt>
                <c:pt idx="3">
                  <c:v>4.0591545429590994E-2</c:v>
                </c:pt>
                <c:pt idx="4">
                  <c:v>3.8773030977930757E-2</c:v>
                </c:pt>
                <c:pt idx="5">
                  <c:v>3.6120208052398385E-2</c:v>
                </c:pt>
                <c:pt idx="6">
                  <c:v>3.3269191816892849E-2</c:v>
                </c:pt>
                <c:pt idx="7">
                  <c:v>2.4378623044548558E-2</c:v>
                </c:pt>
                <c:pt idx="8">
                  <c:v>1.6195161951619515E-2</c:v>
                </c:pt>
                <c:pt idx="9">
                  <c:v>1.5320910973084885E-2</c:v>
                </c:pt>
                <c:pt idx="10">
                  <c:v>1.4460234355522314E-2</c:v>
                </c:pt>
                <c:pt idx="11">
                  <c:v>1.0286302074404252E-2</c:v>
                </c:pt>
                <c:pt idx="12">
                  <c:v>5.6500571016409205E-3</c:v>
                </c:pt>
                <c:pt idx="13">
                  <c:v>5.0529588961228259E-3</c:v>
                </c:pt>
                <c:pt idx="14">
                  <c:v>7.5339948548327823E-3</c:v>
                </c:pt>
                <c:pt idx="15">
                  <c:v>2.7220509288967493E-2</c:v>
                </c:pt>
              </c:numCache>
            </c:numRef>
          </c:val>
          <c:smooth val="0"/>
          <c:extLst>
            <c:ext xmlns:c16="http://schemas.microsoft.com/office/drawing/2014/chart" uri="{C3380CC4-5D6E-409C-BE32-E72D297353CC}">
              <c16:uniqueId val="{00000027-67B5-49F4-ADFE-0DF1E4B661B0}"/>
            </c:ext>
          </c:extLst>
        </c:ser>
        <c:dLbls>
          <c:showLegendKey val="0"/>
          <c:showVal val="0"/>
          <c:showCatName val="0"/>
          <c:showSerName val="0"/>
          <c:showPercent val="0"/>
          <c:showBubbleSize val="0"/>
        </c:dLbls>
        <c:marker val="1"/>
        <c:smooth val="0"/>
        <c:axId val="538991472"/>
        <c:axId val="538980104"/>
      </c:lineChart>
      <c:catAx>
        <c:axId val="538991472"/>
        <c:scaling>
          <c:orientation val="minMax"/>
        </c:scaling>
        <c:delete val="0"/>
        <c:axPos val="b"/>
        <c:numFmt formatCode="General" sourceLinked="1"/>
        <c:majorTickMark val="out"/>
        <c:minorTickMark val="none"/>
        <c:tickLblPos val="nextTo"/>
        <c:crossAx val="538980104"/>
        <c:crosses val="autoZero"/>
        <c:auto val="1"/>
        <c:lblAlgn val="ctr"/>
        <c:lblOffset val="100"/>
        <c:noMultiLvlLbl val="0"/>
      </c:catAx>
      <c:valAx>
        <c:axId val="538980104"/>
        <c:scaling>
          <c:orientation val="minMax"/>
        </c:scaling>
        <c:delete val="0"/>
        <c:axPos val="l"/>
        <c:numFmt formatCode="0%" sourceLinked="0"/>
        <c:majorTickMark val="out"/>
        <c:minorTickMark val="none"/>
        <c:tickLblPos val="nextTo"/>
        <c:crossAx val="538991472"/>
        <c:crosses val="autoZero"/>
        <c:crossBetween val="between"/>
      </c:valAx>
    </c:plotArea>
    <c:legend>
      <c:legendPos val="b"/>
      <c:layout>
        <c:manualLayout>
          <c:xMode val="edge"/>
          <c:yMode val="edge"/>
          <c:x val="8.0331769349589494E-2"/>
          <c:y val="0.94962517204609809"/>
          <c:w val="0.84301684639438468"/>
          <c:h val="5.0374827953901753E-2"/>
        </c:manualLayout>
      </c:layout>
      <c:overlay val="0"/>
    </c:legend>
    <c:plotVisOnly val="1"/>
    <c:dispBlanksAs val="gap"/>
    <c:showDLblsOverMax val="0"/>
  </c:chart>
  <c:spPr>
    <a:noFill/>
    <a:ln>
      <a:noFill/>
    </a:ln>
  </c:spPr>
  <c:txPr>
    <a:bodyPr/>
    <a:lstStyle/>
    <a:p>
      <a:pPr>
        <a:defRPr sz="700">
          <a:solidFill>
            <a:schemeClr val="tx1"/>
          </a:solidFill>
          <a:latin typeface="Source Sans Pro" panose="020B0503030403020204" pitchFamily="34" charset="0"/>
          <a:ea typeface="Source Sans Pro" panose="020B0503030403020204" pitchFamily="34" charset="0"/>
        </a:defRPr>
      </a:pPr>
      <a:endParaRPr lang="it-IT"/>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en-US" sz="700"/>
              <a:t>Average default rates of SMEs by risk area</a:t>
            </a:r>
          </a:p>
          <a:p>
            <a:pPr>
              <a:defRPr/>
            </a:pPr>
            <a:r>
              <a:rPr lang="en-US" sz="700" b="0"/>
              <a:t>% of defaulted entitities originally rated in different area of risk 1 year before</a:t>
            </a:r>
            <a:endParaRPr lang="it-IT" sz="700" b="0"/>
          </a:p>
        </c:rich>
      </c:tx>
      <c:overlay val="0"/>
    </c:title>
    <c:autoTitleDeleted val="0"/>
    <c:plotArea>
      <c:layout/>
      <c:pieChart>
        <c:varyColors val="1"/>
        <c:ser>
          <c:idx val="0"/>
          <c:order val="0"/>
          <c:dPt>
            <c:idx val="1"/>
            <c:bubble3D val="0"/>
            <c:spPr>
              <a:solidFill>
                <a:schemeClr val="accent3"/>
              </a:solidFill>
              <a:ln>
                <a:noFill/>
              </a:ln>
            </c:spPr>
            <c:extLst>
              <c:ext xmlns:c16="http://schemas.microsoft.com/office/drawing/2014/chart" uri="{C3380CC4-5D6E-409C-BE32-E72D297353CC}">
                <c16:uniqueId val="{00000001-EBB4-4022-AFBE-990752CAB47B}"/>
              </c:ext>
            </c:extLst>
          </c:dPt>
          <c:dPt>
            <c:idx val="2"/>
            <c:bubble3D val="0"/>
            <c:spPr>
              <a:solidFill>
                <a:schemeClr val="accent1"/>
              </a:solidFill>
            </c:spPr>
            <c:extLst>
              <c:ext xmlns:c16="http://schemas.microsoft.com/office/drawing/2014/chart" uri="{C3380CC4-5D6E-409C-BE32-E72D297353CC}">
                <c16:uniqueId val="{00000002-EBB4-4022-AFBE-990752CAB47B}"/>
              </c:ext>
            </c:extLst>
          </c:dPt>
          <c:dPt>
            <c:idx val="3"/>
            <c:bubble3D val="0"/>
            <c:spPr>
              <a:solidFill>
                <a:schemeClr val="tx2"/>
              </a:solidFill>
            </c:spPr>
            <c:extLst>
              <c:ext xmlns:c16="http://schemas.microsoft.com/office/drawing/2014/chart" uri="{C3380CC4-5D6E-409C-BE32-E72D297353CC}">
                <c16:uniqueId val="{00000003-EBB4-4022-AFBE-990752CAB47B}"/>
              </c:ext>
            </c:extLst>
          </c:dPt>
          <c:dLbls>
            <c:dLbl>
              <c:idx val="0"/>
              <c:spPr>
                <a:noFill/>
                <a:ln>
                  <a:noFill/>
                </a:ln>
                <a:effectLst/>
              </c:spPr>
              <c:txPr>
                <a:bodyPr/>
                <a:lstStyle/>
                <a:p>
                  <a:pPr>
                    <a:defRPr b="1">
                      <a:solidFill>
                        <a:schemeClr val="tx1"/>
                      </a:solidFill>
                    </a:defRPr>
                  </a:pPr>
                  <a:endParaRPr lang="it-IT"/>
                </a:p>
              </c:txPr>
              <c:dLblPos val="bestFit"/>
              <c:showLegendKey val="0"/>
              <c:showVal val="1"/>
              <c:showCatName val="0"/>
              <c:showSerName val="0"/>
              <c:showPercent val="0"/>
              <c:showBubbleSize val="0"/>
              <c:extLst>
                <c:ext xmlns:c16="http://schemas.microsoft.com/office/drawing/2014/chart" uri="{C3380CC4-5D6E-409C-BE32-E72D297353CC}">
                  <c16:uniqueId val="{00000004-EBB4-4022-AFBE-990752CAB47B}"/>
                </c:ext>
              </c:extLst>
            </c:dLbl>
            <c:spPr>
              <a:noFill/>
              <a:ln>
                <a:noFill/>
              </a:ln>
              <a:effectLst/>
            </c:spPr>
            <c:txPr>
              <a:bodyPr/>
              <a:lstStyle/>
              <a:p>
                <a:pPr>
                  <a:defRPr b="1">
                    <a:solidFill>
                      <a:schemeClr val="bg1"/>
                    </a:solidFill>
                  </a:defRPr>
                </a:pPr>
                <a:endParaRPr lang="it-IT"/>
              </a:p>
            </c:txPr>
            <c:dLblPos val="bestFit"/>
            <c:showLegendKey val="0"/>
            <c:showVal val="1"/>
            <c:showCatName val="0"/>
            <c:showSerName val="0"/>
            <c:showPercent val="0"/>
            <c:showBubbleSize val="0"/>
            <c:showLeaderLines val="1"/>
            <c:extLst>
              <c:ext xmlns:c15="http://schemas.microsoft.com/office/drawing/2012/chart" uri="{CE6537A1-D6FC-4f65-9D91-7224C49458BB}"/>
            </c:extLst>
          </c:dLbls>
          <c:cat>
            <c:multiLvlStrRef>
              <c:f>'[20230322_DS 03 - DS2022 - Grafici rating ENG_v1.xlsx]data'!$A$875:$D$876</c:f>
              <c:multiLvlStrCache>
                <c:ptCount val="4"/>
                <c:lvl>
                  <c:pt idx="0">
                    <c:v>[Safety]</c:v>
                  </c:pt>
                  <c:pt idx="1">
                    <c:v>[Solvency]</c:v>
                  </c:pt>
                  <c:pt idx="2">
                    <c:v>[Vulnerability]</c:v>
                  </c:pt>
                  <c:pt idx="3">
                    <c:v>[Risk]</c:v>
                  </c:pt>
                </c:lvl>
                <c:lvl>
                  <c:pt idx="0">
                    <c:v>A1.1 - A3.1</c:v>
                  </c:pt>
                  <c:pt idx="1">
                    <c:v>B1.1 - B1.2</c:v>
                  </c:pt>
                  <c:pt idx="2">
                    <c:v>B2.1 - B2.2</c:v>
                  </c:pt>
                  <c:pt idx="3">
                    <c:v>C1.1 - C2.1</c:v>
                  </c:pt>
                </c:lvl>
              </c:multiLvlStrCache>
            </c:multiLvlStrRef>
          </c:cat>
          <c:val>
            <c:numRef>
              <c:f>'[20230322_DS 03 - DS2022 - Grafici rating ENG_v1.xlsx]data'!$A$877:$D$877</c:f>
              <c:numCache>
                <c:formatCode>0.00%</c:formatCode>
                <c:ptCount val="4"/>
                <c:pt idx="0">
                  <c:v>2.2999080036798527E-3</c:v>
                </c:pt>
                <c:pt idx="1">
                  <c:v>5.1632934682612694E-2</c:v>
                </c:pt>
                <c:pt idx="2">
                  <c:v>0.22056117755289789</c:v>
                </c:pt>
                <c:pt idx="3">
                  <c:v>0.72550597976080955</c:v>
                </c:pt>
              </c:numCache>
            </c:numRef>
          </c:val>
          <c:extLst>
            <c:ext xmlns:c16="http://schemas.microsoft.com/office/drawing/2014/chart" uri="{C3380CC4-5D6E-409C-BE32-E72D297353CC}">
              <c16:uniqueId val="{00000000-EBB4-4022-AFBE-990752CAB47B}"/>
            </c:ext>
          </c:extLst>
        </c:ser>
        <c:dLbls>
          <c:showLegendKey val="0"/>
          <c:showVal val="1"/>
          <c:showCatName val="0"/>
          <c:showSerName val="0"/>
          <c:showPercent val="0"/>
          <c:showBubbleSize val="0"/>
          <c:showLeaderLines val="1"/>
        </c:dLbls>
        <c:firstSliceAng val="0"/>
      </c:pieChart>
    </c:plotArea>
    <c:legend>
      <c:legendPos val="b"/>
      <c:overlay val="0"/>
    </c:legend>
    <c:plotVisOnly val="1"/>
    <c:dispBlanksAs val="gap"/>
    <c:showDLblsOverMax val="0"/>
  </c:chart>
  <c:spPr>
    <a:ln>
      <a:noFill/>
    </a:ln>
  </c:spPr>
  <c:txPr>
    <a:bodyPr/>
    <a:lstStyle/>
    <a:p>
      <a:pPr>
        <a:defRPr sz="700">
          <a:latin typeface="Source Sans Pro" panose="020B0503030403020204" pitchFamily="34" charset="0"/>
          <a:ea typeface="Source Sans Pro" panose="020B0503030403020204" pitchFamily="34" charset="0"/>
        </a:defRPr>
      </a:pPr>
      <a:endParaRPr lang="it-IT"/>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en-US" sz="700"/>
              <a:t>SMEs: 1-y to 5-y cumulative default rates by static pool</a:t>
            </a:r>
          </a:p>
          <a:p>
            <a:pPr>
              <a:defRPr/>
            </a:pPr>
            <a:r>
              <a:rPr lang="en-US" sz="700" b="0"/>
              <a:t>From</a:t>
            </a:r>
            <a:r>
              <a:rPr lang="en-US" sz="700" b="0" baseline="0"/>
              <a:t> 1 to 5 years</a:t>
            </a:r>
            <a:endParaRPr lang="en-US" sz="700" b="0"/>
          </a:p>
        </c:rich>
      </c:tx>
      <c:overlay val="0"/>
    </c:title>
    <c:autoTitleDeleted val="0"/>
    <c:plotArea>
      <c:layout/>
      <c:lineChart>
        <c:grouping val="standard"/>
        <c:varyColors val="0"/>
        <c:ser>
          <c:idx val="0"/>
          <c:order val="0"/>
          <c:tx>
            <c:strRef>
              <c:f>'[20230322_DS 03 - DS2022 - Grafici rating ENG_v1.xlsx]data'!$B$882</c:f>
              <c:strCache>
                <c:ptCount val="1"/>
                <c:pt idx="0">
                  <c:v>1-y DR</c:v>
                </c:pt>
              </c:strCache>
            </c:strRef>
          </c:tx>
          <c:spPr>
            <a:ln>
              <a:solidFill>
                <a:srgbClr val="345B89"/>
              </a:solidFill>
            </a:ln>
          </c:spPr>
          <c:marker>
            <c:spPr>
              <a:ln>
                <a:solidFill>
                  <a:srgbClr val="1F497D"/>
                </a:solidFill>
              </a:ln>
            </c:spPr>
          </c:marker>
          <c:dPt>
            <c:idx val="7"/>
            <c:bubble3D val="0"/>
            <c:extLst>
              <c:ext xmlns:c16="http://schemas.microsoft.com/office/drawing/2014/chart" uri="{C3380CC4-5D6E-409C-BE32-E72D297353CC}">
                <c16:uniqueId val="{00000000-764D-455D-BC97-1D18C9CA242C}"/>
              </c:ext>
            </c:extLst>
          </c:dPt>
          <c:dPt>
            <c:idx val="9"/>
            <c:bubble3D val="0"/>
            <c:extLst>
              <c:ext xmlns:c16="http://schemas.microsoft.com/office/drawing/2014/chart" uri="{C3380CC4-5D6E-409C-BE32-E72D297353CC}">
                <c16:uniqueId val="{00000001-764D-455D-BC97-1D18C9CA242C}"/>
              </c:ext>
            </c:extLst>
          </c:dPt>
          <c:dPt>
            <c:idx val="10"/>
            <c:bubble3D val="0"/>
            <c:extLst>
              <c:ext xmlns:c16="http://schemas.microsoft.com/office/drawing/2014/chart" uri="{C3380CC4-5D6E-409C-BE32-E72D297353CC}">
                <c16:uniqueId val="{00000002-764D-455D-BC97-1D18C9CA242C}"/>
              </c:ext>
            </c:extLst>
          </c:dPt>
          <c:dPt>
            <c:idx val="11"/>
            <c:bubble3D val="0"/>
            <c:extLst>
              <c:ext xmlns:c16="http://schemas.microsoft.com/office/drawing/2014/chart" uri="{C3380CC4-5D6E-409C-BE32-E72D297353CC}">
                <c16:uniqueId val="{00000003-764D-455D-BC97-1D18C9CA242C}"/>
              </c:ext>
            </c:extLst>
          </c:dPt>
          <c:dPt>
            <c:idx val="12"/>
            <c:bubble3D val="0"/>
            <c:extLst>
              <c:ext xmlns:c16="http://schemas.microsoft.com/office/drawing/2014/chart" uri="{C3380CC4-5D6E-409C-BE32-E72D297353CC}">
                <c16:uniqueId val="{00000004-764D-455D-BC97-1D18C9CA242C}"/>
              </c:ext>
            </c:extLst>
          </c:dPt>
          <c:dPt>
            <c:idx val="14"/>
            <c:bubble3D val="0"/>
            <c:extLst>
              <c:ext xmlns:c16="http://schemas.microsoft.com/office/drawing/2014/chart" uri="{C3380CC4-5D6E-409C-BE32-E72D297353CC}">
                <c16:uniqueId val="{00000006-764D-455D-BC97-1D18C9CA242C}"/>
              </c:ext>
            </c:extLst>
          </c:dPt>
          <c:dPt>
            <c:idx val="15"/>
            <c:bubble3D val="0"/>
            <c:spPr>
              <a:ln>
                <a:noFill/>
              </a:ln>
            </c:spPr>
            <c:extLst>
              <c:ext xmlns:c16="http://schemas.microsoft.com/office/drawing/2014/chart" uri="{C3380CC4-5D6E-409C-BE32-E72D297353CC}">
                <c16:uniqueId val="{0000000C-764D-455D-BC97-1D18C9CA242C}"/>
              </c:ext>
            </c:extLst>
          </c:dPt>
          <c:dLbls>
            <c:dLbl>
              <c:idx val="15"/>
              <c:layout>
                <c:manualLayout>
                  <c:x val="-6.208842897460032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64D-455D-BC97-1D18C9CA242C}"/>
                </c:ext>
              </c:extLst>
            </c:dLbl>
            <c:spPr>
              <a:noFill/>
              <a:ln>
                <a:noFill/>
              </a:ln>
              <a:effectLst/>
            </c:spPr>
            <c:txPr>
              <a:bodyPr wrap="square" lIns="38100" tIns="19050" rIns="38100" bIns="19050" anchor="ctr">
                <a:spAutoFit/>
              </a:bodyPr>
              <a:lstStyle/>
              <a:p>
                <a:pPr>
                  <a:defRPr b="1"/>
                </a:pPr>
                <a:endParaRPr lang="it-IT"/>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'[20230322_DS 03 - DS2022 - Grafici rating ENG_v1.xlsx]data'!$A$883:$A$898</c:f>
              <c:strCache>
                <c:ptCount val="16"/>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pt idx="15">
                  <c:v>Average</c:v>
                </c:pt>
              </c:strCache>
            </c:strRef>
          </c:cat>
          <c:val>
            <c:numRef>
              <c:f>'[20230322_DS 03 - DS2022 - Grafici rating ENG_v1.xlsx]data'!$B$883:$B$898</c:f>
              <c:numCache>
                <c:formatCode>0.00%</c:formatCode>
                <c:ptCount val="16"/>
                <c:pt idx="0">
                  <c:v>4.0119599999999998E-2</c:v>
                </c:pt>
                <c:pt idx="1">
                  <c:v>3.2224999999999997E-2</c:v>
                </c:pt>
                <c:pt idx="2">
                  <c:v>2.9484900000000001E-2</c:v>
                </c:pt>
                <c:pt idx="3">
                  <c:v>4.0591500000000003E-2</c:v>
                </c:pt>
                <c:pt idx="4">
                  <c:v>3.8773000000000002E-2</c:v>
                </c:pt>
                <c:pt idx="5">
                  <c:v>3.6120199999999998E-2</c:v>
                </c:pt>
                <c:pt idx="6">
                  <c:v>3.3269199999999999E-2</c:v>
                </c:pt>
                <c:pt idx="7">
                  <c:v>2.43786E-2</c:v>
                </c:pt>
                <c:pt idx="8">
                  <c:v>1.61952E-2</c:v>
                </c:pt>
                <c:pt idx="9">
                  <c:v>1.53209E-2</c:v>
                </c:pt>
                <c:pt idx="10">
                  <c:v>1.4460199999999999E-2</c:v>
                </c:pt>
                <c:pt idx="11">
                  <c:v>1.02863E-2</c:v>
                </c:pt>
                <c:pt idx="12">
                  <c:v>5.6500600000000002E-3</c:v>
                </c:pt>
                <c:pt idx="13">
                  <c:v>5.0529599999999996E-3</c:v>
                </c:pt>
                <c:pt idx="14">
                  <c:v>7.53399E-3</c:v>
                </c:pt>
                <c:pt idx="15">
                  <c:v>2.7220509288967493E-2</c:v>
                </c:pt>
              </c:numCache>
            </c:numRef>
          </c:val>
          <c:smooth val="0"/>
          <c:extLst>
            <c:ext xmlns:c16="http://schemas.microsoft.com/office/drawing/2014/chart" uri="{C3380CC4-5D6E-409C-BE32-E72D297353CC}">
              <c16:uniqueId val="{00000007-764D-455D-BC97-1D18C9CA242C}"/>
            </c:ext>
          </c:extLst>
        </c:ser>
        <c:ser>
          <c:idx val="1"/>
          <c:order val="1"/>
          <c:tx>
            <c:strRef>
              <c:f>'[20230322_DS 03 - DS2022 - Grafici rating ENG_v1.xlsx]data'!$C$882</c:f>
              <c:strCache>
                <c:ptCount val="1"/>
                <c:pt idx="0">
                  <c:v>2-y CDR</c:v>
                </c:pt>
              </c:strCache>
            </c:strRef>
          </c:tx>
          <c:spPr>
            <a:ln>
              <a:solidFill>
                <a:schemeClr val="accent2"/>
              </a:solidFill>
            </a:ln>
          </c:spPr>
          <c:marker>
            <c:spPr>
              <a:solidFill>
                <a:schemeClr val="accent2"/>
              </a:solidFill>
              <a:ln>
                <a:noFill/>
              </a:ln>
            </c:spPr>
          </c:marker>
          <c:dLbls>
            <c:dLbl>
              <c:idx val="15"/>
              <c:layout>
                <c:manualLayout>
                  <c:x val="-6.396989651928518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64D-455D-BC97-1D18C9CA242C}"/>
                </c:ext>
              </c:extLst>
            </c:dLbl>
            <c:spPr>
              <a:noFill/>
              <a:ln>
                <a:noFill/>
              </a:ln>
              <a:effectLst/>
            </c:spPr>
            <c:txPr>
              <a:bodyPr wrap="square" lIns="38100" tIns="19050" rIns="38100" bIns="19050" anchor="ctr">
                <a:spAutoFit/>
              </a:bodyPr>
              <a:lstStyle/>
              <a:p>
                <a:pPr>
                  <a:defRPr b="1"/>
                </a:pPr>
                <a:endParaRPr lang="it-IT"/>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'[20230322_DS 03 - DS2022 - Grafici rating ENG_v1.xlsx]data'!$A$883:$A$898</c:f>
              <c:strCache>
                <c:ptCount val="16"/>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pt idx="15">
                  <c:v>Average</c:v>
                </c:pt>
              </c:strCache>
            </c:strRef>
          </c:cat>
          <c:val>
            <c:numRef>
              <c:f>'[20230322_DS 03 - DS2022 - Grafici rating ENG_v1.xlsx]data'!$C$883:$C$898</c:f>
              <c:numCache>
                <c:formatCode>0.00%</c:formatCode>
                <c:ptCount val="16"/>
                <c:pt idx="0">
                  <c:v>6.5370600000000001E-2</c:v>
                </c:pt>
                <c:pt idx="1">
                  <c:v>5.3875100000000002E-2</c:v>
                </c:pt>
                <c:pt idx="2">
                  <c:v>6.2375699999999999E-2</c:v>
                </c:pt>
                <c:pt idx="3">
                  <c:v>6.2894599999999995E-2</c:v>
                </c:pt>
                <c:pt idx="4">
                  <c:v>6.9092899999999999E-2</c:v>
                </c:pt>
                <c:pt idx="5">
                  <c:v>6.4823699999999998E-2</c:v>
                </c:pt>
                <c:pt idx="6">
                  <c:v>5.6005699999999999E-2</c:v>
                </c:pt>
                <c:pt idx="7">
                  <c:v>4.2086899999999997E-2</c:v>
                </c:pt>
                <c:pt idx="8">
                  <c:v>2.9451999999999999E-2</c:v>
                </c:pt>
                <c:pt idx="9">
                  <c:v>2.9882700000000002E-2</c:v>
                </c:pt>
                <c:pt idx="10">
                  <c:v>2.6302699999999998E-2</c:v>
                </c:pt>
                <c:pt idx="11">
                  <c:v>1.5715199999999999E-2</c:v>
                </c:pt>
                <c:pt idx="12">
                  <c:v>1.02182E-2</c:v>
                </c:pt>
                <c:pt idx="13">
                  <c:v>1.3506900000000001E-2</c:v>
                </c:pt>
                <c:pt idx="15">
                  <c:v>4.8914223493993471E-2</c:v>
                </c:pt>
              </c:numCache>
            </c:numRef>
          </c:val>
          <c:smooth val="0"/>
          <c:extLst>
            <c:ext xmlns:c16="http://schemas.microsoft.com/office/drawing/2014/chart" uri="{C3380CC4-5D6E-409C-BE32-E72D297353CC}">
              <c16:uniqueId val="{00000008-764D-455D-BC97-1D18C9CA242C}"/>
            </c:ext>
          </c:extLst>
        </c:ser>
        <c:ser>
          <c:idx val="2"/>
          <c:order val="2"/>
          <c:tx>
            <c:strRef>
              <c:f>'[20230322_DS 03 - DS2022 - Grafici rating ENG_v1.xlsx]data'!$D$882</c:f>
              <c:strCache>
                <c:ptCount val="1"/>
                <c:pt idx="0">
                  <c:v>3-y CDR</c:v>
                </c:pt>
              </c:strCache>
            </c:strRef>
          </c:tx>
          <c:spPr>
            <a:ln>
              <a:solidFill>
                <a:schemeClr val="accent3"/>
              </a:solidFill>
            </a:ln>
          </c:spPr>
          <c:marker>
            <c:spPr>
              <a:solidFill>
                <a:schemeClr val="accent3"/>
              </a:solidFill>
              <a:ln>
                <a:noFill/>
              </a:ln>
            </c:spPr>
          </c:marker>
          <c:dLbls>
            <c:dLbl>
              <c:idx val="15"/>
              <c:layout>
                <c:manualLayout>
                  <c:x val="-6.3969896519285183E-2"/>
                  <c:y val="-2.96076980014809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64D-455D-BC97-1D18C9CA242C}"/>
                </c:ext>
              </c:extLst>
            </c:dLbl>
            <c:spPr>
              <a:noFill/>
              <a:ln>
                <a:noFill/>
              </a:ln>
              <a:effectLst/>
            </c:spPr>
            <c:txPr>
              <a:bodyPr wrap="square" lIns="38100" tIns="19050" rIns="38100" bIns="19050" anchor="ctr">
                <a:spAutoFit/>
              </a:bodyPr>
              <a:lstStyle/>
              <a:p>
                <a:pPr>
                  <a:defRPr b="1"/>
                </a:pPr>
                <a:endParaRPr lang="it-IT"/>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'[20230322_DS 03 - DS2022 - Grafici rating ENG_v1.xlsx]data'!$A$883:$A$898</c:f>
              <c:strCache>
                <c:ptCount val="16"/>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pt idx="15">
                  <c:v>Average</c:v>
                </c:pt>
              </c:strCache>
            </c:strRef>
          </c:cat>
          <c:val>
            <c:numRef>
              <c:f>'[20230322_DS 03 - DS2022 - Grafici rating ENG_v1.xlsx]data'!$D$883:$D$898</c:f>
              <c:numCache>
                <c:formatCode>0.00%</c:formatCode>
                <c:ptCount val="16"/>
                <c:pt idx="0">
                  <c:v>9.3353699999999998E-2</c:v>
                </c:pt>
                <c:pt idx="1">
                  <c:v>8.6243E-2</c:v>
                </c:pt>
                <c:pt idx="2">
                  <c:v>7.96042E-2</c:v>
                </c:pt>
                <c:pt idx="3">
                  <c:v>0.100913</c:v>
                </c:pt>
                <c:pt idx="4">
                  <c:v>9.75906E-2</c:v>
                </c:pt>
                <c:pt idx="5">
                  <c:v>8.7892499999999998E-2</c:v>
                </c:pt>
                <c:pt idx="6">
                  <c:v>7.4083499999999997E-2</c:v>
                </c:pt>
                <c:pt idx="7">
                  <c:v>5.7015799999999998E-2</c:v>
                </c:pt>
                <c:pt idx="8">
                  <c:v>4.3050400000000003E-2</c:v>
                </c:pt>
                <c:pt idx="9">
                  <c:v>4.2374099999999998E-2</c:v>
                </c:pt>
                <c:pt idx="10">
                  <c:v>3.4405400000000003E-2</c:v>
                </c:pt>
                <c:pt idx="11">
                  <c:v>2.1658400000000001E-2</c:v>
                </c:pt>
                <c:pt idx="12">
                  <c:v>1.9955500000000001E-2</c:v>
                </c:pt>
                <c:pt idx="15">
                  <c:v>7.1913238794461765E-2</c:v>
                </c:pt>
              </c:numCache>
            </c:numRef>
          </c:val>
          <c:smooth val="0"/>
          <c:extLst>
            <c:ext xmlns:c16="http://schemas.microsoft.com/office/drawing/2014/chart" uri="{C3380CC4-5D6E-409C-BE32-E72D297353CC}">
              <c16:uniqueId val="{00000009-764D-455D-BC97-1D18C9CA242C}"/>
            </c:ext>
          </c:extLst>
        </c:ser>
        <c:ser>
          <c:idx val="3"/>
          <c:order val="3"/>
          <c:tx>
            <c:strRef>
              <c:f>'[20230322_DS 03 - DS2022 - Grafici rating ENG_v1.xlsx]data'!$E$881</c:f>
              <c:strCache>
                <c:ptCount val="1"/>
                <c:pt idx="0">
                  <c:v>4-y CDR</c:v>
                </c:pt>
              </c:strCache>
            </c:strRef>
          </c:tx>
          <c:spPr>
            <a:ln>
              <a:solidFill>
                <a:srgbClr val="345B89"/>
              </a:solidFill>
            </a:ln>
          </c:spPr>
          <c:marker>
            <c:spPr>
              <a:ln>
                <a:solidFill>
                  <a:schemeClr val="accent5"/>
                </a:solidFill>
              </a:ln>
            </c:spPr>
          </c:marker>
          <c:dLbls>
            <c:dLbl>
              <c:idx val="15"/>
              <c:layout>
                <c:manualLayout>
                  <c:x val="-6.3969896519285183E-2"/>
                  <c:y val="2.96076980014798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64D-455D-BC97-1D18C9CA242C}"/>
                </c:ext>
              </c:extLst>
            </c:dLbl>
            <c:spPr>
              <a:noFill/>
              <a:ln>
                <a:noFill/>
              </a:ln>
              <a:effectLst/>
            </c:spPr>
            <c:txPr>
              <a:bodyPr wrap="square" lIns="38100" tIns="19050" rIns="38100" bIns="19050" anchor="ctr">
                <a:spAutoFit/>
              </a:bodyPr>
              <a:lstStyle/>
              <a:p>
                <a:pPr>
                  <a:defRPr b="1"/>
                </a:pPr>
                <a:endParaRPr lang="it-IT"/>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'[20230322_DS 03 - DS2022 - Grafici rating ENG_v1.xlsx]data'!$A$883:$A$898</c:f>
              <c:strCache>
                <c:ptCount val="16"/>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pt idx="15">
                  <c:v>Average</c:v>
                </c:pt>
              </c:strCache>
            </c:strRef>
          </c:cat>
          <c:val>
            <c:numRef>
              <c:f>'[20230322_DS 03 - DS2022 - Grafici rating ENG_v1.xlsx]data'!$E$882:$E$897</c:f>
              <c:numCache>
                <c:formatCode>0.00%</c:formatCode>
                <c:ptCount val="16"/>
                <c:pt idx="0">
                  <c:v>0.12809499999999999</c:v>
                </c:pt>
                <c:pt idx="1">
                  <c:v>0.10274899999999999</c:v>
                </c:pt>
                <c:pt idx="2">
                  <c:v>0.115006</c:v>
                </c:pt>
                <c:pt idx="3">
                  <c:v>0.130215</c:v>
                </c:pt>
                <c:pt idx="4">
                  <c:v>0.119559</c:v>
                </c:pt>
                <c:pt idx="5">
                  <c:v>0.105423</c:v>
                </c:pt>
                <c:pt idx="6">
                  <c:v>8.9831900000000006E-2</c:v>
                </c:pt>
                <c:pt idx="7">
                  <c:v>7.2500599999999998E-2</c:v>
                </c:pt>
                <c:pt idx="8">
                  <c:v>5.4530500000000003E-2</c:v>
                </c:pt>
                <c:pt idx="9">
                  <c:v>5.1828800000000001E-2</c:v>
                </c:pt>
                <c:pt idx="10">
                  <c:v>4.15108E-2</c:v>
                </c:pt>
                <c:pt idx="11">
                  <c:v>3.2401899999999997E-2</c:v>
                </c:pt>
                <c:pt idx="15">
                  <c:v>9.66046873280242E-2</c:v>
                </c:pt>
              </c:numCache>
            </c:numRef>
          </c:val>
          <c:smooth val="0"/>
          <c:extLst>
            <c:ext xmlns:c16="http://schemas.microsoft.com/office/drawing/2014/chart" uri="{C3380CC4-5D6E-409C-BE32-E72D297353CC}">
              <c16:uniqueId val="{0000000A-764D-455D-BC97-1D18C9CA242C}"/>
            </c:ext>
          </c:extLst>
        </c:ser>
        <c:ser>
          <c:idx val="4"/>
          <c:order val="4"/>
          <c:tx>
            <c:strRef>
              <c:f>'[20230322_DS 03 - DS2022 - Grafici rating ENG_v1.xlsx]data'!$F$880</c:f>
              <c:strCache>
                <c:ptCount val="1"/>
                <c:pt idx="0">
                  <c:v>5-y CDR</c:v>
                </c:pt>
              </c:strCache>
            </c:strRef>
          </c:tx>
          <c:dLbls>
            <c:dLbl>
              <c:idx val="15"/>
              <c:layout>
                <c:manualLayout>
                  <c:x val="-6.1745172257983275E-2"/>
                  <c:y val="5.92153960029607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64D-455D-BC97-1D18C9CA242C}"/>
                </c:ext>
              </c:extLst>
            </c:dLbl>
            <c:spPr>
              <a:noFill/>
              <a:ln>
                <a:noFill/>
              </a:ln>
              <a:effectLst/>
            </c:spPr>
            <c:txPr>
              <a:bodyPr wrap="square" lIns="38100" tIns="19050" rIns="38100" bIns="19050" anchor="ctr">
                <a:spAutoFit/>
              </a:bodyPr>
              <a:lstStyle/>
              <a:p>
                <a:pPr>
                  <a:defRPr b="1"/>
                </a:pPr>
                <a:endParaRPr lang="it-IT"/>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'[20230322_DS 03 - DS2022 - Grafici rating ENG_v1.xlsx]data'!$A$883:$A$898</c:f>
              <c:strCache>
                <c:ptCount val="16"/>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pt idx="15">
                  <c:v>Average</c:v>
                </c:pt>
              </c:strCache>
            </c:strRef>
          </c:cat>
          <c:val>
            <c:numRef>
              <c:f>'[20230322_DS 03 - DS2022 - Grafici rating ENG_v1.xlsx]data'!$F$881:$F$896</c:f>
              <c:numCache>
                <c:formatCode>0.00%</c:formatCode>
                <c:ptCount val="16"/>
                <c:pt idx="0">
                  <c:v>0.14563899999999999</c:v>
                </c:pt>
                <c:pt idx="1">
                  <c:v>0.13649800000000001</c:v>
                </c:pt>
                <c:pt idx="2">
                  <c:v>0.14101</c:v>
                </c:pt>
                <c:pt idx="3">
                  <c:v>0.151283</c:v>
                </c:pt>
                <c:pt idx="4">
                  <c:v>0.13626199999999999</c:v>
                </c:pt>
                <c:pt idx="5">
                  <c:v>0.12121899999999999</c:v>
                </c:pt>
                <c:pt idx="6">
                  <c:v>0.105125</c:v>
                </c:pt>
                <c:pt idx="7">
                  <c:v>8.3220799999999998E-2</c:v>
                </c:pt>
                <c:pt idx="8">
                  <c:v>6.4233999999999999E-2</c:v>
                </c:pt>
                <c:pt idx="9">
                  <c:v>5.9213300000000003E-2</c:v>
                </c:pt>
                <c:pt idx="10">
                  <c:v>5.2169E-2</c:v>
                </c:pt>
                <c:pt idx="15">
                  <c:v>0.12055089076826397</c:v>
                </c:pt>
              </c:numCache>
            </c:numRef>
          </c:val>
          <c:smooth val="0"/>
          <c:extLst>
            <c:ext xmlns:c16="http://schemas.microsoft.com/office/drawing/2014/chart" uri="{C3380CC4-5D6E-409C-BE32-E72D297353CC}">
              <c16:uniqueId val="{0000000B-764D-455D-BC97-1D18C9CA242C}"/>
            </c:ext>
          </c:extLst>
        </c:ser>
        <c:dLbls>
          <c:showLegendKey val="0"/>
          <c:showVal val="0"/>
          <c:showCatName val="0"/>
          <c:showSerName val="0"/>
          <c:showPercent val="0"/>
          <c:showBubbleSize val="0"/>
        </c:dLbls>
        <c:marker val="1"/>
        <c:smooth val="0"/>
        <c:axId val="538990688"/>
        <c:axId val="538982848"/>
      </c:lineChart>
      <c:catAx>
        <c:axId val="538990688"/>
        <c:scaling>
          <c:orientation val="minMax"/>
        </c:scaling>
        <c:delete val="0"/>
        <c:axPos val="b"/>
        <c:numFmt formatCode="General" sourceLinked="0"/>
        <c:majorTickMark val="out"/>
        <c:minorTickMark val="none"/>
        <c:tickLblPos val="nextTo"/>
        <c:crossAx val="538982848"/>
        <c:crosses val="autoZero"/>
        <c:auto val="1"/>
        <c:lblAlgn val="ctr"/>
        <c:lblOffset val="100"/>
        <c:noMultiLvlLbl val="0"/>
      </c:catAx>
      <c:valAx>
        <c:axId val="538982848"/>
        <c:scaling>
          <c:orientation val="minMax"/>
        </c:scaling>
        <c:delete val="0"/>
        <c:axPos val="l"/>
        <c:numFmt formatCode="0%" sourceLinked="0"/>
        <c:majorTickMark val="out"/>
        <c:minorTickMark val="none"/>
        <c:tickLblPos val="nextTo"/>
        <c:crossAx val="538990688"/>
        <c:crosses val="autoZero"/>
        <c:crossBetween val="between"/>
      </c:valAx>
    </c:plotArea>
    <c:legend>
      <c:legendPos val="b"/>
      <c:overlay val="0"/>
    </c:legend>
    <c:plotVisOnly val="1"/>
    <c:dispBlanksAs val="gap"/>
    <c:showDLblsOverMax val="0"/>
  </c:chart>
  <c:spPr>
    <a:ln>
      <a:noFill/>
    </a:ln>
  </c:spPr>
  <c:txPr>
    <a:bodyPr/>
    <a:lstStyle/>
    <a:p>
      <a:pPr algn="just">
        <a:defRPr sz="700">
          <a:latin typeface="Source Sans Pro" panose="020B0503030403020204" pitchFamily="34" charset="0"/>
          <a:ea typeface="Source Sans Pro" panose="020B0503030403020204" pitchFamily="34" charset="0"/>
        </a:defRPr>
      </a:pPr>
      <a:endParaRPr lang="it-IT"/>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0" i="0" u="none" strike="noStrike" kern="1200" spc="0" baseline="0">
                <a:solidFill>
                  <a:schemeClr val="tx1"/>
                </a:solidFill>
                <a:latin typeface="Source Sans Pro" panose="020B0503030403020204" pitchFamily="34" charset="0"/>
                <a:ea typeface="Source Sans Pro" panose="020B0503030403020204" pitchFamily="34" charset="0"/>
                <a:cs typeface="+mn-cs"/>
              </a:defRPr>
            </a:pPr>
            <a:r>
              <a:rPr lang="it-IT" sz="700" b="1" i="0" u="none" strike="noStrike" kern="1200" baseline="0">
                <a:solidFill>
                  <a:srgbClr val="002E5A"/>
                </a:solidFill>
                <a:latin typeface="Segoe UI" panose="020B0502040204020203" pitchFamily="34" charset="0"/>
                <a:cs typeface="Segoe UI" panose="020B0502040204020203" pitchFamily="34" charset="0"/>
              </a:rPr>
              <a:t>SMEs: average Accuracy Ratio by time horizon</a:t>
            </a:r>
          </a:p>
          <a:p>
            <a:pPr>
              <a:defRPr/>
            </a:pPr>
            <a:r>
              <a:rPr lang="it-IT" sz="700" b="0" i="0" u="none" strike="noStrike" kern="1200" baseline="0">
                <a:solidFill>
                  <a:srgbClr val="002E5A"/>
                </a:solidFill>
                <a:latin typeface="Segoe UI" panose="020B0502040204020203" pitchFamily="34" charset="0"/>
                <a:cs typeface="Segoe UI" panose="020B0502040204020203" pitchFamily="34" charset="0"/>
              </a:rPr>
              <a:t>1y to 5y, default period from 2009 to 2023</a:t>
            </a:r>
          </a:p>
        </c:rich>
      </c:tx>
      <c:overlay val="0"/>
      <c:spPr>
        <a:noFill/>
        <a:ln>
          <a:noFill/>
        </a:ln>
        <a:effectLst/>
      </c:spPr>
      <c:txPr>
        <a:bodyPr rot="0" spcFirstLastPara="1" vertOverflow="ellipsis" vert="horz" wrap="square" anchor="ctr" anchorCtr="1"/>
        <a:lstStyle/>
        <a:p>
          <a:pPr>
            <a:defRPr sz="840" b="0" i="0" u="none" strike="noStrike" kern="1200" spc="0" baseline="0">
              <a:solidFill>
                <a:schemeClr val="tx1"/>
              </a:solidFill>
              <a:latin typeface="Source Sans Pro" panose="020B0503030403020204" pitchFamily="34" charset="0"/>
              <a:ea typeface="Source Sans Pro" panose="020B0503030403020204" pitchFamily="34" charset="0"/>
              <a:cs typeface="+mn-cs"/>
            </a:defRPr>
          </a:pPr>
          <a:endParaRPr lang="it-IT"/>
        </a:p>
      </c:txPr>
    </c:title>
    <c:autoTitleDeleted val="0"/>
    <c:plotArea>
      <c:layout/>
      <c:barChart>
        <c:barDir val="col"/>
        <c:grouping val="clustered"/>
        <c:varyColors val="0"/>
        <c:ser>
          <c:idx val="0"/>
          <c:order val="0"/>
          <c:tx>
            <c:strRef>
              <c:f>'[20230322_DS 03 - DS2022 - Grafici rating ENG_v1.xlsx]data'!$A$903</c:f>
              <c:strCache>
                <c:ptCount val="1"/>
                <c:pt idx="0">
                  <c:v>Overall</c:v>
                </c:pt>
              </c:strCache>
            </c:strRef>
          </c:tx>
          <c:spPr>
            <a:solidFill>
              <a:schemeClr val="accent1"/>
            </a:solidFill>
            <a:ln>
              <a:noFill/>
            </a:ln>
            <a:effectLst/>
          </c:spPr>
          <c:invertIfNegative val="0"/>
          <c:dLbls>
            <c:numFmt formatCode="0.00%" sourceLinked="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Source Sans Pro" panose="020B0503030403020204" pitchFamily="34" charset="0"/>
                    <a:ea typeface="Source Sans Pro" panose="020B0503030403020204" pitchFamily="34" charset="0"/>
                    <a:cs typeface="+mn-cs"/>
                  </a:defRPr>
                </a:pPr>
                <a:endParaRPr lang="it-I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'[20230322_DS 03 - DS2022 - Grafici rating ENG_v1.xlsx]data'!$B$902:$F$902</c:f>
              <c:strCache>
                <c:ptCount val="5"/>
                <c:pt idx="0">
                  <c:v>1-y Accuracy</c:v>
                </c:pt>
                <c:pt idx="1">
                  <c:v>2-y Accuracy</c:v>
                </c:pt>
                <c:pt idx="2">
                  <c:v>3-y Accuracy</c:v>
                </c:pt>
                <c:pt idx="3">
                  <c:v>4-y Accuracy</c:v>
                </c:pt>
                <c:pt idx="4">
                  <c:v>5-y Accuracy</c:v>
                </c:pt>
              </c:strCache>
            </c:strRef>
          </c:cat>
          <c:val>
            <c:numRef>
              <c:f>'[20230322_DS 03 - DS2022 - Grafici rating ENG_v1.xlsx]data'!$B$903:$F$903</c:f>
              <c:numCache>
                <c:formatCode>0.000</c:formatCode>
                <c:ptCount val="5"/>
                <c:pt idx="0">
                  <c:v>0.79076000000000002</c:v>
                </c:pt>
                <c:pt idx="1">
                  <c:v>0.71909999999999996</c:v>
                </c:pt>
                <c:pt idx="2">
                  <c:v>0.67410000000000003</c:v>
                </c:pt>
                <c:pt idx="3">
                  <c:v>0.64478000000000002</c:v>
                </c:pt>
                <c:pt idx="4">
                  <c:v>0.61975000000000002</c:v>
                </c:pt>
              </c:numCache>
            </c:numRef>
          </c:val>
          <c:extLst>
            <c:ext xmlns:c16="http://schemas.microsoft.com/office/drawing/2014/chart" uri="{C3380CC4-5D6E-409C-BE32-E72D297353CC}">
              <c16:uniqueId val="{00000000-7FE1-4C71-A5A9-D784DBB057B4}"/>
            </c:ext>
          </c:extLst>
        </c:ser>
        <c:dLbls>
          <c:dLblPos val="outEnd"/>
          <c:showLegendKey val="0"/>
          <c:showVal val="1"/>
          <c:showCatName val="0"/>
          <c:showSerName val="0"/>
          <c:showPercent val="0"/>
          <c:showBubbleSize val="0"/>
        </c:dLbls>
        <c:gapWidth val="50"/>
        <c:overlap val="-27"/>
        <c:axId val="565208864"/>
        <c:axId val="565204064"/>
      </c:barChart>
      <c:catAx>
        <c:axId val="565208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Source Sans Pro" panose="020B0503030403020204" pitchFamily="34" charset="0"/>
                <a:ea typeface="Source Sans Pro" panose="020B0503030403020204" pitchFamily="34" charset="0"/>
                <a:cs typeface="+mn-cs"/>
              </a:defRPr>
            </a:pPr>
            <a:endParaRPr lang="it-IT"/>
          </a:p>
        </c:txPr>
        <c:crossAx val="565204064"/>
        <c:crosses val="autoZero"/>
        <c:auto val="1"/>
        <c:lblAlgn val="ctr"/>
        <c:lblOffset val="100"/>
        <c:noMultiLvlLbl val="0"/>
      </c:catAx>
      <c:valAx>
        <c:axId val="565204064"/>
        <c:scaling>
          <c:orientation val="minMax"/>
        </c:scaling>
        <c:delete val="1"/>
        <c:axPos val="l"/>
        <c:numFmt formatCode="0.000" sourceLinked="1"/>
        <c:majorTickMark val="none"/>
        <c:minorTickMark val="none"/>
        <c:tickLblPos val="nextTo"/>
        <c:crossAx val="56520886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700">
          <a:solidFill>
            <a:schemeClr val="tx1"/>
          </a:solidFill>
          <a:latin typeface="Source Sans Pro" panose="020B0503030403020204" pitchFamily="34" charset="0"/>
          <a:ea typeface="Source Sans Pro" panose="020B0503030403020204" pitchFamily="34" charset="0"/>
        </a:defRPr>
      </a:pPr>
      <a:endParaRPr lang="it-IT"/>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lgn="ctr" rtl="0">
              <a:defRPr/>
            </a:pPr>
            <a:r>
              <a:rPr lang="en-US" sz="700"/>
              <a:t>SMEs: Accuracy Ratio by static pool</a:t>
            </a:r>
          </a:p>
          <a:p>
            <a:pPr algn="ctr" rtl="0">
              <a:defRPr/>
            </a:pPr>
            <a:r>
              <a:rPr lang="it-IT" sz="700" b="0"/>
              <a:t>1-year to 5-year</a:t>
            </a:r>
            <a:endParaRPr lang="en-US" sz="700" b="0"/>
          </a:p>
        </c:rich>
      </c:tx>
      <c:overlay val="0"/>
    </c:title>
    <c:autoTitleDeleted val="0"/>
    <c:plotArea>
      <c:layout>
        <c:manualLayout>
          <c:layoutTarget val="inner"/>
          <c:xMode val="edge"/>
          <c:yMode val="edge"/>
          <c:x val="6.8369607855981882E-2"/>
          <c:y val="0.16193035005664008"/>
          <c:w val="0.91204530969304676"/>
          <c:h val="0.58579674892800804"/>
        </c:manualLayout>
      </c:layout>
      <c:lineChart>
        <c:grouping val="standard"/>
        <c:varyColors val="0"/>
        <c:ser>
          <c:idx val="0"/>
          <c:order val="0"/>
          <c:tx>
            <c:strRef>
              <c:f>'[20230322_DS 03 - DS2022 - Grafici rating ENG_v1.xlsx]data'!$B$902</c:f>
              <c:strCache>
                <c:ptCount val="1"/>
                <c:pt idx="0">
                  <c:v>1-y Accuracy</c:v>
                </c:pt>
              </c:strCache>
            </c:strRef>
          </c:tx>
          <c:spPr>
            <a:ln>
              <a:solidFill>
                <a:schemeClr val="accent1"/>
              </a:solidFill>
            </a:ln>
          </c:spPr>
          <c:marker>
            <c:spPr>
              <a:solidFill>
                <a:schemeClr val="accent1"/>
              </a:solidFill>
              <a:ln>
                <a:solidFill>
                  <a:schemeClr val="accent1"/>
                </a:solidFill>
              </a:ln>
            </c:spPr>
          </c:marker>
          <c:cat>
            <c:strRef>
              <c:f>'[20230322_DS 03 - DS2022 - Grafici rating ENG_v1.xlsx]data'!$A$950:$A$964</c:f>
              <c:strCache>
                <c:ptCount val="15"/>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strCache>
            </c:strRef>
          </c:cat>
          <c:val>
            <c:numRef>
              <c:f>'[20230322_DS 03 - DS2022 - Grafici rating ENG_v1.xlsx]data'!$B$950:$B$964</c:f>
              <c:numCache>
                <c:formatCode>0.000</c:formatCode>
                <c:ptCount val="15"/>
                <c:pt idx="0">
                  <c:v>0.79862</c:v>
                </c:pt>
                <c:pt idx="1">
                  <c:v>0.84575999999999996</c:v>
                </c:pt>
                <c:pt idx="2">
                  <c:v>0.80535000000000001</c:v>
                </c:pt>
                <c:pt idx="3">
                  <c:v>0.76095000000000002</c:v>
                </c:pt>
                <c:pt idx="4">
                  <c:v>0.79547000000000001</c:v>
                </c:pt>
                <c:pt idx="5">
                  <c:v>0.77785000000000004</c:v>
                </c:pt>
                <c:pt idx="6">
                  <c:v>0.75973000000000002</c:v>
                </c:pt>
                <c:pt idx="7">
                  <c:v>0.76415</c:v>
                </c:pt>
                <c:pt idx="8">
                  <c:v>0.74180000000000001</c:v>
                </c:pt>
                <c:pt idx="9">
                  <c:v>0.76946999999999999</c:v>
                </c:pt>
                <c:pt idx="10">
                  <c:v>0.71338000000000001</c:v>
                </c:pt>
                <c:pt idx="11">
                  <c:v>0.75617000000000001</c:v>
                </c:pt>
                <c:pt idx="12">
                  <c:v>0.89797000000000005</c:v>
                </c:pt>
                <c:pt idx="13">
                  <c:v>0.68088000000000004</c:v>
                </c:pt>
                <c:pt idx="14">
                  <c:v>0.66152</c:v>
                </c:pt>
              </c:numCache>
            </c:numRef>
          </c:val>
          <c:smooth val="0"/>
          <c:extLst>
            <c:ext xmlns:c16="http://schemas.microsoft.com/office/drawing/2014/chart" uri="{C3380CC4-5D6E-409C-BE32-E72D297353CC}">
              <c16:uniqueId val="{00000000-7E1E-4C7B-BB73-224F13001C20}"/>
            </c:ext>
          </c:extLst>
        </c:ser>
        <c:ser>
          <c:idx val="1"/>
          <c:order val="1"/>
          <c:tx>
            <c:strRef>
              <c:f>'[20230322_DS 03 - DS2022 - Grafici rating ENG_v1.xlsx]data'!$C$902</c:f>
              <c:strCache>
                <c:ptCount val="1"/>
                <c:pt idx="0">
                  <c:v>2-y Accuracy</c:v>
                </c:pt>
              </c:strCache>
            </c:strRef>
          </c:tx>
          <c:spPr>
            <a:ln>
              <a:solidFill>
                <a:schemeClr val="accent2"/>
              </a:solidFill>
            </a:ln>
          </c:spPr>
          <c:marker>
            <c:spPr>
              <a:solidFill>
                <a:schemeClr val="accent2"/>
              </a:solidFill>
              <a:ln>
                <a:solidFill>
                  <a:schemeClr val="accent2"/>
                </a:solidFill>
              </a:ln>
            </c:spPr>
          </c:marker>
          <c:cat>
            <c:strRef>
              <c:f>'[20230322_DS 03 - DS2022 - Grafici rating ENG_v1.xlsx]data'!$A$950:$A$964</c:f>
              <c:strCache>
                <c:ptCount val="15"/>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strCache>
            </c:strRef>
          </c:cat>
          <c:val>
            <c:numRef>
              <c:f>'[20230322_DS 03 - DS2022 - Grafici rating ENG_v1.xlsx]data'!$C$950:$C$963</c:f>
              <c:numCache>
                <c:formatCode>0.000</c:formatCode>
                <c:ptCount val="14"/>
                <c:pt idx="0">
                  <c:v>0.75649</c:v>
                </c:pt>
                <c:pt idx="1">
                  <c:v>0.78637999999999997</c:v>
                </c:pt>
                <c:pt idx="2">
                  <c:v>0.71458999999999995</c:v>
                </c:pt>
                <c:pt idx="3">
                  <c:v>0.69762999999999997</c:v>
                </c:pt>
                <c:pt idx="4">
                  <c:v>0.72319</c:v>
                </c:pt>
                <c:pt idx="5">
                  <c:v>0.67471999999999999</c:v>
                </c:pt>
                <c:pt idx="6">
                  <c:v>0.67369999999999997</c:v>
                </c:pt>
                <c:pt idx="7">
                  <c:v>0.69850999999999996</c:v>
                </c:pt>
                <c:pt idx="8">
                  <c:v>0.64461999999999997</c:v>
                </c:pt>
                <c:pt idx="9">
                  <c:v>0.67051000000000005</c:v>
                </c:pt>
                <c:pt idx="10" formatCode="General">
                  <c:v>0.65073000000000003</c:v>
                </c:pt>
                <c:pt idx="11" formatCode="General">
                  <c:v>0.72575000000000001</c:v>
                </c:pt>
                <c:pt idx="12" formatCode="General">
                  <c:v>0.7429</c:v>
                </c:pt>
                <c:pt idx="13" formatCode="General">
                  <c:v>0.59526000000000001</c:v>
                </c:pt>
              </c:numCache>
            </c:numRef>
          </c:val>
          <c:smooth val="0"/>
          <c:extLst>
            <c:ext xmlns:c16="http://schemas.microsoft.com/office/drawing/2014/chart" uri="{C3380CC4-5D6E-409C-BE32-E72D297353CC}">
              <c16:uniqueId val="{00000001-7E1E-4C7B-BB73-224F13001C20}"/>
            </c:ext>
          </c:extLst>
        </c:ser>
        <c:ser>
          <c:idx val="2"/>
          <c:order val="2"/>
          <c:tx>
            <c:strRef>
              <c:f>'[20230322_DS 03 - DS2022 - Grafici rating ENG_v1.xlsx]data'!$D$902</c:f>
              <c:strCache>
                <c:ptCount val="1"/>
                <c:pt idx="0">
                  <c:v>3-y Accuracy</c:v>
                </c:pt>
              </c:strCache>
            </c:strRef>
          </c:tx>
          <c:spPr>
            <a:ln>
              <a:solidFill>
                <a:schemeClr val="accent3"/>
              </a:solidFill>
            </a:ln>
          </c:spPr>
          <c:marker>
            <c:spPr>
              <a:solidFill>
                <a:schemeClr val="accent3"/>
              </a:solidFill>
              <a:ln>
                <a:solidFill>
                  <a:schemeClr val="accent3"/>
                </a:solidFill>
              </a:ln>
            </c:spPr>
          </c:marker>
          <c:cat>
            <c:strRef>
              <c:f>'[20230322_DS 03 - DS2022 - Grafici rating ENG_v1.xlsx]data'!$A$950:$A$964</c:f>
              <c:strCache>
                <c:ptCount val="15"/>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strCache>
            </c:strRef>
          </c:cat>
          <c:val>
            <c:numRef>
              <c:f>'[20230322_DS 03 - DS2022 - Grafici rating ENG_v1.xlsx]data'!$D$950:$D$963</c:f>
              <c:numCache>
                <c:formatCode>0.000</c:formatCode>
                <c:ptCount val="14"/>
                <c:pt idx="0">
                  <c:v>0.71775</c:v>
                </c:pt>
                <c:pt idx="1">
                  <c:v>0.72177000000000002</c:v>
                </c:pt>
                <c:pt idx="2">
                  <c:v>0.67020999999999997</c:v>
                </c:pt>
                <c:pt idx="3">
                  <c:v>0.65585000000000004</c:v>
                </c:pt>
                <c:pt idx="4">
                  <c:v>0.68239000000000005</c:v>
                </c:pt>
                <c:pt idx="5">
                  <c:v>0.63519999999999999</c:v>
                </c:pt>
                <c:pt idx="6">
                  <c:v>0.62204999999999999</c:v>
                </c:pt>
                <c:pt idx="7">
                  <c:v>0.63000999999999996</c:v>
                </c:pt>
                <c:pt idx="8">
                  <c:v>0.59758999999999995</c:v>
                </c:pt>
                <c:pt idx="9">
                  <c:v>0.61163000000000001</c:v>
                </c:pt>
                <c:pt idx="10" formatCode="General">
                  <c:v>0.61958999999999997</c:v>
                </c:pt>
                <c:pt idx="11" formatCode="General">
                  <c:v>0.67371999999999999</c:v>
                </c:pt>
                <c:pt idx="12" formatCode="General">
                  <c:v>0.62927999999999995</c:v>
                </c:pt>
              </c:numCache>
            </c:numRef>
          </c:val>
          <c:smooth val="0"/>
          <c:extLst>
            <c:ext xmlns:c16="http://schemas.microsoft.com/office/drawing/2014/chart" uri="{C3380CC4-5D6E-409C-BE32-E72D297353CC}">
              <c16:uniqueId val="{00000002-7E1E-4C7B-BB73-224F13001C20}"/>
            </c:ext>
          </c:extLst>
        </c:ser>
        <c:ser>
          <c:idx val="3"/>
          <c:order val="3"/>
          <c:tx>
            <c:strRef>
              <c:f>'[20230322_DS 03 - DS2022 - Grafici rating ENG_v1.xlsx]data'!$E$902</c:f>
              <c:strCache>
                <c:ptCount val="1"/>
                <c:pt idx="0">
                  <c:v>4-y Accuracy</c:v>
                </c:pt>
              </c:strCache>
            </c:strRef>
          </c:tx>
          <c:cat>
            <c:strRef>
              <c:f>'[20230322_DS 03 - DS2022 - Grafici rating ENG_v1.xlsx]data'!$A$950:$A$964</c:f>
              <c:strCache>
                <c:ptCount val="15"/>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strCache>
            </c:strRef>
          </c:cat>
          <c:val>
            <c:numRef>
              <c:f>'[20230322_DS 03 - DS2022 - Grafici rating ENG_v1.xlsx]data'!$E$949:$E$962</c:f>
              <c:numCache>
                <c:formatCode>0.000</c:formatCode>
                <c:ptCount val="14"/>
                <c:pt idx="0">
                  <c:v>0.67944000000000004</c:v>
                </c:pt>
                <c:pt idx="1">
                  <c:v>0.69106000000000001</c:v>
                </c:pt>
                <c:pt idx="2">
                  <c:v>0.62217999999999996</c:v>
                </c:pt>
                <c:pt idx="3">
                  <c:v>0.63392000000000004</c:v>
                </c:pt>
                <c:pt idx="4">
                  <c:v>0.65134000000000003</c:v>
                </c:pt>
                <c:pt idx="5">
                  <c:v>0.60743999999999998</c:v>
                </c:pt>
                <c:pt idx="6">
                  <c:v>0.58474000000000004</c:v>
                </c:pt>
                <c:pt idx="7">
                  <c:v>0.59333999999999998</c:v>
                </c:pt>
                <c:pt idx="8">
                  <c:v>0.57072999999999996</c:v>
                </c:pt>
                <c:pt idx="9" formatCode="General">
                  <c:v>0.59375</c:v>
                </c:pt>
                <c:pt idx="10" formatCode="General">
                  <c:v>0.60197000000000001</c:v>
                </c:pt>
                <c:pt idx="11" formatCode="General">
                  <c:v>0.59991000000000005</c:v>
                </c:pt>
              </c:numCache>
            </c:numRef>
          </c:val>
          <c:smooth val="0"/>
          <c:extLst>
            <c:ext xmlns:c16="http://schemas.microsoft.com/office/drawing/2014/chart" uri="{C3380CC4-5D6E-409C-BE32-E72D297353CC}">
              <c16:uniqueId val="{00000003-7E1E-4C7B-BB73-224F13001C20}"/>
            </c:ext>
          </c:extLst>
        </c:ser>
        <c:ser>
          <c:idx val="4"/>
          <c:order val="4"/>
          <c:tx>
            <c:strRef>
              <c:f>'[20230322_DS 03 - DS2022 - Grafici rating ENG_v1.xlsx]data'!$F$902</c:f>
              <c:strCache>
                <c:ptCount val="1"/>
                <c:pt idx="0">
                  <c:v>5-y Accuracy</c:v>
                </c:pt>
              </c:strCache>
            </c:strRef>
          </c:tx>
          <c:spPr>
            <a:ln>
              <a:solidFill>
                <a:schemeClr val="accent5"/>
              </a:solidFill>
            </a:ln>
          </c:spPr>
          <c:marker>
            <c:spPr>
              <a:ln>
                <a:solidFill>
                  <a:schemeClr val="accent5"/>
                </a:solidFill>
              </a:ln>
            </c:spPr>
          </c:marker>
          <c:cat>
            <c:strRef>
              <c:f>'[20230322_DS 03 - DS2022 - Grafici rating ENG_v1.xlsx]data'!$A$950:$A$964</c:f>
              <c:strCache>
                <c:ptCount val="15"/>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strCache>
            </c:strRef>
          </c:cat>
          <c:val>
            <c:numRef>
              <c:f>'[20230322_DS 03 - DS2022 - Grafici rating ENG_v1.xlsx]data'!$F$948:$F$961</c:f>
              <c:numCache>
                <c:formatCode>0.000</c:formatCode>
                <c:ptCount val="14"/>
                <c:pt idx="0">
                  <c:v>0.65266000000000002</c:v>
                </c:pt>
                <c:pt idx="1">
                  <c:v>0.65212000000000003</c:v>
                </c:pt>
                <c:pt idx="2">
                  <c:v>0.59540999999999999</c:v>
                </c:pt>
                <c:pt idx="3">
                  <c:v>0.61933000000000005</c:v>
                </c:pt>
                <c:pt idx="4">
                  <c:v>0.63243000000000005</c:v>
                </c:pt>
                <c:pt idx="5">
                  <c:v>0.59338999999999997</c:v>
                </c:pt>
                <c:pt idx="6">
                  <c:v>0.56130000000000002</c:v>
                </c:pt>
                <c:pt idx="7">
                  <c:v>0.56942000000000004</c:v>
                </c:pt>
                <c:pt idx="8">
                  <c:v>0.55693999999999999</c:v>
                </c:pt>
                <c:pt idx="9" formatCode="General">
                  <c:v>0.58482000000000001</c:v>
                </c:pt>
                <c:pt idx="10" formatCode="General">
                  <c:v>0.56774000000000002</c:v>
                </c:pt>
              </c:numCache>
            </c:numRef>
          </c:val>
          <c:smooth val="0"/>
          <c:extLst>
            <c:ext xmlns:c16="http://schemas.microsoft.com/office/drawing/2014/chart" uri="{C3380CC4-5D6E-409C-BE32-E72D297353CC}">
              <c16:uniqueId val="{00000004-7E1E-4C7B-BB73-224F13001C20}"/>
            </c:ext>
          </c:extLst>
        </c:ser>
        <c:dLbls>
          <c:showLegendKey val="0"/>
          <c:showVal val="0"/>
          <c:showCatName val="0"/>
          <c:showSerName val="0"/>
          <c:showPercent val="0"/>
          <c:showBubbleSize val="0"/>
        </c:dLbls>
        <c:marker val="1"/>
        <c:smooth val="0"/>
        <c:axId val="209744296"/>
        <c:axId val="209745080"/>
      </c:lineChart>
      <c:catAx>
        <c:axId val="209744296"/>
        <c:scaling>
          <c:orientation val="minMax"/>
        </c:scaling>
        <c:delete val="0"/>
        <c:axPos val="b"/>
        <c:numFmt formatCode="General" sourceLinked="0"/>
        <c:majorTickMark val="out"/>
        <c:minorTickMark val="none"/>
        <c:tickLblPos val="nextTo"/>
        <c:crossAx val="209745080"/>
        <c:crosses val="autoZero"/>
        <c:auto val="1"/>
        <c:lblAlgn val="ctr"/>
        <c:lblOffset val="100"/>
        <c:noMultiLvlLbl val="0"/>
      </c:catAx>
      <c:valAx>
        <c:axId val="209745080"/>
        <c:scaling>
          <c:orientation val="minMax"/>
          <c:max val="0.9"/>
          <c:min val="0.5"/>
        </c:scaling>
        <c:delete val="0"/>
        <c:axPos val="l"/>
        <c:title>
          <c:tx>
            <c:rich>
              <a:bodyPr rot="-5400000" vert="horz"/>
              <a:lstStyle/>
              <a:p>
                <a:pPr>
                  <a:defRPr/>
                </a:pPr>
                <a:r>
                  <a:rPr lang="en-US"/>
                  <a:t>Accuracy </a:t>
                </a:r>
              </a:p>
            </c:rich>
          </c:tx>
          <c:overlay val="0"/>
        </c:title>
        <c:numFmt formatCode="0%" sourceLinked="0"/>
        <c:majorTickMark val="out"/>
        <c:minorTickMark val="none"/>
        <c:tickLblPos val="nextTo"/>
        <c:crossAx val="209744296"/>
        <c:crosses val="autoZero"/>
        <c:crossBetween val="between"/>
      </c:valAx>
    </c:plotArea>
    <c:legend>
      <c:legendPos val="b"/>
      <c:overlay val="0"/>
    </c:legend>
    <c:plotVisOnly val="1"/>
    <c:dispBlanksAs val="gap"/>
    <c:showDLblsOverMax val="0"/>
  </c:chart>
  <c:spPr>
    <a:ln>
      <a:noFill/>
    </a:ln>
  </c:spPr>
  <c:txPr>
    <a:bodyPr/>
    <a:lstStyle/>
    <a:p>
      <a:pPr>
        <a:defRPr sz="700">
          <a:latin typeface="Source Sans Pro" panose="020B0503030403020204" pitchFamily="34" charset="0"/>
          <a:ea typeface="Source Sans Pro" panose="020B0503030403020204" pitchFamily="34" charset="0"/>
        </a:defRPr>
      </a:pPr>
      <a:endParaRPr lang="it-IT"/>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0" i="0" u="none" strike="noStrike" kern="1200" spc="0" baseline="0">
                <a:solidFill>
                  <a:schemeClr val="tx2"/>
                </a:solidFill>
                <a:latin typeface="Source Sans Pro" panose="020B0503030403020204" pitchFamily="34" charset="0"/>
                <a:ea typeface="+mn-ea"/>
                <a:cs typeface="+mn-cs"/>
              </a:defRPr>
            </a:pPr>
            <a:r>
              <a:rPr lang="it-IT" b="1"/>
              <a:t>Rating</a:t>
            </a:r>
            <a:r>
              <a:rPr lang="it-IT" b="1" baseline="0"/>
              <a:t> evolutions</a:t>
            </a:r>
          </a:p>
          <a:p>
            <a:pPr>
              <a:defRPr/>
            </a:pPr>
            <a:r>
              <a:rPr lang="it-IT" baseline="0"/>
              <a:t>Confirmations, upgrade and downgrades from 2018 up to 2023</a:t>
            </a:r>
            <a:endParaRPr lang="it-IT"/>
          </a:p>
        </c:rich>
      </c:tx>
      <c:overlay val="0"/>
      <c:spPr>
        <a:noFill/>
        <a:ln>
          <a:noFill/>
        </a:ln>
        <a:effectLst/>
      </c:spPr>
      <c:txPr>
        <a:bodyPr rot="0" spcFirstLastPara="1" vertOverflow="ellipsis" vert="horz" wrap="square" anchor="ctr" anchorCtr="1"/>
        <a:lstStyle/>
        <a:p>
          <a:pPr>
            <a:defRPr sz="840" b="0" i="0" u="none" strike="noStrike" kern="1200" spc="0" baseline="0">
              <a:solidFill>
                <a:schemeClr val="tx2"/>
              </a:solidFill>
              <a:latin typeface="Source Sans Pro" panose="020B0503030403020204" pitchFamily="34" charset="0"/>
              <a:ea typeface="+mn-ea"/>
              <a:cs typeface="+mn-cs"/>
            </a:defRPr>
          </a:pPr>
          <a:endParaRPr lang="it-IT"/>
        </a:p>
      </c:txPr>
    </c:title>
    <c:autoTitleDeleted val="0"/>
    <c:plotArea>
      <c:layout/>
      <c:barChart>
        <c:barDir val="col"/>
        <c:grouping val="percentStacked"/>
        <c:varyColors val="0"/>
        <c:ser>
          <c:idx val="0"/>
          <c:order val="0"/>
          <c:tx>
            <c:strRef>
              <c:f>Foglio1!$B$1</c:f>
              <c:strCache>
                <c:ptCount val="1"/>
                <c:pt idx="0">
                  <c:v>Stable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1" i="0" u="none" strike="noStrike" kern="1200" baseline="0">
                    <a:solidFill>
                      <a:schemeClr val="bg1"/>
                    </a:solidFill>
                    <a:latin typeface="Source Sans Pro" panose="020B0503030403020204" pitchFamily="34" charset="0"/>
                    <a:ea typeface="+mn-ea"/>
                    <a:cs typeface="+mn-cs"/>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Foglio1!$A$2:$A$7</c:f>
              <c:strCache>
                <c:ptCount val="6"/>
                <c:pt idx="0">
                  <c:v>2018</c:v>
                </c:pt>
                <c:pt idx="1">
                  <c:v>2019</c:v>
                </c:pt>
                <c:pt idx="2">
                  <c:v>2020</c:v>
                </c:pt>
                <c:pt idx="3">
                  <c:v>2021</c:v>
                </c:pt>
                <c:pt idx="4">
                  <c:v>2022</c:v>
                </c:pt>
                <c:pt idx="5">
                  <c:v>2023</c:v>
                </c:pt>
              </c:strCache>
            </c:strRef>
          </c:cat>
          <c:val>
            <c:numRef>
              <c:f>Foglio1!$B$2:$B$7</c:f>
              <c:numCache>
                <c:formatCode>0.00%</c:formatCode>
                <c:ptCount val="6"/>
                <c:pt idx="0">
                  <c:v>0.70009999999999994</c:v>
                </c:pt>
                <c:pt idx="1">
                  <c:v>0.71109999999999995</c:v>
                </c:pt>
                <c:pt idx="2">
                  <c:v>0.59770000000000001</c:v>
                </c:pt>
                <c:pt idx="3">
                  <c:v>0.53439999999999999</c:v>
                </c:pt>
                <c:pt idx="4">
                  <c:v>0.66710000000000003</c:v>
                </c:pt>
                <c:pt idx="5">
                  <c:v>0.69719182325005158</c:v>
                </c:pt>
              </c:numCache>
            </c:numRef>
          </c:val>
          <c:extLst>
            <c:ext xmlns:c16="http://schemas.microsoft.com/office/drawing/2014/chart" uri="{C3380CC4-5D6E-409C-BE32-E72D297353CC}">
              <c16:uniqueId val="{00000000-3AC1-4524-8D53-E069F90FEC09}"/>
            </c:ext>
          </c:extLst>
        </c:ser>
        <c:ser>
          <c:idx val="1"/>
          <c:order val="1"/>
          <c:tx>
            <c:strRef>
              <c:f>Foglio1!$C$1</c:f>
              <c:strCache>
                <c:ptCount val="1"/>
                <c:pt idx="0">
                  <c:v>Upgrades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1" i="0" u="none" strike="noStrike" kern="1200" baseline="0">
                    <a:solidFill>
                      <a:schemeClr val="bg1"/>
                    </a:solidFill>
                    <a:latin typeface="Source Sans Pro" panose="020B0503030403020204" pitchFamily="34" charset="0"/>
                    <a:ea typeface="+mn-ea"/>
                    <a:cs typeface="+mn-cs"/>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Foglio1!$A$2:$A$7</c:f>
              <c:strCache>
                <c:ptCount val="6"/>
                <c:pt idx="0">
                  <c:v>2018</c:v>
                </c:pt>
                <c:pt idx="1">
                  <c:v>2019</c:v>
                </c:pt>
                <c:pt idx="2">
                  <c:v>2020</c:v>
                </c:pt>
                <c:pt idx="3">
                  <c:v>2021</c:v>
                </c:pt>
                <c:pt idx="4">
                  <c:v>2022</c:v>
                </c:pt>
                <c:pt idx="5">
                  <c:v>2023</c:v>
                </c:pt>
              </c:strCache>
            </c:strRef>
          </c:cat>
          <c:val>
            <c:numRef>
              <c:f>Foglio1!$C$2:$C$7</c:f>
              <c:numCache>
                <c:formatCode>0.00%</c:formatCode>
                <c:ptCount val="6"/>
                <c:pt idx="0">
                  <c:v>0.13189999999999999</c:v>
                </c:pt>
                <c:pt idx="1">
                  <c:v>0.13039999999999999</c:v>
                </c:pt>
                <c:pt idx="2">
                  <c:v>0.24010000000000001</c:v>
                </c:pt>
                <c:pt idx="3">
                  <c:v>4.9399999999999999E-2</c:v>
                </c:pt>
                <c:pt idx="4">
                  <c:v>8.1000000000000003E-2</c:v>
                </c:pt>
                <c:pt idx="5">
                  <c:v>8.1148048730125946E-2</c:v>
                </c:pt>
              </c:numCache>
            </c:numRef>
          </c:val>
          <c:extLst>
            <c:ext xmlns:c16="http://schemas.microsoft.com/office/drawing/2014/chart" uri="{C3380CC4-5D6E-409C-BE32-E72D297353CC}">
              <c16:uniqueId val="{00000001-3AC1-4524-8D53-E069F90FEC09}"/>
            </c:ext>
          </c:extLst>
        </c:ser>
        <c:ser>
          <c:idx val="2"/>
          <c:order val="2"/>
          <c:tx>
            <c:strRef>
              <c:f>Foglio1!$D$1</c:f>
              <c:strCache>
                <c:ptCount val="1"/>
                <c:pt idx="0">
                  <c:v>Downgrades</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700" b="1" i="0" u="none" strike="noStrike" kern="1200" baseline="0">
                    <a:solidFill>
                      <a:schemeClr val="bg1"/>
                    </a:solidFill>
                    <a:latin typeface="Source Sans Pro" panose="020B0503030403020204" pitchFamily="34" charset="0"/>
                    <a:ea typeface="+mn-ea"/>
                    <a:cs typeface="+mn-cs"/>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Foglio1!$A$2:$A$7</c:f>
              <c:strCache>
                <c:ptCount val="6"/>
                <c:pt idx="0">
                  <c:v>2018</c:v>
                </c:pt>
                <c:pt idx="1">
                  <c:v>2019</c:v>
                </c:pt>
                <c:pt idx="2">
                  <c:v>2020</c:v>
                </c:pt>
                <c:pt idx="3">
                  <c:v>2021</c:v>
                </c:pt>
                <c:pt idx="4">
                  <c:v>2022</c:v>
                </c:pt>
                <c:pt idx="5">
                  <c:v>2023</c:v>
                </c:pt>
              </c:strCache>
            </c:strRef>
          </c:cat>
          <c:val>
            <c:numRef>
              <c:f>Foglio1!$D$2:$D$7</c:f>
              <c:numCache>
                <c:formatCode>0.00%</c:formatCode>
                <c:ptCount val="6"/>
                <c:pt idx="0">
                  <c:v>0.16800000000000001</c:v>
                </c:pt>
                <c:pt idx="1">
                  <c:v>0.1585</c:v>
                </c:pt>
                <c:pt idx="2">
                  <c:v>0.16220000000000001</c:v>
                </c:pt>
                <c:pt idx="3">
                  <c:v>0.41620000000000001</c:v>
                </c:pt>
                <c:pt idx="4">
                  <c:v>0.25190000000000001</c:v>
                </c:pt>
                <c:pt idx="5">
                  <c:v>0.22166012801982243</c:v>
                </c:pt>
              </c:numCache>
            </c:numRef>
          </c:val>
          <c:extLst>
            <c:ext xmlns:c16="http://schemas.microsoft.com/office/drawing/2014/chart" uri="{C3380CC4-5D6E-409C-BE32-E72D297353CC}">
              <c16:uniqueId val="{00000002-3AC1-4524-8D53-E069F90FEC09}"/>
            </c:ext>
          </c:extLst>
        </c:ser>
        <c:dLbls>
          <c:showLegendKey val="0"/>
          <c:showVal val="0"/>
          <c:showCatName val="0"/>
          <c:showSerName val="0"/>
          <c:showPercent val="0"/>
          <c:showBubbleSize val="0"/>
        </c:dLbls>
        <c:gapWidth val="150"/>
        <c:overlap val="100"/>
        <c:axId val="2071479295"/>
        <c:axId val="2071478815"/>
      </c:barChart>
      <c:catAx>
        <c:axId val="2071479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2"/>
                </a:solidFill>
                <a:latin typeface="Source Sans Pro" panose="020B0503030403020204" pitchFamily="34" charset="0"/>
                <a:ea typeface="+mn-ea"/>
                <a:cs typeface="+mn-cs"/>
              </a:defRPr>
            </a:pPr>
            <a:endParaRPr lang="it-IT"/>
          </a:p>
        </c:txPr>
        <c:crossAx val="2071478815"/>
        <c:crosses val="autoZero"/>
        <c:auto val="1"/>
        <c:lblAlgn val="ctr"/>
        <c:lblOffset val="100"/>
        <c:noMultiLvlLbl val="0"/>
      </c:catAx>
      <c:valAx>
        <c:axId val="2071478815"/>
        <c:scaling>
          <c:orientation val="minMax"/>
        </c:scaling>
        <c:delete val="1"/>
        <c:axPos val="l"/>
        <c:numFmt formatCode="0%" sourceLinked="1"/>
        <c:majorTickMark val="none"/>
        <c:minorTickMark val="none"/>
        <c:tickLblPos val="nextTo"/>
        <c:crossAx val="20714792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2"/>
              </a:solidFill>
              <a:latin typeface="Source Sans Pro" panose="020B0503030403020204" pitchFamily="34" charset="0"/>
              <a:ea typeface="+mn-ea"/>
              <a:cs typeface="+mn-cs"/>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solidFill>
            <a:schemeClr val="tx2"/>
          </a:solidFill>
          <a:latin typeface="Source Sans Pro" panose="020B0503030403020204" pitchFamily="34" charset="0"/>
        </a:defRPr>
      </a:pPr>
      <a:endParaRPr lang="it-I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0" i="0" u="none" strike="noStrike" kern="1200" spc="0" baseline="0">
                <a:solidFill>
                  <a:schemeClr val="tx2"/>
                </a:solidFill>
                <a:latin typeface="Source Sans Pro" panose="020B0503030403020204" pitchFamily="34" charset="0"/>
                <a:ea typeface="+mn-ea"/>
                <a:cs typeface="+mn-cs"/>
              </a:defRPr>
            </a:pPr>
            <a:r>
              <a:rPr lang="en-US" sz="700" b="1"/>
              <a:t>Portfolio by industry</a:t>
            </a:r>
          </a:p>
          <a:p>
            <a:pPr>
              <a:defRPr/>
            </a:pPr>
            <a:r>
              <a:rPr lang="en-US" sz="700" b="0"/>
              <a:t>Years</a:t>
            </a:r>
            <a:r>
              <a:rPr lang="en-US" sz="700" b="0" baseline="0"/>
              <a:t> from 2008 to 2022</a:t>
            </a:r>
            <a:endParaRPr lang="en-US" sz="700" b="0"/>
          </a:p>
        </c:rich>
      </c:tx>
      <c:overlay val="0"/>
      <c:spPr>
        <a:noFill/>
        <a:ln>
          <a:noFill/>
        </a:ln>
        <a:effectLst/>
      </c:spPr>
      <c:txPr>
        <a:bodyPr rot="0" spcFirstLastPara="1" vertOverflow="ellipsis" vert="horz" wrap="square" anchor="ctr" anchorCtr="1"/>
        <a:lstStyle/>
        <a:p>
          <a:pPr>
            <a:defRPr sz="840" b="0" i="0" u="none" strike="noStrike" kern="1200" spc="0" baseline="0">
              <a:solidFill>
                <a:schemeClr val="tx2"/>
              </a:solidFill>
              <a:latin typeface="Source Sans Pro" panose="020B0503030403020204" pitchFamily="34" charset="0"/>
              <a:ea typeface="+mn-ea"/>
              <a:cs typeface="+mn-cs"/>
            </a:defRPr>
          </a:pPr>
          <a:endParaRPr lang="it-IT"/>
        </a:p>
      </c:txPr>
    </c:title>
    <c:autoTitleDeleted val="0"/>
    <c:plotArea>
      <c:layout>
        <c:manualLayout>
          <c:layoutTarget val="inner"/>
          <c:xMode val="edge"/>
          <c:yMode val="edge"/>
          <c:x val="2.1417445482866043E-2"/>
          <c:y val="0.15469135802469136"/>
          <c:w val="0.95716510903426788"/>
          <c:h val="0.64702861216422025"/>
        </c:manualLayout>
      </c:layout>
      <c:barChart>
        <c:barDir val="col"/>
        <c:grouping val="percentStacked"/>
        <c:varyColors val="0"/>
        <c:ser>
          <c:idx val="0"/>
          <c:order val="0"/>
          <c:tx>
            <c:strRef>
              <c:f>Foglio1!$B$1</c:f>
              <c:strCache>
                <c:ptCount val="1"/>
                <c:pt idx="0">
                  <c:v>Manufacturing</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bg1"/>
                    </a:solidFill>
                    <a:latin typeface="Source Sans Pro" panose="020B0503030403020204" pitchFamily="34" charset="0"/>
                    <a:ea typeface="+mn-ea"/>
                    <a:cs typeface="+mn-cs"/>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Foglio1!$A$2:$A$16</c:f>
              <c:strCache>
                <c:ptCount val="15"/>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strCache>
            </c:strRef>
          </c:cat>
          <c:val>
            <c:numRef>
              <c:f>Foglio1!$B$2:$B$16</c:f>
              <c:numCache>
                <c:formatCode>0.0%</c:formatCode>
                <c:ptCount val="15"/>
                <c:pt idx="0">
                  <c:v>0.37991354021923729</c:v>
                </c:pt>
                <c:pt idx="1">
                  <c:v>0.32861616569001922</c:v>
                </c:pt>
                <c:pt idx="2">
                  <c:v>0.32614364227163928</c:v>
                </c:pt>
                <c:pt idx="3">
                  <c:v>0.40940988437429765</c:v>
                </c:pt>
                <c:pt idx="4">
                  <c:v>0.39869256630556593</c:v>
                </c:pt>
                <c:pt idx="5">
                  <c:v>0.37779296207721214</c:v>
                </c:pt>
                <c:pt idx="6">
                  <c:v>0.35932399347116428</c:v>
                </c:pt>
                <c:pt idx="7">
                  <c:v>0.3700415948057218</c:v>
                </c:pt>
                <c:pt idx="8">
                  <c:v>0.34639721585066835</c:v>
                </c:pt>
                <c:pt idx="9">
                  <c:v>0.35376383315091814</c:v>
                </c:pt>
                <c:pt idx="10">
                  <c:v>0.38150920493627349</c:v>
                </c:pt>
                <c:pt idx="11">
                  <c:v>0.37899073120494337</c:v>
                </c:pt>
                <c:pt idx="12">
                  <c:v>0.39106896022116416</c:v>
                </c:pt>
                <c:pt idx="13">
                  <c:v>0.41208622489713198</c:v>
                </c:pt>
                <c:pt idx="14">
                  <c:v>0.42985965959988054</c:v>
                </c:pt>
              </c:numCache>
            </c:numRef>
          </c:val>
          <c:extLst>
            <c:ext xmlns:c16="http://schemas.microsoft.com/office/drawing/2014/chart" uri="{C3380CC4-5D6E-409C-BE32-E72D297353CC}">
              <c16:uniqueId val="{00000000-AB22-421B-AB81-4A570E5D465B}"/>
            </c:ext>
          </c:extLst>
        </c:ser>
        <c:ser>
          <c:idx val="1"/>
          <c:order val="1"/>
          <c:tx>
            <c:strRef>
              <c:f>Foglio1!$C$1</c:f>
              <c:strCache>
                <c:ptCount val="1"/>
                <c:pt idx="0">
                  <c:v>Wholesale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bg1"/>
                    </a:solidFill>
                    <a:latin typeface="Source Sans Pro" panose="020B0503030403020204" pitchFamily="34" charset="0"/>
                    <a:ea typeface="+mn-ea"/>
                    <a:cs typeface="+mn-cs"/>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Foglio1!$A$2:$A$16</c:f>
              <c:strCache>
                <c:ptCount val="15"/>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strCache>
            </c:strRef>
          </c:cat>
          <c:val>
            <c:numRef>
              <c:f>Foglio1!$C$2:$C$16</c:f>
              <c:numCache>
                <c:formatCode>0.0%</c:formatCode>
                <c:ptCount val="15"/>
                <c:pt idx="0">
                  <c:v>0.36499922803767176</c:v>
                </c:pt>
                <c:pt idx="1">
                  <c:v>0.32203269198832768</c:v>
                </c:pt>
                <c:pt idx="2">
                  <c:v>0.28097294839736303</c:v>
                </c:pt>
                <c:pt idx="3">
                  <c:v>0.29743026246784704</c:v>
                </c:pt>
                <c:pt idx="4">
                  <c:v>0.2884572282405678</c:v>
                </c:pt>
                <c:pt idx="5">
                  <c:v>0.27488896481038605</c:v>
                </c:pt>
                <c:pt idx="6">
                  <c:v>0.24452529923830249</c:v>
                </c:pt>
                <c:pt idx="7">
                  <c:v>0.23399614487166481</c:v>
                </c:pt>
                <c:pt idx="8">
                  <c:v>0.23012734319386222</c:v>
                </c:pt>
                <c:pt idx="9">
                  <c:v>0.23434269731241639</c:v>
                </c:pt>
                <c:pt idx="10">
                  <c:v>0.24604491199676309</c:v>
                </c:pt>
                <c:pt idx="11">
                  <c:v>0.23425776077681329</c:v>
                </c:pt>
                <c:pt idx="12">
                  <c:v>0.21878359698970973</c:v>
                </c:pt>
                <c:pt idx="13">
                  <c:v>0.22250199594669287</c:v>
                </c:pt>
                <c:pt idx="14">
                  <c:v>0.23009853687667961</c:v>
                </c:pt>
              </c:numCache>
            </c:numRef>
          </c:val>
          <c:extLst>
            <c:ext xmlns:c16="http://schemas.microsoft.com/office/drawing/2014/chart" uri="{C3380CC4-5D6E-409C-BE32-E72D297353CC}">
              <c16:uniqueId val="{00000001-AB22-421B-AB81-4A570E5D465B}"/>
            </c:ext>
          </c:extLst>
        </c:ser>
        <c:ser>
          <c:idx val="2"/>
          <c:order val="2"/>
          <c:tx>
            <c:strRef>
              <c:f>Foglio1!$D$1</c:f>
              <c:strCache>
                <c:ptCount val="1"/>
                <c:pt idx="0">
                  <c:v>Constructions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bg1"/>
                    </a:solidFill>
                    <a:latin typeface="Source Sans Pro" panose="020B0503030403020204" pitchFamily="34" charset="0"/>
                    <a:ea typeface="+mn-ea"/>
                    <a:cs typeface="+mn-cs"/>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Foglio1!$A$2:$A$16</c:f>
              <c:strCache>
                <c:ptCount val="15"/>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strCache>
            </c:strRef>
          </c:cat>
          <c:val>
            <c:numRef>
              <c:f>Foglio1!$D$2:$D$16</c:f>
              <c:numCache>
                <c:formatCode>0.0%</c:formatCode>
                <c:ptCount val="15"/>
                <c:pt idx="0">
                  <c:v>0.13169677319746798</c:v>
                </c:pt>
                <c:pt idx="1">
                  <c:v>0.12263054257312994</c:v>
                </c:pt>
                <c:pt idx="2">
                  <c:v>0.1232900525520506</c:v>
                </c:pt>
                <c:pt idx="3">
                  <c:v>0.10903278975101766</c:v>
                </c:pt>
                <c:pt idx="4">
                  <c:v>9.4209936496077701E-2</c:v>
                </c:pt>
                <c:pt idx="5">
                  <c:v>9.2620430474888965E-2</c:v>
                </c:pt>
                <c:pt idx="6">
                  <c:v>0.10575353645266594</c:v>
                </c:pt>
                <c:pt idx="7">
                  <c:v>8.8211423353961649E-2</c:v>
                </c:pt>
                <c:pt idx="8">
                  <c:v>9.2462232065174399E-2</c:v>
                </c:pt>
                <c:pt idx="9">
                  <c:v>9.3396570594673475E-2</c:v>
                </c:pt>
                <c:pt idx="10">
                  <c:v>7.6309933238923724E-2</c:v>
                </c:pt>
                <c:pt idx="11">
                  <c:v>7.6393997351772838E-2</c:v>
                </c:pt>
                <c:pt idx="12">
                  <c:v>7.6332360620488399E-2</c:v>
                </c:pt>
                <c:pt idx="13">
                  <c:v>5.9571332064115946E-2</c:v>
                </c:pt>
                <c:pt idx="14">
                  <c:v>6.1331740818154672E-2</c:v>
                </c:pt>
              </c:numCache>
            </c:numRef>
          </c:val>
          <c:extLst>
            <c:ext xmlns:c16="http://schemas.microsoft.com/office/drawing/2014/chart" uri="{C3380CC4-5D6E-409C-BE32-E72D297353CC}">
              <c16:uniqueId val="{00000002-AB22-421B-AB81-4A570E5D465B}"/>
            </c:ext>
          </c:extLst>
        </c:ser>
        <c:ser>
          <c:idx val="3"/>
          <c:order val="3"/>
          <c:tx>
            <c:strRef>
              <c:f>Foglio1!$E$1</c:f>
              <c:strCache>
                <c:ptCount val="1"/>
                <c:pt idx="0">
                  <c:v>D - Services and Transports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bg1"/>
                    </a:solidFill>
                    <a:latin typeface="Source Sans Pro" panose="020B0503030403020204" pitchFamily="34" charset="0"/>
                    <a:ea typeface="+mn-ea"/>
                    <a:cs typeface="+mn-cs"/>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Foglio1!$A$2:$A$16</c:f>
              <c:strCache>
                <c:ptCount val="15"/>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strCache>
            </c:strRef>
          </c:cat>
          <c:val>
            <c:numRef>
              <c:f>Foglio1!$E$2:$E$16</c:f>
              <c:numCache>
                <c:formatCode>0.0%</c:formatCode>
                <c:ptCount val="15"/>
                <c:pt idx="0">
                  <c:v>0.10098811178014513</c:v>
                </c:pt>
                <c:pt idx="1">
                  <c:v>0.17531019430144007</c:v>
                </c:pt>
                <c:pt idx="2">
                  <c:v>0.20996750598398031</c:v>
                </c:pt>
                <c:pt idx="3">
                  <c:v>0.15078790300427042</c:v>
                </c:pt>
                <c:pt idx="4">
                  <c:v>0.13586103847590586</c:v>
                </c:pt>
                <c:pt idx="5">
                  <c:v>0.13816194055346773</c:v>
                </c:pt>
                <c:pt idx="6">
                  <c:v>0.16430903155603918</c:v>
                </c:pt>
                <c:pt idx="7">
                  <c:v>0.15466166176321397</c:v>
                </c:pt>
                <c:pt idx="8">
                  <c:v>0.18357984655540616</c:v>
                </c:pt>
                <c:pt idx="9">
                  <c:v>0.17459159268717825</c:v>
                </c:pt>
                <c:pt idx="10">
                  <c:v>0.17062512644143232</c:v>
                </c:pt>
                <c:pt idx="11">
                  <c:v>0.16985434750625275</c:v>
                </c:pt>
                <c:pt idx="12">
                  <c:v>0.16806174166794655</c:v>
                </c:pt>
                <c:pt idx="13">
                  <c:v>0.16581710986918871</c:v>
                </c:pt>
                <c:pt idx="14">
                  <c:v>0.1611227232009555</c:v>
                </c:pt>
              </c:numCache>
            </c:numRef>
          </c:val>
          <c:extLst>
            <c:ext xmlns:c16="http://schemas.microsoft.com/office/drawing/2014/chart" uri="{C3380CC4-5D6E-409C-BE32-E72D297353CC}">
              <c16:uniqueId val="{00000003-AB22-421B-AB81-4A570E5D465B}"/>
            </c:ext>
          </c:extLst>
        </c:ser>
        <c:ser>
          <c:idx val="4"/>
          <c:order val="4"/>
          <c:tx>
            <c:strRef>
              <c:f>Foglio1!$F$1</c:f>
              <c:strCache>
                <c:ptCount val="1"/>
                <c:pt idx="0">
                  <c:v>Agricolture</c:v>
                </c:pt>
              </c:strCache>
            </c:strRef>
          </c:tx>
          <c:spPr>
            <a:solidFill>
              <a:schemeClr val="accent5"/>
            </a:solidFill>
            <a:ln>
              <a:noFill/>
            </a:ln>
            <a:effectLst/>
          </c:spPr>
          <c:invertIfNegative val="0"/>
          <c:cat>
            <c:strRef>
              <c:f>Foglio1!$A$2:$A$16</c:f>
              <c:strCache>
                <c:ptCount val="15"/>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strCache>
            </c:strRef>
          </c:cat>
          <c:val>
            <c:numRef>
              <c:f>Foglio1!$F$2:$F$16</c:f>
              <c:numCache>
                <c:formatCode>0.0%</c:formatCode>
                <c:ptCount val="15"/>
                <c:pt idx="0">
                  <c:v>1.1749266635788173E-2</c:v>
                </c:pt>
                <c:pt idx="1">
                  <c:v>1.9928352826741953E-2</c:v>
                </c:pt>
                <c:pt idx="2">
                  <c:v>2.2545230867978015E-2</c:v>
                </c:pt>
                <c:pt idx="3">
                  <c:v>1.5733086931548585E-2</c:v>
                </c:pt>
                <c:pt idx="4">
                  <c:v>2.0358610384759057E-2</c:v>
                </c:pt>
                <c:pt idx="5">
                  <c:v>2.1045439016057398E-2</c:v>
                </c:pt>
                <c:pt idx="6">
                  <c:v>3.1011969532100107E-2</c:v>
                </c:pt>
                <c:pt idx="7">
                  <c:v>3.3580196814446586E-2</c:v>
                </c:pt>
                <c:pt idx="8">
                  <c:v>3.0372538163410581E-2</c:v>
                </c:pt>
                <c:pt idx="9">
                  <c:v>2.829462077911549E-2</c:v>
                </c:pt>
                <c:pt idx="10">
                  <c:v>2.3103378515071819E-2</c:v>
                </c:pt>
                <c:pt idx="11">
                  <c:v>2.6261585993820804E-2</c:v>
                </c:pt>
                <c:pt idx="12">
                  <c:v>2.4381815389341116E-2</c:v>
                </c:pt>
                <c:pt idx="13">
                  <c:v>2.1249155561014556E-2</c:v>
                </c:pt>
                <c:pt idx="14">
                  <c:v>2.2514183338309943E-2</c:v>
                </c:pt>
              </c:numCache>
            </c:numRef>
          </c:val>
          <c:extLst>
            <c:ext xmlns:c16="http://schemas.microsoft.com/office/drawing/2014/chart" uri="{C3380CC4-5D6E-409C-BE32-E72D297353CC}">
              <c16:uniqueId val="{00000004-AB22-421B-AB81-4A570E5D465B}"/>
            </c:ext>
          </c:extLst>
        </c:ser>
        <c:ser>
          <c:idx val="5"/>
          <c:order val="5"/>
          <c:tx>
            <c:strRef>
              <c:f>Foglio1!$G$1</c:f>
              <c:strCache>
                <c:ptCount val="1"/>
                <c:pt idx="0">
                  <c:v>Other</c:v>
                </c:pt>
              </c:strCache>
            </c:strRef>
          </c:tx>
          <c:spPr>
            <a:solidFill>
              <a:schemeClr val="tx2"/>
            </a:solidFill>
            <a:ln>
              <a:noFill/>
            </a:ln>
            <a:effectLst/>
          </c:spPr>
          <c:invertIfNegative val="0"/>
          <c:cat>
            <c:strRef>
              <c:f>Foglio1!$A$2:$A$16</c:f>
              <c:strCache>
                <c:ptCount val="15"/>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strCache>
            </c:strRef>
          </c:cat>
          <c:val>
            <c:numRef>
              <c:f>Foglio1!$G$2:$G$16</c:f>
              <c:numCache>
                <c:formatCode>0.0%</c:formatCode>
                <c:ptCount val="15"/>
                <c:pt idx="0">
                  <c:v>1.0653080129689671E-2</c:v>
                </c:pt>
                <c:pt idx="1">
                  <c:v>3.1482052620341157E-2</c:v>
                </c:pt>
                <c:pt idx="2">
                  <c:v>3.7080619926988752E-2</c:v>
                </c:pt>
                <c:pt idx="3">
                  <c:v>1.7606073471018654E-2</c:v>
                </c:pt>
                <c:pt idx="4">
                  <c:v>6.2420620097123646E-2</c:v>
                </c:pt>
                <c:pt idx="5">
                  <c:v>9.5490263067987705E-2</c:v>
                </c:pt>
                <c:pt idx="6">
                  <c:v>9.5076169749727962E-2</c:v>
                </c:pt>
                <c:pt idx="7">
                  <c:v>0.11950897839099117</c:v>
                </c:pt>
                <c:pt idx="8">
                  <c:v>0.11706082417147828</c:v>
                </c:pt>
                <c:pt idx="9">
                  <c:v>0.11561068547569825</c:v>
                </c:pt>
                <c:pt idx="10">
                  <c:v>0.10240744487153551</c:v>
                </c:pt>
                <c:pt idx="11">
                  <c:v>0.11424157716639693</c:v>
                </c:pt>
                <c:pt idx="12">
                  <c:v>0.12137152511135002</c:v>
                </c:pt>
                <c:pt idx="13">
                  <c:v>0.11877418166185592</c:v>
                </c:pt>
                <c:pt idx="14">
                  <c:v>9.5073156166019704E-2</c:v>
                </c:pt>
              </c:numCache>
            </c:numRef>
          </c:val>
          <c:extLst>
            <c:ext xmlns:c16="http://schemas.microsoft.com/office/drawing/2014/chart" uri="{C3380CC4-5D6E-409C-BE32-E72D297353CC}">
              <c16:uniqueId val="{00000005-AB22-421B-AB81-4A570E5D465B}"/>
            </c:ext>
          </c:extLst>
        </c:ser>
        <c:dLbls>
          <c:showLegendKey val="0"/>
          <c:showVal val="0"/>
          <c:showCatName val="0"/>
          <c:showSerName val="0"/>
          <c:showPercent val="0"/>
          <c:showBubbleSize val="0"/>
        </c:dLbls>
        <c:gapWidth val="50"/>
        <c:overlap val="100"/>
        <c:axId val="1486111168"/>
        <c:axId val="1486107808"/>
      </c:barChart>
      <c:catAx>
        <c:axId val="1486111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2"/>
                </a:solidFill>
                <a:latin typeface="Source Sans Pro" panose="020B0503030403020204" pitchFamily="34" charset="0"/>
                <a:ea typeface="+mn-ea"/>
                <a:cs typeface="+mn-cs"/>
              </a:defRPr>
            </a:pPr>
            <a:endParaRPr lang="it-IT"/>
          </a:p>
        </c:txPr>
        <c:crossAx val="1486107808"/>
        <c:crosses val="autoZero"/>
        <c:auto val="1"/>
        <c:lblAlgn val="ctr"/>
        <c:lblOffset val="100"/>
        <c:noMultiLvlLbl val="0"/>
      </c:catAx>
      <c:valAx>
        <c:axId val="1486107808"/>
        <c:scaling>
          <c:orientation val="minMax"/>
        </c:scaling>
        <c:delete val="1"/>
        <c:axPos val="l"/>
        <c:numFmt formatCode="0%" sourceLinked="1"/>
        <c:majorTickMark val="none"/>
        <c:minorTickMark val="none"/>
        <c:tickLblPos val="nextTo"/>
        <c:crossAx val="1486111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2"/>
              </a:solidFill>
              <a:latin typeface="Source Sans Pro" panose="020B0503030403020204" pitchFamily="34" charset="0"/>
              <a:ea typeface="+mn-ea"/>
              <a:cs typeface="+mn-cs"/>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solidFill>
            <a:schemeClr val="tx2"/>
          </a:solidFill>
          <a:latin typeface="Source Sans Pro" panose="020B0503030403020204" pitchFamily="34" charset="0"/>
        </a:defRPr>
      </a:pPr>
      <a:endParaRPr lang="it-I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6587678430555359E-2"/>
          <c:y val="5.493104365930402E-2"/>
          <c:w val="0.95455010940267626"/>
          <c:h val="0.86535002582927634"/>
        </c:manualLayout>
      </c:layout>
      <c:barChart>
        <c:barDir val="col"/>
        <c:grouping val="clustered"/>
        <c:varyColors val="0"/>
        <c:ser>
          <c:idx val="0"/>
          <c:order val="0"/>
          <c:tx>
            <c:strRef>
              <c:f>data!$Q$108</c:f>
              <c:strCache>
                <c:ptCount val="1"/>
                <c:pt idx="0">
                  <c:v>AVERAGE 2008 – 2022</c:v>
                </c:pt>
              </c:strCache>
            </c:strRef>
          </c:tx>
          <c:invertIfNegative val="0"/>
          <c:dLbls>
            <c:spPr>
              <a:noFill/>
              <a:ln>
                <a:noFill/>
              </a:ln>
              <a:effectLst/>
            </c:spPr>
            <c:txPr>
              <a:bodyPr/>
              <a:lstStyle/>
              <a:p>
                <a:pPr>
                  <a:defRPr b="1"/>
                </a:pPr>
                <a:endParaRPr lang="it-I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data!$A$109:$A$121</c:f>
              <c:strCache>
                <c:ptCount val="13"/>
                <c:pt idx="0">
                  <c:v>A1.1</c:v>
                </c:pt>
                <c:pt idx="1">
                  <c:v>A1.2</c:v>
                </c:pt>
                <c:pt idx="2">
                  <c:v>A1.3</c:v>
                </c:pt>
                <c:pt idx="3">
                  <c:v>A2.1</c:v>
                </c:pt>
                <c:pt idx="4">
                  <c:v>A2.2</c:v>
                </c:pt>
                <c:pt idx="5">
                  <c:v>A3.1</c:v>
                </c:pt>
                <c:pt idx="6">
                  <c:v>B1.1</c:v>
                </c:pt>
                <c:pt idx="7">
                  <c:v>B1.2</c:v>
                </c:pt>
                <c:pt idx="8">
                  <c:v>B2.1</c:v>
                </c:pt>
                <c:pt idx="9">
                  <c:v>B2.2</c:v>
                </c:pt>
                <c:pt idx="10">
                  <c:v>C1.1</c:v>
                </c:pt>
                <c:pt idx="11">
                  <c:v>C1.2</c:v>
                </c:pt>
                <c:pt idx="12">
                  <c:v>C2.1</c:v>
                </c:pt>
              </c:strCache>
            </c:strRef>
          </c:cat>
          <c:val>
            <c:numRef>
              <c:f>data!$Q$109:$Q$121</c:f>
              <c:numCache>
                <c:formatCode>0.00%</c:formatCode>
                <c:ptCount val="13"/>
                <c:pt idx="0">
                  <c:v>1.5660672842883827E-4</c:v>
                </c:pt>
                <c:pt idx="1">
                  <c:v>9.2643257419951317E-4</c:v>
                </c:pt>
                <c:pt idx="2">
                  <c:v>2.522689107341648E-3</c:v>
                </c:pt>
                <c:pt idx="3">
                  <c:v>7.3529689239419608E-3</c:v>
                </c:pt>
                <c:pt idx="4">
                  <c:v>3.3232702503820828E-2</c:v>
                </c:pt>
                <c:pt idx="5">
                  <c:v>9.6598049019792825E-2</c:v>
                </c:pt>
                <c:pt idx="6">
                  <c:v>0.15880676993905546</c:v>
                </c:pt>
                <c:pt idx="7">
                  <c:v>0.19636030868506954</c:v>
                </c:pt>
                <c:pt idx="8">
                  <c:v>0.22965716334270458</c:v>
                </c:pt>
                <c:pt idx="9">
                  <c:v>0.12280420385290289</c:v>
                </c:pt>
                <c:pt idx="10">
                  <c:v>9.0265854072718352E-2</c:v>
                </c:pt>
                <c:pt idx="11">
                  <c:v>3.4606313326666541E-2</c:v>
                </c:pt>
                <c:pt idx="12">
                  <c:v>2.6709937923357043E-2</c:v>
                </c:pt>
              </c:numCache>
            </c:numRef>
          </c:val>
          <c:extLst>
            <c:ext xmlns:c16="http://schemas.microsoft.com/office/drawing/2014/chart" uri="{C3380CC4-5D6E-409C-BE32-E72D297353CC}">
              <c16:uniqueId val="{00000000-4A4E-478F-8FEE-22768D0B0B11}"/>
            </c:ext>
          </c:extLst>
        </c:ser>
        <c:dLbls>
          <c:dLblPos val="outEnd"/>
          <c:showLegendKey val="0"/>
          <c:showVal val="1"/>
          <c:showCatName val="0"/>
          <c:showSerName val="0"/>
          <c:showPercent val="0"/>
          <c:showBubbleSize val="0"/>
        </c:dLbls>
        <c:gapWidth val="40"/>
        <c:axId val="251475664"/>
        <c:axId val="251477232"/>
      </c:barChart>
      <c:catAx>
        <c:axId val="251475664"/>
        <c:scaling>
          <c:orientation val="minMax"/>
        </c:scaling>
        <c:delete val="0"/>
        <c:axPos val="b"/>
        <c:numFmt formatCode="General" sourceLinked="0"/>
        <c:majorTickMark val="out"/>
        <c:minorTickMark val="none"/>
        <c:tickLblPos val="nextTo"/>
        <c:crossAx val="251477232"/>
        <c:crosses val="autoZero"/>
        <c:auto val="1"/>
        <c:lblAlgn val="ctr"/>
        <c:lblOffset val="100"/>
        <c:noMultiLvlLbl val="0"/>
      </c:catAx>
      <c:valAx>
        <c:axId val="251477232"/>
        <c:scaling>
          <c:orientation val="minMax"/>
        </c:scaling>
        <c:delete val="1"/>
        <c:axPos val="l"/>
        <c:numFmt formatCode="0.00%" sourceLinked="1"/>
        <c:majorTickMark val="out"/>
        <c:minorTickMark val="none"/>
        <c:tickLblPos val="nextTo"/>
        <c:crossAx val="251475664"/>
        <c:crosses val="autoZero"/>
        <c:crossBetween val="between"/>
      </c:valAx>
    </c:plotArea>
    <c:plotVisOnly val="1"/>
    <c:dispBlanksAs val="gap"/>
    <c:showDLblsOverMax val="0"/>
  </c:chart>
  <c:spPr>
    <a:ln>
      <a:noFill/>
    </a:ln>
  </c:spPr>
  <c:txPr>
    <a:bodyPr/>
    <a:lstStyle/>
    <a:p>
      <a:pPr>
        <a:defRPr sz="700">
          <a:latin typeface="Source Sans Pro" panose="020B0503030403020204" pitchFamily="34" charset="0"/>
        </a:defRPr>
      </a:pPr>
      <a:endParaRPr lang="it-IT"/>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percentStacked"/>
        <c:varyColors val="0"/>
        <c:ser>
          <c:idx val="0"/>
          <c:order val="0"/>
          <c:tx>
            <c:strRef>
              <c:f>'[20230322_DS 03 - DS2022 - Grafici rating ENG_v1.xlsx]data'!$A$128:$B$128</c:f>
              <c:strCache>
                <c:ptCount val="2"/>
                <c:pt idx="0">
                  <c:v>A1.1 - A3.1</c:v>
                </c:pt>
                <c:pt idx="1">
                  <c:v>[Safety]</c:v>
                </c:pt>
              </c:strCache>
            </c:strRef>
          </c:tx>
          <c:spPr>
            <a:solidFill>
              <a:schemeClr val="accent5"/>
            </a:solidFill>
          </c:spPr>
          <c:invertIfNegative val="0"/>
          <c:dLbls>
            <c:spPr>
              <a:noFill/>
              <a:ln>
                <a:noFill/>
              </a:ln>
              <a:effectLst/>
            </c:spPr>
            <c:txPr>
              <a:bodyPr/>
              <a:lstStyle/>
              <a:p>
                <a:pPr>
                  <a:defRPr b="1">
                    <a:solidFill>
                      <a:schemeClr val="bg1"/>
                    </a:solidFill>
                  </a:defRPr>
                </a:pPr>
                <a:endParaRPr lang="it-I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'[20230322_DS 03 - DS2022 - Grafici rating ENG_v1.xlsx]data'!$C$127:$E$127</c:f>
              <c:strCache>
                <c:ptCount val="3"/>
                <c:pt idx="0">
                  <c:v>Large</c:v>
                </c:pt>
                <c:pt idx="1">
                  <c:v>SMEs</c:v>
                </c:pt>
                <c:pt idx="2">
                  <c:v>Micro</c:v>
                </c:pt>
              </c:strCache>
            </c:strRef>
          </c:cat>
          <c:val>
            <c:numRef>
              <c:f>'[20230322_DS 03 - DS2022 - Grafici rating ENG_v1.xlsx]data'!$C$128:$E$128</c:f>
              <c:numCache>
                <c:formatCode>0.00%</c:formatCode>
                <c:ptCount val="3"/>
                <c:pt idx="0">
                  <c:v>0.43414059106984054</c:v>
                </c:pt>
                <c:pt idx="1">
                  <c:v>0.14927769865243454</c:v>
                </c:pt>
                <c:pt idx="2">
                  <c:v>3.6603112744493502E-2</c:v>
                </c:pt>
              </c:numCache>
            </c:numRef>
          </c:val>
          <c:extLst>
            <c:ext xmlns:c16="http://schemas.microsoft.com/office/drawing/2014/chart" uri="{C3380CC4-5D6E-409C-BE32-E72D297353CC}">
              <c16:uniqueId val="{00000000-4C97-45E2-8226-D39EE59500E2}"/>
            </c:ext>
          </c:extLst>
        </c:ser>
        <c:ser>
          <c:idx val="1"/>
          <c:order val="1"/>
          <c:tx>
            <c:strRef>
              <c:f>'[20230322_DS 03 - DS2022 - Grafici rating ENG_v1.xlsx]data'!$A$129:$B$129</c:f>
              <c:strCache>
                <c:ptCount val="2"/>
                <c:pt idx="0">
                  <c:v>B1.1 - B1.2</c:v>
                </c:pt>
                <c:pt idx="1">
                  <c:v>[Solvency]</c:v>
                </c:pt>
              </c:strCache>
            </c:strRef>
          </c:tx>
          <c:spPr>
            <a:solidFill>
              <a:schemeClr val="accent3"/>
            </a:solidFill>
          </c:spPr>
          <c:invertIfNegative val="0"/>
          <c:dPt>
            <c:idx val="0"/>
            <c:invertIfNegative val="0"/>
            <c:bubble3D val="0"/>
            <c:spPr>
              <a:solidFill>
                <a:schemeClr val="accent3"/>
              </a:solidFill>
              <a:ln>
                <a:solidFill>
                  <a:sysClr val="windowText" lastClr="000000">
                    <a:tint val="75000"/>
                    <a:shade val="95000"/>
                    <a:satMod val="105000"/>
                  </a:sysClr>
                </a:solidFill>
              </a:ln>
            </c:spPr>
            <c:extLst>
              <c:ext xmlns:c16="http://schemas.microsoft.com/office/drawing/2014/chart" uri="{C3380CC4-5D6E-409C-BE32-E72D297353CC}">
                <c16:uniqueId val="{00000002-4C97-45E2-8226-D39EE59500E2}"/>
              </c:ext>
            </c:extLst>
          </c:dPt>
          <c:dLbls>
            <c:spPr>
              <a:noFill/>
              <a:ln>
                <a:noFill/>
              </a:ln>
              <a:effectLst/>
            </c:spPr>
            <c:txPr>
              <a:bodyPr/>
              <a:lstStyle/>
              <a:p>
                <a:pPr>
                  <a:defRPr b="1">
                    <a:solidFill>
                      <a:schemeClr val="bg1"/>
                    </a:solidFill>
                  </a:defRPr>
                </a:pPr>
                <a:endParaRPr lang="it-I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'[20230322_DS 03 - DS2022 - Grafici rating ENG_v1.xlsx]data'!$C$127:$E$127</c:f>
              <c:strCache>
                <c:ptCount val="3"/>
                <c:pt idx="0">
                  <c:v>Large</c:v>
                </c:pt>
                <c:pt idx="1">
                  <c:v>SMEs</c:v>
                </c:pt>
                <c:pt idx="2">
                  <c:v>Micro</c:v>
                </c:pt>
              </c:strCache>
            </c:strRef>
          </c:cat>
          <c:val>
            <c:numRef>
              <c:f>'[20230322_DS 03 - DS2022 - Grafici rating ENG_v1.xlsx]data'!$C$129:$E$129</c:f>
              <c:numCache>
                <c:formatCode>0.00%</c:formatCode>
                <c:ptCount val="3"/>
                <c:pt idx="0">
                  <c:v>0.35493144168924368</c:v>
                </c:pt>
                <c:pt idx="1">
                  <c:v>0.39378022631587184</c:v>
                </c:pt>
                <c:pt idx="2">
                  <c:v>0.27917273018770195</c:v>
                </c:pt>
              </c:numCache>
            </c:numRef>
          </c:val>
          <c:extLst>
            <c:ext xmlns:c16="http://schemas.microsoft.com/office/drawing/2014/chart" uri="{C3380CC4-5D6E-409C-BE32-E72D297353CC}">
              <c16:uniqueId val="{00000003-4C97-45E2-8226-D39EE59500E2}"/>
            </c:ext>
          </c:extLst>
        </c:ser>
        <c:ser>
          <c:idx val="2"/>
          <c:order val="2"/>
          <c:tx>
            <c:strRef>
              <c:f>'[20230322_DS 03 - DS2022 - Grafici rating ENG_v1.xlsx]data'!$A$130:$B$130</c:f>
              <c:strCache>
                <c:ptCount val="2"/>
                <c:pt idx="0">
                  <c:v>B2.1 - B2.2</c:v>
                </c:pt>
                <c:pt idx="1">
                  <c:v>[VulnerabilIty]</c:v>
                </c:pt>
              </c:strCache>
            </c:strRef>
          </c:tx>
          <c:invertIfNegative val="0"/>
          <c:dLbls>
            <c:spPr>
              <a:noFill/>
              <a:ln>
                <a:noFill/>
              </a:ln>
              <a:effectLst/>
            </c:spPr>
            <c:txPr>
              <a:bodyPr/>
              <a:lstStyle/>
              <a:p>
                <a:pPr>
                  <a:defRPr b="1">
                    <a:solidFill>
                      <a:schemeClr val="bg1"/>
                    </a:solidFill>
                  </a:defRPr>
                </a:pPr>
                <a:endParaRPr lang="it-I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'[20230322_DS 03 - DS2022 - Grafici rating ENG_v1.xlsx]data'!$C$127:$E$127</c:f>
              <c:strCache>
                <c:ptCount val="3"/>
                <c:pt idx="0">
                  <c:v>Large</c:v>
                </c:pt>
                <c:pt idx="1">
                  <c:v>SMEs</c:v>
                </c:pt>
                <c:pt idx="2">
                  <c:v>Micro</c:v>
                </c:pt>
              </c:strCache>
            </c:strRef>
          </c:cat>
          <c:val>
            <c:numRef>
              <c:f>'[20230322_DS 03 - DS2022 - Grafici rating ENG_v1.xlsx]data'!$C$130:$E$130</c:f>
              <c:numCache>
                <c:formatCode>0.00%</c:formatCode>
                <c:ptCount val="3"/>
                <c:pt idx="0">
                  <c:v>0.16288544661137883</c:v>
                </c:pt>
                <c:pt idx="1">
                  <c:v>0.33307874102014307</c:v>
                </c:pt>
                <c:pt idx="2">
                  <c:v>0.44716720518955183</c:v>
                </c:pt>
              </c:numCache>
            </c:numRef>
          </c:val>
          <c:extLst>
            <c:ext xmlns:c16="http://schemas.microsoft.com/office/drawing/2014/chart" uri="{C3380CC4-5D6E-409C-BE32-E72D297353CC}">
              <c16:uniqueId val="{00000004-4C97-45E2-8226-D39EE59500E2}"/>
            </c:ext>
          </c:extLst>
        </c:ser>
        <c:ser>
          <c:idx val="3"/>
          <c:order val="3"/>
          <c:tx>
            <c:strRef>
              <c:f>'[20230322_DS 03 - DS2022 - Grafici rating ENG_v1.xlsx]data'!$A$131:$B$131</c:f>
              <c:strCache>
                <c:ptCount val="2"/>
                <c:pt idx="0">
                  <c:v>C1.1 - C2.1</c:v>
                </c:pt>
                <c:pt idx="1">
                  <c:v>[Risk]</c:v>
                </c:pt>
              </c:strCache>
            </c:strRef>
          </c:tx>
          <c:spPr>
            <a:solidFill>
              <a:schemeClr val="accent4"/>
            </a:solidFill>
          </c:spPr>
          <c:invertIfNegative val="0"/>
          <c:dLbls>
            <c:spPr>
              <a:noFill/>
              <a:ln>
                <a:noFill/>
              </a:ln>
              <a:effectLst/>
            </c:spPr>
            <c:txPr>
              <a:bodyPr/>
              <a:lstStyle/>
              <a:p>
                <a:pPr>
                  <a:defRPr b="1">
                    <a:solidFill>
                      <a:schemeClr val="bg1"/>
                    </a:solidFill>
                  </a:defRPr>
                </a:pPr>
                <a:endParaRPr lang="it-I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'[20230322_DS 03 - DS2022 - Grafici rating ENG_v1.xlsx]data'!$C$127:$E$127</c:f>
              <c:strCache>
                <c:ptCount val="3"/>
                <c:pt idx="0">
                  <c:v>Large</c:v>
                </c:pt>
                <c:pt idx="1">
                  <c:v>SMEs</c:v>
                </c:pt>
                <c:pt idx="2">
                  <c:v>Micro</c:v>
                </c:pt>
              </c:strCache>
            </c:strRef>
          </c:cat>
          <c:val>
            <c:numRef>
              <c:f>'[20230322_DS 03 - DS2022 - Grafici rating ENG_v1.xlsx]data'!$C$131:$E$131</c:f>
              <c:numCache>
                <c:formatCode>0.00%</c:formatCode>
                <c:ptCount val="3"/>
                <c:pt idx="0">
                  <c:v>4.8042520629536949E-2</c:v>
                </c:pt>
                <c:pt idx="1">
                  <c:v>0.12386333401155056</c:v>
                </c:pt>
                <c:pt idx="2">
                  <c:v>0.23705695187825271</c:v>
                </c:pt>
              </c:numCache>
            </c:numRef>
          </c:val>
          <c:extLst>
            <c:ext xmlns:c16="http://schemas.microsoft.com/office/drawing/2014/chart" uri="{C3380CC4-5D6E-409C-BE32-E72D297353CC}">
              <c16:uniqueId val="{00000005-4C97-45E2-8226-D39EE59500E2}"/>
            </c:ext>
          </c:extLst>
        </c:ser>
        <c:dLbls>
          <c:dLblPos val="ctr"/>
          <c:showLegendKey val="0"/>
          <c:showVal val="1"/>
          <c:showCatName val="0"/>
          <c:showSerName val="0"/>
          <c:showPercent val="0"/>
          <c:showBubbleSize val="0"/>
        </c:dLbls>
        <c:gapWidth val="50"/>
        <c:overlap val="100"/>
        <c:axId val="251471352"/>
        <c:axId val="251476840"/>
      </c:barChart>
      <c:catAx>
        <c:axId val="251471352"/>
        <c:scaling>
          <c:orientation val="minMax"/>
        </c:scaling>
        <c:delete val="0"/>
        <c:axPos val="b"/>
        <c:numFmt formatCode="General" sourceLinked="0"/>
        <c:majorTickMark val="out"/>
        <c:minorTickMark val="none"/>
        <c:tickLblPos val="nextTo"/>
        <c:crossAx val="251476840"/>
        <c:crosses val="autoZero"/>
        <c:auto val="1"/>
        <c:lblAlgn val="ctr"/>
        <c:lblOffset val="100"/>
        <c:noMultiLvlLbl val="0"/>
      </c:catAx>
      <c:valAx>
        <c:axId val="251476840"/>
        <c:scaling>
          <c:orientation val="minMax"/>
        </c:scaling>
        <c:delete val="1"/>
        <c:axPos val="l"/>
        <c:numFmt formatCode="0%" sourceLinked="1"/>
        <c:majorTickMark val="out"/>
        <c:minorTickMark val="none"/>
        <c:tickLblPos val="nextTo"/>
        <c:crossAx val="251471352"/>
        <c:crosses val="autoZero"/>
        <c:crossBetween val="between"/>
      </c:valAx>
    </c:plotArea>
    <c:legend>
      <c:legendPos val="b"/>
      <c:layout>
        <c:manualLayout>
          <c:xMode val="edge"/>
          <c:yMode val="edge"/>
          <c:x val="7.433006547010515E-2"/>
          <c:y val="0.92338754938624912"/>
          <c:w val="0.69656772804517231"/>
          <c:h val="5.1912380042120704E-2"/>
        </c:manualLayout>
      </c:layout>
      <c:overlay val="0"/>
    </c:legend>
    <c:plotVisOnly val="1"/>
    <c:dispBlanksAs val="gap"/>
    <c:showDLblsOverMax val="0"/>
  </c:chart>
  <c:spPr>
    <a:ln>
      <a:noFill/>
    </a:ln>
  </c:spPr>
  <c:txPr>
    <a:bodyPr/>
    <a:lstStyle/>
    <a:p>
      <a:pPr>
        <a:defRPr sz="700">
          <a:latin typeface="Source Sans Pro" panose="020B0503030403020204" pitchFamily="34" charset="0"/>
        </a:defRPr>
      </a:pPr>
      <a:endParaRPr lang="it-IT"/>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700"/>
              <a:t>Average 1-year default rate</a:t>
            </a:r>
          </a:p>
        </c:rich>
      </c:tx>
      <c:overlay val="0"/>
    </c:title>
    <c:autoTitleDeleted val="0"/>
    <c:plotArea>
      <c:layout>
        <c:manualLayout>
          <c:layoutTarget val="inner"/>
          <c:xMode val="edge"/>
          <c:yMode val="edge"/>
          <c:x val="2.7032953988598361E-2"/>
          <c:y val="0.21184401172651346"/>
          <c:w val="0.91795074707273494"/>
          <c:h val="0.64840182541949098"/>
        </c:manualLayout>
      </c:layout>
      <c:lineChart>
        <c:grouping val="standard"/>
        <c:varyColors val="0"/>
        <c:ser>
          <c:idx val="0"/>
          <c:order val="0"/>
          <c:tx>
            <c:v>1-y DR on all rated</c:v>
          </c:tx>
          <c:dLbls>
            <c:spPr>
              <a:noFill/>
              <a:ln>
                <a:noFill/>
              </a:ln>
              <a:effectLst/>
            </c:spPr>
            <c:txPr>
              <a:bodyPr/>
              <a:lstStyle/>
              <a:p>
                <a:pPr>
                  <a:defRPr b="1"/>
                </a:pPr>
                <a:endParaRPr lang="it-I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'[20230322_DS 03 - DS2022 - Grafici rating ENG_v1.xlsx]data'!$A$162:$A$176</c:f>
              <c:numCache>
                <c:formatCode>General</c:formatCode>
                <c:ptCount val="15"/>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numCache>
            </c:numRef>
          </c:cat>
          <c:val>
            <c:numRef>
              <c:f>'[20230322_DS 03 - DS2022 - Grafici rating ENG_v1.xlsx]data'!$B$162:$B$176</c:f>
              <c:numCache>
                <c:formatCode>0.00%</c:formatCode>
                <c:ptCount val="15"/>
                <c:pt idx="0">
                  <c:v>5.3960166743862899E-2</c:v>
                </c:pt>
                <c:pt idx="1">
                  <c:v>4.4210101776944795E-2</c:v>
                </c:pt>
                <c:pt idx="2">
                  <c:v>3.7013759811721912E-2</c:v>
                </c:pt>
                <c:pt idx="3">
                  <c:v>4.2579227330619585E-2</c:v>
                </c:pt>
                <c:pt idx="4">
                  <c:v>3.7093761673515128E-2</c:v>
                </c:pt>
                <c:pt idx="5">
                  <c:v>3.2319781346088143E-2</c:v>
                </c:pt>
                <c:pt idx="6">
                  <c:v>3.0467899891186073E-2</c:v>
                </c:pt>
                <c:pt idx="7">
                  <c:v>2.3739474485137465E-2</c:v>
                </c:pt>
                <c:pt idx="8">
                  <c:v>1.5779482717709403E-2</c:v>
                </c:pt>
                <c:pt idx="9">
                  <c:v>1.3823016741659573E-2</c:v>
                </c:pt>
                <c:pt idx="10">
                  <c:v>1.3554521545620068E-2</c:v>
                </c:pt>
                <c:pt idx="11">
                  <c:v>8.7538619979402685E-3</c:v>
                </c:pt>
                <c:pt idx="12">
                  <c:v>5.3755183535555218E-3</c:v>
                </c:pt>
                <c:pt idx="13">
                  <c:v>4.2375483633237121E-3</c:v>
                </c:pt>
                <c:pt idx="14">
                  <c:v>6.1999999999999998E-3</c:v>
                </c:pt>
              </c:numCache>
            </c:numRef>
          </c:val>
          <c:smooth val="0"/>
          <c:extLst>
            <c:ext xmlns:c16="http://schemas.microsoft.com/office/drawing/2014/chart" uri="{C3380CC4-5D6E-409C-BE32-E72D297353CC}">
              <c16:uniqueId val="{00000000-38B0-4B06-BD6F-DFCCD24F35A7}"/>
            </c:ext>
          </c:extLst>
        </c:ser>
        <c:dLbls>
          <c:dLblPos val="t"/>
          <c:showLegendKey val="0"/>
          <c:showVal val="1"/>
          <c:showCatName val="0"/>
          <c:showSerName val="0"/>
          <c:showPercent val="0"/>
          <c:showBubbleSize val="0"/>
        </c:dLbls>
        <c:marker val="1"/>
        <c:smooth val="0"/>
        <c:axId val="251467040"/>
        <c:axId val="251478408"/>
      </c:lineChart>
      <c:catAx>
        <c:axId val="251467040"/>
        <c:scaling>
          <c:orientation val="minMax"/>
        </c:scaling>
        <c:delete val="0"/>
        <c:axPos val="b"/>
        <c:title>
          <c:tx>
            <c:rich>
              <a:bodyPr/>
              <a:lstStyle/>
              <a:p>
                <a:pPr>
                  <a:defRPr/>
                </a:pPr>
                <a:r>
                  <a:rPr lang="en-US"/>
                  <a:t>Year of default</a:t>
                </a:r>
              </a:p>
            </c:rich>
          </c:tx>
          <c:overlay val="0"/>
        </c:title>
        <c:numFmt formatCode="General" sourceLinked="1"/>
        <c:majorTickMark val="out"/>
        <c:minorTickMark val="none"/>
        <c:tickLblPos val="nextTo"/>
        <c:crossAx val="251478408"/>
        <c:crosses val="autoZero"/>
        <c:auto val="1"/>
        <c:lblAlgn val="ctr"/>
        <c:lblOffset val="100"/>
        <c:noMultiLvlLbl val="0"/>
      </c:catAx>
      <c:valAx>
        <c:axId val="251478408"/>
        <c:scaling>
          <c:orientation val="minMax"/>
        </c:scaling>
        <c:delete val="1"/>
        <c:axPos val="l"/>
        <c:title>
          <c:tx>
            <c:rich>
              <a:bodyPr rot="-5400000" vert="horz"/>
              <a:lstStyle/>
              <a:p>
                <a:pPr>
                  <a:defRPr/>
                </a:pPr>
                <a:r>
                  <a:rPr lang="en-US"/>
                  <a:t>1-y default rate</a:t>
                </a:r>
              </a:p>
            </c:rich>
          </c:tx>
          <c:overlay val="0"/>
        </c:title>
        <c:numFmt formatCode="0.00%" sourceLinked="1"/>
        <c:majorTickMark val="out"/>
        <c:minorTickMark val="none"/>
        <c:tickLblPos val="nextTo"/>
        <c:crossAx val="251467040"/>
        <c:crosses val="autoZero"/>
        <c:crossBetween val="between"/>
      </c:valAx>
    </c:plotArea>
    <c:legend>
      <c:legendPos val="r"/>
      <c:layout>
        <c:manualLayout>
          <c:xMode val="edge"/>
          <c:yMode val="edge"/>
          <c:x val="0.68073325133120777"/>
          <c:y val="0.51251100485218803"/>
          <c:w val="0.27971870604782151"/>
          <c:h val="6.1845093882495462E-2"/>
        </c:manualLayout>
      </c:layout>
      <c:overlay val="0"/>
    </c:legend>
    <c:plotVisOnly val="1"/>
    <c:dispBlanksAs val="gap"/>
    <c:showDLblsOverMax val="0"/>
  </c:chart>
  <c:spPr>
    <a:ln>
      <a:noFill/>
    </a:ln>
  </c:spPr>
  <c:txPr>
    <a:bodyPr/>
    <a:lstStyle/>
    <a:p>
      <a:pPr>
        <a:defRPr sz="700">
          <a:latin typeface="Source Sans Pro" panose="020B0503030403020204" pitchFamily="34" charset="0"/>
        </a:defRPr>
      </a:pPr>
      <a:endParaRPr lang="it-IT"/>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lgn="ctr">
              <a:defRPr sz="800"/>
            </a:pPr>
            <a:r>
              <a:rPr lang="en-US" sz="800"/>
              <a:t>Average 1-year default rates by company size</a:t>
            </a:r>
          </a:p>
          <a:p>
            <a:pPr algn="ctr">
              <a:defRPr sz="800"/>
            </a:pPr>
            <a:r>
              <a:rPr lang="en-US" sz="800" b="0"/>
              <a:t>Defaults from 2009</a:t>
            </a:r>
            <a:r>
              <a:rPr lang="en-US" sz="800" b="0" baseline="0"/>
              <a:t> to </a:t>
            </a:r>
            <a:r>
              <a:rPr lang="en-US" sz="800" b="0"/>
              <a:t>2023</a:t>
            </a:r>
            <a:endParaRPr lang="it-IT" sz="800" b="0"/>
          </a:p>
        </c:rich>
      </c:tx>
      <c:overlay val="0"/>
    </c:title>
    <c:autoTitleDeleted val="0"/>
    <c:plotArea>
      <c:layout>
        <c:manualLayout>
          <c:layoutTarget val="inner"/>
          <c:xMode val="edge"/>
          <c:yMode val="edge"/>
          <c:x val="4.9956974235690926E-2"/>
          <c:y val="8.9866285539486654E-2"/>
          <c:w val="0.94507716054025914"/>
          <c:h val="0.7460059570828389"/>
        </c:manualLayout>
      </c:layout>
      <c:lineChart>
        <c:grouping val="standard"/>
        <c:varyColors val="0"/>
        <c:ser>
          <c:idx val="0"/>
          <c:order val="0"/>
          <c:tx>
            <c:strRef>
              <c:f>'[20230322_DS 03 - DS2022 - Grafici rating ENG_v1.xlsx]data'!$C$182</c:f>
              <c:strCache>
                <c:ptCount val="1"/>
                <c:pt idx="0">
                  <c:v>Micro</c:v>
                </c:pt>
              </c:strCache>
            </c:strRef>
          </c:tx>
          <c:spPr>
            <a:ln w="19050">
              <a:solidFill>
                <a:schemeClr val="accent1">
                  <a:alpha val="94000"/>
                </a:schemeClr>
              </a:solidFill>
            </a:ln>
          </c:spPr>
          <c:marker>
            <c:spPr>
              <a:solidFill>
                <a:schemeClr val="accent1"/>
              </a:solidFill>
              <a:ln cmpd="sng">
                <a:noFill/>
              </a:ln>
            </c:spPr>
          </c:marker>
          <c:dPt>
            <c:idx val="4"/>
            <c:bubble3D val="0"/>
            <c:extLst>
              <c:ext xmlns:c16="http://schemas.microsoft.com/office/drawing/2014/chart" uri="{C3380CC4-5D6E-409C-BE32-E72D297353CC}">
                <c16:uniqueId val="{00000000-58BC-4595-86CE-340E376C2DA2}"/>
              </c:ext>
            </c:extLst>
          </c:dPt>
          <c:dPt>
            <c:idx val="5"/>
            <c:bubble3D val="0"/>
            <c:extLst>
              <c:ext xmlns:c16="http://schemas.microsoft.com/office/drawing/2014/chart" uri="{C3380CC4-5D6E-409C-BE32-E72D297353CC}">
                <c16:uniqueId val="{00000001-58BC-4595-86CE-340E376C2DA2}"/>
              </c:ext>
            </c:extLst>
          </c:dPt>
          <c:dPt>
            <c:idx val="6"/>
            <c:bubble3D val="0"/>
            <c:extLst>
              <c:ext xmlns:c16="http://schemas.microsoft.com/office/drawing/2014/chart" uri="{C3380CC4-5D6E-409C-BE32-E72D297353CC}">
                <c16:uniqueId val="{00000002-58BC-4595-86CE-340E376C2DA2}"/>
              </c:ext>
            </c:extLst>
          </c:dPt>
          <c:cat>
            <c:multiLvlStrRef>
              <c:f>'[20230322_DS 03 - DS2022 - Grafici rating ENG_v1.xlsx]data'!$A$184:$B$198</c:f>
              <c:multiLvlStrCache>
                <c:ptCount val="15"/>
                <c:lvl>
                  <c:pt idx="0">
                    <c:v>Defaults 2009</c:v>
                  </c:pt>
                  <c:pt idx="1">
                    <c:v>Defaults 2010</c:v>
                  </c:pt>
                  <c:pt idx="2">
                    <c:v>Defaults 2011</c:v>
                  </c:pt>
                  <c:pt idx="3">
                    <c:v>Defaults 2012</c:v>
                  </c:pt>
                  <c:pt idx="4">
                    <c:v>Defaults 2013</c:v>
                  </c:pt>
                  <c:pt idx="5">
                    <c:v>Defaults 2014</c:v>
                  </c:pt>
                  <c:pt idx="6">
                    <c:v>Defaults 2015</c:v>
                  </c:pt>
                  <c:pt idx="7">
                    <c:v>Defaults 2016</c:v>
                  </c:pt>
                  <c:pt idx="8">
                    <c:v>Defaults 2017</c:v>
                  </c:pt>
                  <c:pt idx="9">
                    <c:v>Defaults 2018</c:v>
                  </c:pt>
                  <c:pt idx="10">
                    <c:v>Defaults 2019</c:v>
                  </c:pt>
                  <c:pt idx="11">
                    <c:v>Defaults 2020</c:v>
                  </c:pt>
                  <c:pt idx="12">
                    <c:v>Defaults 2021</c:v>
                  </c:pt>
                  <c:pt idx="13">
                    <c:v>Defaults 2022</c:v>
                  </c:pt>
                  <c:pt idx="14">
                    <c:v>Defaults 2023</c:v>
                  </c:pt>
                </c:lvl>
                <c:lvl>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lvl>
              </c:multiLvlStrCache>
            </c:multiLvlStrRef>
          </c:cat>
          <c:val>
            <c:numRef>
              <c:f>'[20230322_DS 03 - DS2022 - Grafici rating ENG_v1.xlsx]data'!$C$184:$C$198</c:f>
              <c:numCache>
                <c:formatCode>0.00%</c:formatCode>
                <c:ptCount val="15"/>
                <c:pt idx="0">
                  <c:v>7.77052663530126E-2</c:v>
                </c:pt>
                <c:pt idx="1">
                  <c:v>6.0266402523264602E-2</c:v>
                </c:pt>
                <c:pt idx="2">
                  <c:v>4.9762343583276747E-2</c:v>
                </c:pt>
                <c:pt idx="3">
                  <c:v>6.0683530678148544E-2</c:v>
                </c:pt>
                <c:pt idx="4">
                  <c:v>3.6086051353226928E-2</c:v>
                </c:pt>
                <c:pt idx="5">
                  <c:v>2.6338293141782109E-2</c:v>
                </c:pt>
                <c:pt idx="6">
                  <c:v>2.8643890795166344E-2</c:v>
                </c:pt>
                <c:pt idx="7">
                  <c:v>2.9551337359792925E-2</c:v>
                </c:pt>
                <c:pt idx="8">
                  <c:v>1.5762273901808784E-2</c:v>
                </c:pt>
                <c:pt idx="9">
                  <c:v>1.2347372753464123E-2</c:v>
                </c:pt>
                <c:pt idx="10">
                  <c:v>1.0736764161421697E-2</c:v>
                </c:pt>
                <c:pt idx="11">
                  <c:v>4.5161290322580649E-3</c:v>
                </c:pt>
                <c:pt idx="12">
                  <c:v>4.6391752577319588E-3</c:v>
                </c:pt>
                <c:pt idx="13">
                  <c:v>1.7319016279875303E-3</c:v>
                </c:pt>
                <c:pt idx="14">
                  <c:v>4.8999999999999998E-3</c:v>
                </c:pt>
              </c:numCache>
            </c:numRef>
          </c:val>
          <c:smooth val="0"/>
          <c:extLst>
            <c:ext xmlns:c16="http://schemas.microsoft.com/office/drawing/2014/chart" uri="{C3380CC4-5D6E-409C-BE32-E72D297353CC}">
              <c16:uniqueId val="{00000003-58BC-4595-86CE-340E376C2DA2}"/>
            </c:ext>
          </c:extLst>
        </c:ser>
        <c:ser>
          <c:idx val="3"/>
          <c:order val="1"/>
          <c:tx>
            <c:strRef>
              <c:f>'[20230322_DS 03 - DS2022 - Grafici rating ENG_v1.xlsx]data'!$J$183</c:f>
              <c:strCache>
                <c:ptCount val="1"/>
                <c:pt idx="0">
                  <c:v>Average Micro</c:v>
                </c:pt>
              </c:strCache>
            </c:strRef>
          </c:tx>
          <c:spPr>
            <a:ln w="19050">
              <a:solidFill>
                <a:schemeClr val="accent1"/>
              </a:solidFill>
              <a:prstDash val="sysDot"/>
            </a:ln>
          </c:spPr>
          <c:marker>
            <c:symbol val="none"/>
          </c:marker>
          <c:cat>
            <c:multiLvlStrRef>
              <c:f>'[20230322_DS 03 - DS2022 - Grafici rating ENG_v1.xlsx]data'!$A$184:$B$198</c:f>
              <c:multiLvlStrCache>
                <c:ptCount val="15"/>
                <c:lvl>
                  <c:pt idx="0">
                    <c:v>Defaults 2009</c:v>
                  </c:pt>
                  <c:pt idx="1">
                    <c:v>Defaults 2010</c:v>
                  </c:pt>
                  <c:pt idx="2">
                    <c:v>Defaults 2011</c:v>
                  </c:pt>
                  <c:pt idx="3">
                    <c:v>Defaults 2012</c:v>
                  </c:pt>
                  <c:pt idx="4">
                    <c:v>Defaults 2013</c:v>
                  </c:pt>
                  <c:pt idx="5">
                    <c:v>Defaults 2014</c:v>
                  </c:pt>
                  <c:pt idx="6">
                    <c:v>Defaults 2015</c:v>
                  </c:pt>
                  <c:pt idx="7">
                    <c:v>Defaults 2016</c:v>
                  </c:pt>
                  <c:pt idx="8">
                    <c:v>Defaults 2017</c:v>
                  </c:pt>
                  <c:pt idx="9">
                    <c:v>Defaults 2018</c:v>
                  </c:pt>
                  <c:pt idx="10">
                    <c:v>Defaults 2019</c:v>
                  </c:pt>
                  <c:pt idx="11">
                    <c:v>Defaults 2020</c:v>
                  </c:pt>
                  <c:pt idx="12">
                    <c:v>Defaults 2021</c:v>
                  </c:pt>
                  <c:pt idx="13">
                    <c:v>Defaults 2022</c:v>
                  </c:pt>
                  <c:pt idx="14">
                    <c:v>Defaults 2023</c:v>
                  </c:pt>
                </c:lvl>
                <c:lvl>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lvl>
              </c:multiLvlStrCache>
            </c:multiLvlStrRef>
          </c:cat>
          <c:val>
            <c:numRef>
              <c:f>'[20230322_DS 03 - DS2022 - Grafici rating ENG_v1.xlsx]data'!$J$184:$J$198</c:f>
              <c:numCache>
                <c:formatCode>0.00%</c:formatCode>
                <c:ptCount val="15"/>
                <c:pt idx="0">
                  <c:v>4.5198924598574351E-2</c:v>
                </c:pt>
                <c:pt idx="1">
                  <c:v>4.5198924598574351E-2</c:v>
                </c:pt>
                <c:pt idx="2">
                  <c:v>4.5198924598574351E-2</c:v>
                </c:pt>
                <c:pt idx="3">
                  <c:v>4.5198924598574351E-2</c:v>
                </c:pt>
                <c:pt idx="4">
                  <c:v>4.5198924598574351E-2</c:v>
                </c:pt>
                <c:pt idx="5">
                  <c:v>4.5198924598574351E-2</c:v>
                </c:pt>
                <c:pt idx="6">
                  <c:v>4.5198924598574351E-2</c:v>
                </c:pt>
                <c:pt idx="7">
                  <c:v>4.5198924598574351E-2</c:v>
                </c:pt>
                <c:pt idx="8">
                  <c:v>4.5198924598574351E-2</c:v>
                </c:pt>
                <c:pt idx="9">
                  <c:v>4.5198924598574351E-2</c:v>
                </c:pt>
                <c:pt idx="10">
                  <c:v>4.5198924598574351E-2</c:v>
                </c:pt>
                <c:pt idx="11">
                  <c:v>4.5198924598574351E-2</c:v>
                </c:pt>
                <c:pt idx="12">
                  <c:v>4.5198924598574351E-2</c:v>
                </c:pt>
                <c:pt idx="13">
                  <c:v>4.5198924598574351E-2</c:v>
                </c:pt>
                <c:pt idx="14">
                  <c:v>4.5198924598574351E-2</c:v>
                </c:pt>
              </c:numCache>
            </c:numRef>
          </c:val>
          <c:smooth val="0"/>
          <c:extLst>
            <c:ext xmlns:c16="http://schemas.microsoft.com/office/drawing/2014/chart" uri="{C3380CC4-5D6E-409C-BE32-E72D297353CC}">
              <c16:uniqueId val="{00000004-58BC-4595-86CE-340E376C2DA2}"/>
            </c:ext>
          </c:extLst>
        </c:ser>
        <c:ser>
          <c:idx val="2"/>
          <c:order val="2"/>
          <c:tx>
            <c:strRef>
              <c:f>'[20230322_DS 03 - DS2022 - Grafici rating ENG_v1.xlsx]data'!$G$182</c:f>
              <c:strCache>
                <c:ptCount val="1"/>
                <c:pt idx="0">
                  <c:v>SME</c:v>
                </c:pt>
              </c:strCache>
            </c:strRef>
          </c:tx>
          <c:spPr>
            <a:ln w="19050">
              <a:solidFill>
                <a:schemeClr val="accent3"/>
              </a:solidFill>
            </a:ln>
          </c:spPr>
          <c:marker>
            <c:spPr>
              <a:solidFill>
                <a:schemeClr val="accent3"/>
              </a:solidFill>
              <a:ln>
                <a:noFill/>
              </a:ln>
            </c:spPr>
          </c:marker>
          <c:cat>
            <c:multiLvlStrRef>
              <c:f>'[20230322_DS 03 - DS2022 - Grafici rating ENG_v1.xlsx]data'!$A$184:$B$198</c:f>
              <c:multiLvlStrCache>
                <c:ptCount val="15"/>
                <c:lvl>
                  <c:pt idx="0">
                    <c:v>Defaults 2009</c:v>
                  </c:pt>
                  <c:pt idx="1">
                    <c:v>Defaults 2010</c:v>
                  </c:pt>
                  <c:pt idx="2">
                    <c:v>Defaults 2011</c:v>
                  </c:pt>
                  <c:pt idx="3">
                    <c:v>Defaults 2012</c:v>
                  </c:pt>
                  <c:pt idx="4">
                    <c:v>Defaults 2013</c:v>
                  </c:pt>
                  <c:pt idx="5">
                    <c:v>Defaults 2014</c:v>
                  </c:pt>
                  <c:pt idx="6">
                    <c:v>Defaults 2015</c:v>
                  </c:pt>
                  <c:pt idx="7">
                    <c:v>Defaults 2016</c:v>
                  </c:pt>
                  <c:pt idx="8">
                    <c:v>Defaults 2017</c:v>
                  </c:pt>
                  <c:pt idx="9">
                    <c:v>Defaults 2018</c:v>
                  </c:pt>
                  <c:pt idx="10">
                    <c:v>Defaults 2019</c:v>
                  </c:pt>
                  <c:pt idx="11">
                    <c:v>Defaults 2020</c:v>
                  </c:pt>
                  <c:pt idx="12">
                    <c:v>Defaults 2021</c:v>
                  </c:pt>
                  <c:pt idx="13">
                    <c:v>Defaults 2022</c:v>
                  </c:pt>
                  <c:pt idx="14">
                    <c:v>Defaults 2023</c:v>
                  </c:pt>
                </c:lvl>
                <c:lvl>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lvl>
              </c:multiLvlStrCache>
            </c:multiLvlStrRef>
          </c:cat>
          <c:val>
            <c:numRef>
              <c:f>'[20230322_DS 03 - DS2022 - Grafici rating ENG_v1.xlsx]data'!$G$184:$G$198</c:f>
              <c:numCache>
                <c:formatCode>0.00%</c:formatCode>
                <c:ptCount val="15"/>
                <c:pt idx="0">
                  <c:v>4.0119639929826582E-2</c:v>
                </c:pt>
                <c:pt idx="1">
                  <c:v>3.2225027390082407E-2</c:v>
                </c:pt>
                <c:pt idx="2">
                  <c:v>2.94848846459825E-2</c:v>
                </c:pt>
                <c:pt idx="3">
                  <c:v>4.0591545429590994E-2</c:v>
                </c:pt>
                <c:pt idx="4">
                  <c:v>3.8773030977930757E-2</c:v>
                </c:pt>
                <c:pt idx="5">
                  <c:v>3.6120208052398385E-2</c:v>
                </c:pt>
                <c:pt idx="6">
                  <c:v>3.3269191816892849E-2</c:v>
                </c:pt>
                <c:pt idx="7">
                  <c:v>2.4378623044548558E-2</c:v>
                </c:pt>
                <c:pt idx="8">
                  <c:v>1.6195161951619515E-2</c:v>
                </c:pt>
                <c:pt idx="9">
                  <c:v>1.5320910973084885E-2</c:v>
                </c:pt>
                <c:pt idx="10">
                  <c:v>1.4460234355522314E-2</c:v>
                </c:pt>
                <c:pt idx="11">
                  <c:v>1.0286302074404252E-2</c:v>
                </c:pt>
                <c:pt idx="12">
                  <c:v>5.6500571016409205E-3</c:v>
                </c:pt>
                <c:pt idx="13">
                  <c:v>5.0529588961228259E-3</c:v>
                </c:pt>
                <c:pt idx="14">
                  <c:v>7.4999999999999997E-3</c:v>
                </c:pt>
              </c:numCache>
            </c:numRef>
          </c:val>
          <c:smooth val="0"/>
          <c:extLst>
            <c:ext xmlns:c16="http://schemas.microsoft.com/office/drawing/2014/chart" uri="{C3380CC4-5D6E-409C-BE32-E72D297353CC}">
              <c16:uniqueId val="{00000005-58BC-4595-86CE-340E376C2DA2}"/>
            </c:ext>
          </c:extLst>
        </c:ser>
        <c:ser>
          <c:idx val="4"/>
          <c:order val="3"/>
          <c:tx>
            <c:strRef>
              <c:f>'[20230322_DS 03 - DS2022 - Grafici rating ENG_v1.xlsx]data'!$K$183</c:f>
              <c:strCache>
                <c:ptCount val="1"/>
                <c:pt idx="0">
                  <c:v>Average SMEs</c:v>
                </c:pt>
              </c:strCache>
            </c:strRef>
          </c:tx>
          <c:spPr>
            <a:ln w="19050">
              <a:solidFill>
                <a:schemeClr val="accent3">
                  <a:alpha val="97000"/>
                </a:schemeClr>
              </a:solidFill>
              <a:prstDash val="sysDot"/>
            </a:ln>
          </c:spPr>
          <c:marker>
            <c:symbol val="none"/>
          </c:marker>
          <c:cat>
            <c:multiLvlStrRef>
              <c:f>'[20230322_DS 03 - DS2022 - Grafici rating ENG_v1.xlsx]data'!$A$184:$B$198</c:f>
              <c:multiLvlStrCache>
                <c:ptCount val="15"/>
                <c:lvl>
                  <c:pt idx="0">
                    <c:v>Defaults 2009</c:v>
                  </c:pt>
                  <c:pt idx="1">
                    <c:v>Defaults 2010</c:v>
                  </c:pt>
                  <c:pt idx="2">
                    <c:v>Defaults 2011</c:v>
                  </c:pt>
                  <c:pt idx="3">
                    <c:v>Defaults 2012</c:v>
                  </c:pt>
                  <c:pt idx="4">
                    <c:v>Defaults 2013</c:v>
                  </c:pt>
                  <c:pt idx="5">
                    <c:v>Defaults 2014</c:v>
                  </c:pt>
                  <c:pt idx="6">
                    <c:v>Defaults 2015</c:v>
                  </c:pt>
                  <c:pt idx="7">
                    <c:v>Defaults 2016</c:v>
                  </c:pt>
                  <c:pt idx="8">
                    <c:v>Defaults 2017</c:v>
                  </c:pt>
                  <c:pt idx="9">
                    <c:v>Defaults 2018</c:v>
                  </c:pt>
                  <c:pt idx="10">
                    <c:v>Defaults 2019</c:v>
                  </c:pt>
                  <c:pt idx="11">
                    <c:v>Defaults 2020</c:v>
                  </c:pt>
                  <c:pt idx="12">
                    <c:v>Defaults 2021</c:v>
                  </c:pt>
                  <c:pt idx="13">
                    <c:v>Defaults 2022</c:v>
                  </c:pt>
                  <c:pt idx="14">
                    <c:v>Defaults 2023</c:v>
                  </c:pt>
                </c:lvl>
                <c:lvl>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lvl>
              </c:multiLvlStrCache>
            </c:multiLvlStrRef>
          </c:cat>
          <c:val>
            <c:numRef>
              <c:f>'[20230322_DS 03 - DS2022 - Grafici rating ENG_v1.xlsx]data'!$K$184:$K$198</c:f>
              <c:numCache>
                <c:formatCode>0.00%</c:formatCode>
                <c:ptCount val="15"/>
                <c:pt idx="0">
                  <c:v>2.7220509288967493E-2</c:v>
                </c:pt>
                <c:pt idx="1">
                  <c:v>2.7220509288967493E-2</c:v>
                </c:pt>
                <c:pt idx="2">
                  <c:v>2.7220509288967493E-2</c:v>
                </c:pt>
                <c:pt idx="3">
                  <c:v>2.7220509288967493E-2</c:v>
                </c:pt>
                <c:pt idx="4">
                  <c:v>2.7220509288967493E-2</c:v>
                </c:pt>
                <c:pt idx="5">
                  <c:v>2.7220509288967493E-2</c:v>
                </c:pt>
                <c:pt idx="6">
                  <c:v>2.7220509288967493E-2</c:v>
                </c:pt>
                <c:pt idx="7">
                  <c:v>2.7220509288967493E-2</c:v>
                </c:pt>
                <c:pt idx="8">
                  <c:v>2.7220509288967493E-2</c:v>
                </c:pt>
                <c:pt idx="9">
                  <c:v>2.7220509288967493E-2</c:v>
                </c:pt>
                <c:pt idx="10">
                  <c:v>2.7220509288967493E-2</c:v>
                </c:pt>
                <c:pt idx="11">
                  <c:v>2.7220509288967493E-2</c:v>
                </c:pt>
                <c:pt idx="12">
                  <c:v>2.7220509288967493E-2</c:v>
                </c:pt>
                <c:pt idx="13">
                  <c:v>2.7220509288967493E-2</c:v>
                </c:pt>
                <c:pt idx="14">
                  <c:v>2.7220509288967493E-2</c:v>
                </c:pt>
              </c:numCache>
            </c:numRef>
          </c:val>
          <c:smooth val="0"/>
          <c:extLst>
            <c:ext xmlns:c16="http://schemas.microsoft.com/office/drawing/2014/chart" uri="{C3380CC4-5D6E-409C-BE32-E72D297353CC}">
              <c16:uniqueId val="{00000006-58BC-4595-86CE-340E376C2DA2}"/>
            </c:ext>
          </c:extLst>
        </c:ser>
        <c:ser>
          <c:idx val="1"/>
          <c:order val="4"/>
          <c:tx>
            <c:strRef>
              <c:f>'[20230322_DS 03 - DS2022 - Grafici rating ENG_v1.xlsx]data'!$F$182</c:f>
              <c:strCache>
                <c:ptCount val="1"/>
                <c:pt idx="0">
                  <c:v>Large</c:v>
                </c:pt>
              </c:strCache>
            </c:strRef>
          </c:tx>
          <c:spPr>
            <a:ln w="19050">
              <a:solidFill>
                <a:schemeClr val="accent4"/>
              </a:solidFill>
            </a:ln>
          </c:spPr>
          <c:marker>
            <c:spPr>
              <a:solidFill>
                <a:schemeClr val="accent4"/>
              </a:solidFill>
              <a:ln>
                <a:noFill/>
              </a:ln>
            </c:spPr>
          </c:marker>
          <c:cat>
            <c:multiLvlStrRef>
              <c:f>'[20230322_DS 03 - DS2022 - Grafici rating ENG_v1.xlsx]data'!$A$184:$B$198</c:f>
              <c:multiLvlStrCache>
                <c:ptCount val="15"/>
                <c:lvl>
                  <c:pt idx="0">
                    <c:v>Defaults 2009</c:v>
                  </c:pt>
                  <c:pt idx="1">
                    <c:v>Defaults 2010</c:v>
                  </c:pt>
                  <c:pt idx="2">
                    <c:v>Defaults 2011</c:v>
                  </c:pt>
                  <c:pt idx="3">
                    <c:v>Defaults 2012</c:v>
                  </c:pt>
                  <c:pt idx="4">
                    <c:v>Defaults 2013</c:v>
                  </c:pt>
                  <c:pt idx="5">
                    <c:v>Defaults 2014</c:v>
                  </c:pt>
                  <c:pt idx="6">
                    <c:v>Defaults 2015</c:v>
                  </c:pt>
                  <c:pt idx="7">
                    <c:v>Defaults 2016</c:v>
                  </c:pt>
                  <c:pt idx="8">
                    <c:v>Defaults 2017</c:v>
                  </c:pt>
                  <c:pt idx="9">
                    <c:v>Defaults 2018</c:v>
                  </c:pt>
                  <c:pt idx="10">
                    <c:v>Defaults 2019</c:v>
                  </c:pt>
                  <c:pt idx="11">
                    <c:v>Defaults 2020</c:v>
                  </c:pt>
                  <c:pt idx="12">
                    <c:v>Defaults 2021</c:v>
                  </c:pt>
                  <c:pt idx="13">
                    <c:v>Defaults 2022</c:v>
                  </c:pt>
                  <c:pt idx="14">
                    <c:v>Defaults 2023</c:v>
                  </c:pt>
                </c:lvl>
                <c:lvl>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lvl>
              </c:multiLvlStrCache>
            </c:multiLvlStrRef>
          </c:cat>
          <c:val>
            <c:numRef>
              <c:f>'[20230322_DS 03 - DS2022 - Grafici rating ENG_v1.xlsx]data'!$F$184:$F$198</c:f>
              <c:numCache>
                <c:formatCode>0.00%</c:formatCode>
                <c:ptCount val="15"/>
                <c:pt idx="0">
                  <c:v>1.4273950041174856E-2</c:v>
                </c:pt>
                <c:pt idx="1">
                  <c:v>1.5684290412345054E-2</c:v>
                </c:pt>
                <c:pt idx="2">
                  <c:v>1.183920704845815E-2</c:v>
                </c:pt>
                <c:pt idx="3">
                  <c:v>2.0478800115373522E-2</c:v>
                </c:pt>
                <c:pt idx="4">
                  <c:v>2.6384243775548124E-2</c:v>
                </c:pt>
                <c:pt idx="5">
                  <c:v>1.5795411808950735E-2</c:v>
                </c:pt>
                <c:pt idx="6">
                  <c:v>1.5894487656408524E-2</c:v>
                </c:pt>
                <c:pt idx="7">
                  <c:v>9.6579476861167E-3</c:v>
                </c:pt>
                <c:pt idx="8">
                  <c:v>1.3736263736263736E-2</c:v>
                </c:pt>
                <c:pt idx="9">
                  <c:v>1.0034602076124567E-2</c:v>
                </c:pt>
                <c:pt idx="10">
                  <c:v>1.3765677577240747E-2</c:v>
                </c:pt>
                <c:pt idx="11">
                  <c:v>8.5984522785898538E-3</c:v>
                </c:pt>
                <c:pt idx="12">
                  <c:v>5.296905492054642E-3</c:v>
                </c:pt>
                <c:pt idx="13">
                  <c:v>3.8647342995169081E-3</c:v>
                </c:pt>
                <c:pt idx="14">
                  <c:v>3.0000000000000001E-3</c:v>
                </c:pt>
              </c:numCache>
            </c:numRef>
          </c:val>
          <c:smooth val="0"/>
          <c:extLst>
            <c:ext xmlns:c16="http://schemas.microsoft.com/office/drawing/2014/chart" uri="{C3380CC4-5D6E-409C-BE32-E72D297353CC}">
              <c16:uniqueId val="{00000007-58BC-4595-86CE-340E376C2DA2}"/>
            </c:ext>
          </c:extLst>
        </c:ser>
        <c:ser>
          <c:idx val="5"/>
          <c:order val="5"/>
          <c:tx>
            <c:strRef>
              <c:f>'[20230322_DS 03 - DS2022 - Grafici rating ENG_v1.xlsx]data'!$L$183</c:f>
              <c:strCache>
                <c:ptCount val="1"/>
                <c:pt idx="0">
                  <c:v>Average Large</c:v>
                </c:pt>
              </c:strCache>
            </c:strRef>
          </c:tx>
          <c:spPr>
            <a:ln w="19050">
              <a:solidFill>
                <a:schemeClr val="accent4"/>
              </a:solidFill>
              <a:prstDash val="sysDot"/>
            </a:ln>
          </c:spPr>
          <c:marker>
            <c:symbol val="none"/>
          </c:marker>
          <c:cat>
            <c:multiLvlStrRef>
              <c:f>'[20230322_DS 03 - DS2022 - Grafici rating ENG_v1.xlsx]data'!$A$184:$B$198</c:f>
              <c:multiLvlStrCache>
                <c:ptCount val="15"/>
                <c:lvl>
                  <c:pt idx="0">
                    <c:v>Defaults 2009</c:v>
                  </c:pt>
                  <c:pt idx="1">
                    <c:v>Defaults 2010</c:v>
                  </c:pt>
                  <c:pt idx="2">
                    <c:v>Defaults 2011</c:v>
                  </c:pt>
                  <c:pt idx="3">
                    <c:v>Defaults 2012</c:v>
                  </c:pt>
                  <c:pt idx="4">
                    <c:v>Defaults 2013</c:v>
                  </c:pt>
                  <c:pt idx="5">
                    <c:v>Defaults 2014</c:v>
                  </c:pt>
                  <c:pt idx="6">
                    <c:v>Defaults 2015</c:v>
                  </c:pt>
                  <c:pt idx="7">
                    <c:v>Defaults 2016</c:v>
                  </c:pt>
                  <c:pt idx="8">
                    <c:v>Defaults 2017</c:v>
                  </c:pt>
                  <c:pt idx="9">
                    <c:v>Defaults 2018</c:v>
                  </c:pt>
                  <c:pt idx="10">
                    <c:v>Defaults 2019</c:v>
                  </c:pt>
                  <c:pt idx="11">
                    <c:v>Defaults 2020</c:v>
                  </c:pt>
                  <c:pt idx="12">
                    <c:v>Defaults 2021</c:v>
                  </c:pt>
                  <c:pt idx="13">
                    <c:v>Defaults 2022</c:v>
                  </c:pt>
                  <c:pt idx="14">
                    <c:v>Defaults 2023</c:v>
                  </c:pt>
                </c:lvl>
                <c:lvl>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lvl>
              </c:multiLvlStrCache>
            </c:multiLvlStrRef>
          </c:cat>
          <c:val>
            <c:numRef>
              <c:f>'[20230322_DS 03 - DS2022 - Grafici rating ENG_v1.xlsx]data'!$L$184:$L$198</c:f>
              <c:numCache>
                <c:formatCode>0.00%</c:formatCode>
                <c:ptCount val="15"/>
                <c:pt idx="0">
                  <c:v>1.236738154819763E-2</c:v>
                </c:pt>
                <c:pt idx="1">
                  <c:v>1.236738154819763E-2</c:v>
                </c:pt>
                <c:pt idx="2">
                  <c:v>1.236738154819763E-2</c:v>
                </c:pt>
                <c:pt idx="3">
                  <c:v>1.236738154819763E-2</c:v>
                </c:pt>
                <c:pt idx="4">
                  <c:v>1.236738154819763E-2</c:v>
                </c:pt>
                <c:pt idx="5">
                  <c:v>1.236738154819763E-2</c:v>
                </c:pt>
                <c:pt idx="6">
                  <c:v>1.236738154819763E-2</c:v>
                </c:pt>
                <c:pt idx="7">
                  <c:v>1.236738154819763E-2</c:v>
                </c:pt>
                <c:pt idx="8">
                  <c:v>1.236738154819763E-2</c:v>
                </c:pt>
                <c:pt idx="9">
                  <c:v>1.236738154819763E-2</c:v>
                </c:pt>
                <c:pt idx="10">
                  <c:v>1.236738154819763E-2</c:v>
                </c:pt>
                <c:pt idx="11">
                  <c:v>1.236738154819763E-2</c:v>
                </c:pt>
                <c:pt idx="12">
                  <c:v>1.236738154819763E-2</c:v>
                </c:pt>
                <c:pt idx="13">
                  <c:v>1.236738154819763E-2</c:v>
                </c:pt>
                <c:pt idx="14">
                  <c:v>1.236738154819763E-2</c:v>
                </c:pt>
              </c:numCache>
            </c:numRef>
          </c:val>
          <c:smooth val="0"/>
          <c:extLst>
            <c:ext xmlns:c16="http://schemas.microsoft.com/office/drawing/2014/chart" uri="{C3380CC4-5D6E-409C-BE32-E72D297353CC}">
              <c16:uniqueId val="{00000008-58BC-4595-86CE-340E376C2DA2}"/>
            </c:ext>
          </c:extLst>
        </c:ser>
        <c:dLbls>
          <c:showLegendKey val="0"/>
          <c:showVal val="0"/>
          <c:showCatName val="0"/>
          <c:showSerName val="0"/>
          <c:showPercent val="0"/>
          <c:showBubbleSize val="0"/>
        </c:dLbls>
        <c:marker val="1"/>
        <c:smooth val="0"/>
        <c:axId val="251477624"/>
        <c:axId val="251479584"/>
      </c:lineChart>
      <c:catAx>
        <c:axId val="251477624"/>
        <c:scaling>
          <c:orientation val="minMax"/>
        </c:scaling>
        <c:delete val="0"/>
        <c:axPos val="b"/>
        <c:numFmt formatCode="General" sourceLinked="0"/>
        <c:majorTickMark val="out"/>
        <c:minorTickMark val="none"/>
        <c:tickLblPos val="low"/>
        <c:txPr>
          <a:bodyPr/>
          <a:lstStyle/>
          <a:p>
            <a:pPr>
              <a:defRPr sz="700"/>
            </a:pPr>
            <a:endParaRPr lang="it-IT"/>
          </a:p>
        </c:txPr>
        <c:crossAx val="251479584"/>
        <c:crosses val="autoZero"/>
        <c:auto val="1"/>
        <c:lblAlgn val="ctr"/>
        <c:lblOffset val="100"/>
        <c:noMultiLvlLbl val="0"/>
      </c:catAx>
      <c:valAx>
        <c:axId val="251479584"/>
        <c:scaling>
          <c:orientation val="minMax"/>
        </c:scaling>
        <c:delete val="0"/>
        <c:axPos val="l"/>
        <c:numFmt formatCode="0.00%" sourceLinked="1"/>
        <c:majorTickMark val="out"/>
        <c:minorTickMark val="none"/>
        <c:tickLblPos val="nextTo"/>
        <c:crossAx val="251477624"/>
        <c:crosses val="autoZero"/>
        <c:crossBetween val="between"/>
      </c:valAx>
    </c:plotArea>
    <c:legend>
      <c:legendPos val="t"/>
      <c:overlay val="0"/>
      <c:txPr>
        <a:bodyPr/>
        <a:lstStyle/>
        <a:p>
          <a:pPr>
            <a:defRPr sz="600"/>
          </a:pPr>
          <a:endParaRPr lang="it-IT"/>
        </a:p>
      </c:txPr>
    </c:legend>
    <c:plotVisOnly val="1"/>
    <c:dispBlanksAs val="gap"/>
    <c:showDLblsOverMax val="0"/>
  </c:chart>
  <c:spPr>
    <a:ln>
      <a:noFill/>
    </a:ln>
  </c:spPr>
  <c:txPr>
    <a:bodyPr/>
    <a:lstStyle/>
    <a:p>
      <a:pPr>
        <a:defRPr sz="700">
          <a:latin typeface="Source Sans Pro" panose="020B0503030403020204" pitchFamily="34" charset="0"/>
        </a:defRPr>
      </a:pPr>
      <a:endParaRPr lang="it-IT"/>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en-US" sz="700"/>
              <a:t>Breakdown of defaulted rated entities by risk categories</a:t>
            </a:r>
          </a:p>
          <a:p>
            <a:pPr>
              <a:defRPr/>
            </a:pPr>
            <a:r>
              <a:rPr lang="en-US" sz="700" b="0"/>
              <a:t>1-year default events </a:t>
            </a:r>
          </a:p>
        </c:rich>
      </c:tx>
      <c:overlay val="0"/>
    </c:title>
    <c:autoTitleDeleted val="0"/>
    <c:plotArea>
      <c:layout/>
      <c:barChart>
        <c:barDir val="col"/>
        <c:grouping val="percentStacked"/>
        <c:varyColors val="0"/>
        <c:ser>
          <c:idx val="0"/>
          <c:order val="0"/>
          <c:tx>
            <c:strRef>
              <c:f>'[20230322_DS 03 - DS2022 - Grafici rating ENG_v1.xlsx]data'!$C$204</c:f>
              <c:strCache>
                <c:ptCount val="1"/>
                <c:pt idx="0">
                  <c:v>Investment</c:v>
                </c:pt>
              </c:strCache>
            </c:strRef>
          </c:tx>
          <c:invertIfNegative val="0"/>
          <c:cat>
            <c:multiLvlStrRef>
              <c:f>'[20230322_DS 03 - DS2022 - Grafici rating ENG_v1.xlsx]data'!$A$205:$B$220</c:f>
              <c:multiLvlStrCache>
                <c:ptCount val="16"/>
                <c:lvl>
                  <c:pt idx="0">
                    <c:v>Defaults 2009</c:v>
                  </c:pt>
                  <c:pt idx="1">
                    <c:v>Defaults 2010</c:v>
                  </c:pt>
                  <c:pt idx="2">
                    <c:v>Defaults 2011</c:v>
                  </c:pt>
                  <c:pt idx="3">
                    <c:v>Defaults 2012</c:v>
                  </c:pt>
                  <c:pt idx="4">
                    <c:v>Defaults 2013</c:v>
                  </c:pt>
                  <c:pt idx="5">
                    <c:v>Defaults 2014</c:v>
                  </c:pt>
                  <c:pt idx="6">
                    <c:v>Defaults 2015</c:v>
                  </c:pt>
                  <c:pt idx="7">
                    <c:v>Defaults 2016</c:v>
                  </c:pt>
                  <c:pt idx="8">
                    <c:v>Defaults 2017</c:v>
                  </c:pt>
                  <c:pt idx="9">
                    <c:v>Defaults 2018</c:v>
                  </c:pt>
                  <c:pt idx="10">
                    <c:v>Defaults 2019</c:v>
                  </c:pt>
                  <c:pt idx="11">
                    <c:v>Defaults 2020</c:v>
                  </c:pt>
                  <c:pt idx="12">
                    <c:v>Defaults 2021</c:v>
                  </c:pt>
                  <c:pt idx="13">
                    <c:v>Defaults 2022</c:v>
                  </c:pt>
                  <c:pt idx="14">
                    <c:v>Defaults 2023</c:v>
                  </c:pt>
                  <c:pt idx="15">
                    <c:v>2009-2023</c:v>
                  </c:pt>
                </c:lvl>
                <c:lvl>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pt idx="15">
                    <c:v>Average</c:v>
                  </c:pt>
                </c:lvl>
              </c:multiLvlStrCache>
            </c:multiLvlStrRef>
          </c:cat>
          <c:val>
            <c:numRef>
              <c:f>'[20230322_DS 03 - DS2022 - Grafici rating ENG_v1.xlsx]data'!$C$205:$C$220</c:f>
              <c:numCache>
                <c:formatCode>0.00%</c:formatCode>
                <c:ptCount val="16"/>
                <c:pt idx="0">
                  <c:v>2.9184549356223177E-2</c:v>
                </c:pt>
                <c:pt idx="1">
                  <c:v>2.7636168500134155E-2</c:v>
                </c:pt>
                <c:pt idx="2">
                  <c:v>4.7687861271676298E-2</c:v>
                </c:pt>
                <c:pt idx="3">
                  <c:v>5.9824046920821113E-2</c:v>
                </c:pt>
                <c:pt idx="4">
                  <c:v>5.53877139979859E-2</c:v>
                </c:pt>
                <c:pt idx="5">
                  <c:v>9.1966173361522199E-2</c:v>
                </c:pt>
                <c:pt idx="6">
                  <c:v>9.0401785714285712E-2</c:v>
                </c:pt>
                <c:pt idx="7">
                  <c:v>8.3333333333333329E-2</c:v>
                </c:pt>
                <c:pt idx="8">
                  <c:v>7.0175438596491224E-2</c:v>
                </c:pt>
                <c:pt idx="9">
                  <c:v>5.5718475073313782E-2</c:v>
                </c:pt>
                <c:pt idx="10">
                  <c:v>8.3582089552238809E-2</c:v>
                </c:pt>
                <c:pt idx="11">
                  <c:v>9.6638655462184878E-2</c:v>
                </c:pt>
                <c:pt idx="12">
                  <c:v>0.05</c:v>
                </c:pt>
                <c:pt idx="13">
                  <c:v>5.7971014492753624E-2</c:v>
                </c:pt>
                <c:pt idx="14">
                  <c:v>6.7307692307692304E-2</c:v>
                </c:pt>
                <c:pt idx="15">
                  <c:v>4.9145813282001925E-2</c:v>
                </c:pt>
              </c:numCache>
            </c:numRef>
          </c:val>
          <c:extLst>
            <c:ext xmlns:c16="http://schemas.microsoft.com/office/drawing/2014/chart" uri="{C3380CC4-5D6E-409C-BE32-E72D297353CC}">
              <c16:uniqueId val="{00000000-1A85-4BBE-B5CC-BAAC282B2260}"/>
            </c:ext>
          </c:extLst>
        </c:ser>
        <c:ser>
          <c:idx val="1"/>
          <c:order val="1"/>
          <c:tx>
            <c:strRef>
              <c:f>'[20230322_DS 03 - DS2022 - Grafici rating ENG_v1.xlsx]data'!$D$204</c:f>
              <c:strCache>
                <c:ptCount val="1"/>
                <c:pt idx="0">
                  <c:v>Speculative</c:v>
                </c:pt>
              </c:strCache>
            </c:strRef>
          </c:tx>
          <c:invertIfNegative val="0"/>
          <c:dLbls>
            <c:spPr>
              <a:noFill/>
              <a:ln>
                <a:noFill/>
              </a:ln>
              <a:effectLst/>
            </c:spPr>
            <c:txPr>
              <a:bodyPr/>
              <a:lstStyle/>
              <a:p>
                <a:pPr>
                  <a:defRPr b="1">
                    <a:solidFill>
                      <a:schemeClr val="bg1"/>
                    </a:solidFil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'[20230322_DS 03 - DS2022 - Grafici rating ENG_v1.xlsx]data'!$A$205:$B$220</c:f>
              <c:multiLvlStrCache>
                <c:ptCount val="16"/>
                <c:lvl>
                  <c:pt idx="0">
                    <c:v>Defaults 2009</c:v>
                  </c:pt>
                  <c:pt idx="1">
                    <c:v>Defaults 2010</c:v>
                  </c:pt>
                  <c:pt idx="2">
                    <c:v>Defaults 2011</c:v>
                  </c:pt>
                  <c:pt idx="3">
                    <c:v>Defaults 2012</c:v>
                  </c:pt>
                  <c:pt idx="4">
                    <c:v>Defaults 2013</c:v>
                  </c:pt>
                  <c:pt idx="5">
                    <c:v>Defaults 2014</c:v>
                  </c:pt>
                  <c:pt idx="6">
                    <c:v>Defaults 2015</c:v>
                  </c:pt>
                  <c:pt idx="7">
                    <c:v>Defaults 2016</c:v>
                  </c:pt>
                  <c:pt idx="8">
                    <c:v>Defaults 2017</c:v>
                  </c:pt>
                  <c:pt idx="9">
                    <c:v>Defaults 2018</c:v>
                  </c:pt>
                  <c:pt idx="10">
                    <c:v>Defaults 2019</c:v>
                  </c:pt>
                  <c:pt idx="11">
                    <c:v>Defaults 2020</c:v>
                  </c:pt>
                  <c:pt idx="12">
                    <c:v>Defaults 2021</c:v>
                  </c:pt>
                  <c:pt idx="13">
                    <c:v>Defaults 2022</c:v>
                  </c:pt>
                  <c:pt idx="14">
                    <c:v>Defaults 2023</c:v>
                  </c:pt>
                  <c:pt idx="15">
                    <c:v>2009-2023</c:v>
                  </c:pt>
                </c:lvl>
                <c:lvl>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pt idx="15">
                    <c:v>Average</c:v>
                  </c:pt>
                </c:lvl>
              </c:multiLvlStrCache>
            </c:multiLvlStrRef>
          </c:cat>
          <c:val>
            <c:numRef>
              <c:f>'[20230322_DS 03 - DS2022 - Grafici rating ENG_v1.xlsx]data'!$D$205:$D$220</c:f>
              <c:numCache>
                <c:formatCode>0.00%</c:formatCode>
                <c:ptCount val="16"/>
                <c:pt idx="0">
                  <c:v>0.97081545064377683</c:v>
                </c:pt>
                <c:pt idx="1">
                  <c:v>0.97236383149986583</c:v>
                </c:pt>
                <c:pt idx="2">
                  <c:v>0.95231213872832365</c:v>
                </c:pt>
                <c:pt idx="3">
                  <c:v>0.94017595307917889</c:v>
                </c:pt>
                <c:pt idx="4">
                  <c:v>0.94461228600201408</c:v>
                </c:pt>
                <c:pt idx="5">
                  <c:v>0.90803382663847776</c:v>
                </c:pt>
                <c:pt idx="6">
                  <c:v>0.9095982142857143</c:v>
                </c:pt>
                <c:pt idx="7">
                  <c:v>0.91666666666666663</c:v>
                </c:pt>
                <c:pt idx="8">
                  <c:v>0.92982456140350878</c:v>
                </c:pt>
                <c:pt idx="9">
                  <c:v>0.94428152492668627</c:v>
                </c:pt>
                <c:pt idx="10">
                  <c:v>0.91641791044776122</c:v>
                </c:pt>
                <c:pt idx="11">
                  <c:v>0.90336134453781514</c:v>
                </c:pt>
                <c:pt idx="12">
                  <c:v>0.95</c:v>
                </c:pt>
                <c:pt idx="13">
                  <c:v>0.94202898550724634</c:v>
                </c:pt>
                <c:pt idx="14">
                  <c:v>0.93269230769230771</c:v>
                </c:pt>
                <c:pt idx="15">
                  <c:v>0.95085418671799804</c:v>
                </c:pt>
              </c:numCache>
            </c:numRef>
          </c:val>
          <c:extLst>
            <c:ext xmlns:c16="http://schemas.microsoft.com/office/drawing/2014/chart" uri="{C3380CC4-5D6E-409C-BE32-E72D297353CC}">
              <c16:uniqueId val="{00000001-1A85-4BBE-B5CC-BAAC282B2260}"/>
            </c:ext>
          </c:extLst>
        </c:ser>
        <c:dLbls>
          <c:showLegendKey val="0"/>
          <c:showVal val="0"/>
          <c:showCatName val="0"/>
          <c:showSerName val="0"/>
          <c:showPercent val="0"/>
          <c:showBubbleSize val="0"/>
        </c:dLbls>
        <c:gapWidth val="15"/>
        <c:overlap val="100"/>
        <c:axId val="251480368"/>
        <c:axId val="255175104"/>
      </c:barChart>
      <c:catAx>
        <c:axId val="251480368"/>
        <c:scaling>
          <c:orientation val="minMax"/>
        </c:scaling>
        <c:delete val="0"/>
        <c:axPos val="b"/>
        <c:numFmt formatCode="General" sourceLinked="0"/>
        <c:majorTickMark val="out"/>
        <c:minorTickMark val="none"/>
        <c:tickLblPos val="nextTo"/>
        <c:txPr>
          <a:bodyPr/>
          <a:lstStyle/>
          <a:p>
            <a:pPr>
              <a:defRPr sz="700"/>
            </a:pPr>
            <a:endParaRPr lang="it-IT"/>
          </a:p>
        </c:txPr>
        <c:crossAx val="255175104"/>
        <c:crosses val="autoZero"/>
        <c:auto val="1"/>
        <c:lblAlgn val="ctr"/>
        <c:lblOffset val="100"/>
        <c:noMultiLvlLbl val="0"/>
      </c:catAx>
      <c:valAx>
        <c:axId val="255175104"/>
        <c:scaling>
          <c:orientation val="minMax"/>
        </c:scaling>
        <c:delete val="1"/>
        <c:axPos val="l"/>
        <c:numFmt formatCode="0%" sourceLinked="1"/>
        <c:majorTickMark val="out"/>
        <c:minorTickMark val="none"/>
        <c:tickLblPos val="nextTo"/>
        <c:crossAx val="251480368"/>
        <c:crosses val="autoZero"/>
        <c:crossBetween val="between"/>
      </c:valAx>
    </c:plotArea>
    <c:legend>
      <c:legendPos val="b"/>
      <c:overlay val="0"/>
    </c:legend>
    <c:plotVisOnly val="1"/>
    <c:dispBlanksAs val="gap"/>
    <c:showDLblsOverMax val="0"/>
  </c:chart>
  <c:spPr>
    <a:ln>
      <a:noFill/>
    </a:ln>
  </c:spPr>
  <c:txPr>
    <a:bodyPr/>
    <a:lstStyle/>
    <a:p>
      <a:pPr>
        <a:defRPr sz="700">
          <a:latin typeface="Source Sans Pro" panose="020B0503030403020204" pitchFamily="34" charset="0"/>
        </a:defRPr>
      </a:pPr>
      <a:endParaRPr lang="it-IT"/>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en-US" sz="700"/>
              <a:t>Average 1-year default rates by rating grade</a:t>
            </a:r>
          </a:p>
          <a:p>
            <a:pPr>
              <a:defRPr/>
            </a:pPr>
            <a:r>
              <a:rPr lang="en-US" sz="700" b="0"/>
              <a:t>Investment, speculative and total portfolio</a:t>
            </a:r>
          </a:p>
        </c:rich>
      </c:tx>
      <c:overlay val="0"/>
    </c:title>
    <c:autoTitleDeleted val="0"/>
    <c:plotArea>
      <c:layout>
        <c:manualLayout>
          <c:layoutTarget val="inner"/>
          <c:xMode val="edge"/>
          <c:yMode val="edge"/>
          <c:x val="4.0445717381577789E-2"/>
          <c:y val="0.17042325385843099"/>
          <c:w val="0.94466244000133925"/>
          <c:h val="0.64952289206461944"/>
        </c:manualLayout>
      </c:layout>
      <c:lineChart>
        <c:grouping val="standard"/>
        <c:varyColors val="0"/>
        <c:ser>
          <c:idx val="1"/>
          <c:order val="0"/>
          <c:tx>
            <c:strRef>
              <c:f>'[20230322_DS 03 - DS2022 - Grafici rating ENG_v1.xlsx]data'!$C$225</c:f>
              <c:strCache>
                <c:ptCount val="1"/>
                <c:pt idx="0">
                  <c:v>Investment</c:v>
                </c:pt>
              </c:strCache>
            </c:strRef>
          </c:tx>
          <c:spPr>
            <a:ln>
              <a:solidFill>
                <a:schemeClr val="accent2">
                  <a:alpha val="99000"/>
                </a:schemeClr>
              </a:solidFill>
            </a:ln>
          </c:spPr>
          <c:marker>
            <c:spPr>
              <a:solidFill>
                <a:schemeClr val="accent2"/>
              </a:solidFill>
              <a:ln>
                <a:noFill/>
              </a:ln>
            </c:spPr>
          </c:marker>
          <c:dPt>
            <c:idx val="9"/>
            <c:bubble3D val="0"/>
            <c:extLst>
              <c:ext xmlns:c16="http://schemas.microsoft.com/office/drawing/2014/chart" uri="{C3380CC4-5D6E-409C-BE32-E72D297353CC}">
                <c16:uniqueId val="{00000000-92DA-4A6D-9D05-AE26C5E94442}"/>
              </c:ext>
            </c:extLst>
          </c:dPt>
          <c:dPt>
            <c:idx val="10"/>
            <c:bubble3D val="0"/>
            <c:extLst>
              <c:ext xmlns:c16="http://schemas.microsoft.com/office/drawing/2014/chart" uri="{C3380CC4-5D6E-409C-BE32-E72D297353CC}">
                <c16:uniqueId val="{00000001-92DA-4A6D-9D05-AE26C5E94442}"/>
              </c:ext>
            </c:extLst>
          </c:dPt>
          <c:dPt>
            <c:idx val="11"/>
            <c:bubble3D val="0"/>
            <c:extLst>
              <c:ext xmlns:c16="http://schemas.microsoft.com/office/drawing/2014/chart" uri="{C3380CC4-5D6E-409C-BE32-E72D297353CC}">
                <c16:uniqueId val="{00000002-92DA-4A6D-9D05-AE26C5E94442}"/>
              </c:ext>
            </c:extLst>
          </c:dPt>
          <c:dPt>
            <c:idx val="12"/>
            <c:bubble3D val="0"/>
            <c:extLst>
              <c:ext xmlns:c16="http://schemas.microsoft.com/office/drawing/2014/chart" uri="{C3380CC4-5D6E-409C-BE32-E72D297353CC}">
                <c16:uniqueId val="{00000003-92DA-4A6D-9D05-AE26C5E94442}"/>
              </c:ext>
            </c:extLst>
          </c:dPt>
          <c:dPt>
            <c:idx val="13"/>
            <c:bubble3D val="0"/>
            <c:extLst>
              <c:ext xmlns:c16="http://schemas.microsoft.com/office/drawing/2014/chart" uri="{C3380CC4-5D6E-409C-BE32-E72D297353CC}">
                <c16:uniqueId val="{00000004-92DA-4A6D-9D05-AE26C5E94442}"/>
              </c:ext>
            </c:extLst>
          </c:dPt>
          <c:dPt>
            <c:idx val="14"/>
            <c:bubble3D val="0"/>
            <c:extLst>
              <c:ext xmlns:c16="http://schemas.microsoft.com/office/drawing/2014/chart" uri="{C3380CC4-5D6E-409C-BE32-E72D297353CC}">
                <c16:uniqueId val="{00000005-92DA-4A6D-9D05-AE26C5E94442}"/>
              </c:ext>
            </c:extLst>
          </c:dPt>
          <c:dPt>
            <c:idx val="15"/>
            <c:bubble3D val="0"/>
            <c:spPr>
              <a:ln>
                <a:noFill/>
              </a:ln>
            </c:spPr>
            <c:extLst>
              <c:ext xmlns:c16="http://schemas.microsoft.com/office/drawing/2014/chart" uri="{C3380CC4-5D6E-409C-BE32-E72D297353CC}">
                <c16:uniqueId val="{00000007-92DA-4A6D-9D05-AE26C5E94442}"/>
              </c:ext>
            </c:extLst>
          </c:dPt>
          <c:dLbls>
            <c:dLbl>
              <c:idx val="15"/>
              <c:layout>
                <c:manualLayout>
                  <c:x val="-2.1260146888287593E-2"/>
                  <c:y val="-2.96076980014803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2DA-4A6D-9D05-AE26C5E94442}"/>
                </c:ext>
              </c:extLst>
            </c:dLbl>
            <c:spPr>
              <a:noFill/>
              <a:ln>
                <a:noFill/>
              </a:ln>
              <a:effectLst/>
            </c:spPr>
            <c:txPr>
              <a:bodyPr wrap="square" lIns="38100" tIns="19050" rIns="38100" bIns="19050" anchor="ctr">
                <a:spAutoFit/>
              </a:bodyPr>
              <a:lstStyle/>
              <a:p>
                <a:pPr>
                  <a:defRPr sz="700" b="1"/>
                </a:pPr>
                <a:endParaRPr lang="it-IT"/>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[1]data!$A$226:$B$241</c:f>
              <c:multiLvlStrCache>
                <c:ptCount val="16"/>
                <c:lvl>
                  <c:pt idx="0">
                    <c:v>Defaults 2009</c:v>
                  </c:pt>
                  <c:pt idx="1">
                    <c:v>Defaults 2010</c:v>
                  </c:pt>
                  <c:pt idx="2">
                    <c:v>Defaults 2011</c:v>
                  </c:pt>
                  <c:pt idx="3">
                    <c:v>Defaults 2012</c:v>
                  </c:pt>
                  <c:pt idx="4">
                    <c:v>Defaults 2013</c:v>
                  </c:pt>
                  <c:pt idx="5">
                    <c:v>Defaults 2014</c:v>
                  </c:pt>
                  <c:pt idx="6">
                    <c:v>Defaults 2015</c:v>
                  </c:pt>
                  <c:pt idx="7">
                    <c:v>Defaults 2016</c:v>
                  </c:pt>
                  <c:pt idx="8">
                    <c:v>Defaults 2017</c:v>
                  </c:pt>
                  <c:pt idx="9">
                    <c:v>Defaults 2018</c:v>
                  </c:pt>
                  <c:pt idx="10">
                    <c:v>Defaults 2019</c:v>
                  </c:pt>
                  <c:pt idx="11">
                    <c:v>Defaults 2020</c:v>
                  </c:pt>
                  <c:pt idx="12">
                    <c:v>Defaults 2021</c:v>
                  </c:pt>
                  <c:pt idx="13">
                    <c:v>Defaults 2022</c:v>
                  </c:pt>
                  <c:pt idx="14">
                    <c:v>Defaults 2023</c:v>
                  </c:pt>
                  <c:pt idx="15">
                    <c:v>2009-2023</c:v>
                  </c:pt>
                </c:lvl>
                <c:lvl>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pt idx="15">
                    <c:v>Average</c:v>
                  </c:pt>
                </c:lvl>
              </c:multiLvlStrCache>
            </c:multiLvlStrRef>
          </c:cat>
          <c:val>
            <c:numRef>
              <c:f>[1]data!$C$226:$C$241</c:f>
              <c:numCache>
                <c:formatCode>0.00%</c:formatCode>
                <c:ptCount val="16"/>
                <c:pt idx="0">
                  <c:v>3.7226277372262775E-3</c:v>
                </c:pt>
                <c:pt idx="1">
                  <c:v>2.6674954031025819E-3</c:v>
                </c:pt>
                <c:pt idx="2">
                  <c:v>3.8386599587053247E-3</c:v>
                </c:pt>
                <c:pt idx="3">
                  <c:v>4.6737536656891497E-3</c:v>
                </c:pt>
                <c:pt idx="4">
                  <c:v>3.7262872628726286E-3</c:v>
                </c:pt>
                <c:pt idx="5">
                  <c:v>5.1903114186851208E-3</c:v>
                </c:pt>
                <c:pt idx="6">
                  <c:v>5.1906440243511699E-3</c:v>
                </c:pt>
                <c:pt idx="7">
                  <c:v>3.5150968904912121E-3</c:v>
                </c:pt>
                <c:pt idx="8">
                  <c:v>2.1959062034350245E-3</c:v>
                </c:pt>
                <c:pt idx="9">
                  <c:v>1.5489972281102233E-3</c:v>
                </c:pt>
                <c:pt idx="10">
                  <c:v>2.0601868883820176E-3</c:v>
                </c:pt>
                <c:pt idx="11">
                  <c:v>1.4707763141066632E-3</c:v>
                </c:pt>
                <c:pt idx="12">
                  <c:v>5.6684751801765328E-4</c:v>
                </c:pt>
                <c:pt idx="13">
                  <c:v>5.2219321148825064E-4</c:v>
                </c:pt>
                <c:pt idx="14">
                  <c:v>8.5879033247454302E-4</c:v>
                </c:pt>
                <c:pt idx="15">
                  <c:v>3.1082129867758281E-3</c:v>
                </c:pt>
              </c:numCache>
            </c:numRef>
          </c:val>
          <c:smooth val="0"/>
          <c:extLst>
            <c:ext xmlns:c16="http://schemas.microsoft.com/office/drawing/2014/chart" uri="{C3380CC4-5D6E-409C-BE32-E72D297353CC}">
              <c16:uniqueId val="{00000008-92DA-4A6D-9D05-AE26C5E94442}"/>
            </c:ext>
          </c:extLst>
        </c:ser>
        <c:ser>
          <c:idx val="2"/>
          <c:order val="1"/>
          <c:tx>
            <c:strRef>
              <c:f>'[20230322_DS 03 - DS2022 - Grafici rating ENG_v1.xlsx]data'!$D$225</c:f>
              <c:strCache>
                <c:ptCount val="1"/>
                <c:pt idx="0">
                  <c:v>Speculative</c:v>
                </c:pt>
              </c:strCache>
            </c:strRef>
          </c:tx>
          <c:spPr>
            <a:ln>
              <a:solidFill>
                <a:schemeClr val="accent3"/>
              </a:solidFill>
            </a:ln>
          </c:spPr>
          <c:marker>
            <c:spPr>
              <a:solidFill>
                <a:schemeClr val="accent3"/>
              </a:solidFill>
              <a:ln>
                <a:noFill/>
              </a:ln>
            </c:spPr>
          </c:marker>
          <c:dPt>
            <c:idx val="9"/>
            <c:bubble3D val="0"/>
            <c:extLst>
              <c:ext xmlns:c16="http://schemas.microsoft.com/office/drawing/2014/chart" uri="{C3380CC4-5D6E-409C-BE32-E72D297353CC}">
                <c16:uniqueId val="{00000009-92DA-4A6D-9D05-AE26C5E94442}"/>
              </c:ext>
            </c:extLst>
          </c:dPt>
          <c:dPt>
            <c:idx val="10"/>
            <c:bubble3D val="0"/>
            <c:extLst>
              <c:ext xmlns:c16="http://schemas.microsoft.com/office/drawing/2014/chart" uri="{C3380CC4-5D6E-409C-BE32-E72D297353CC}">
                <c16:uniqueId val="{0000000A-92DA-4A6D-9D05-AE26C5E94442}"/>
              </c:ext>
            </c:extLst>
          </c:dPt>
          <c:dPt>
            <c:idx val="11"/>
            <c:bubble3D val="0"/>
            <c:extLst>
              <c:ext xmlns:c16="http://schemas.microsoft.com/office/drawing/2014/chart" uri="{C3380CC4-5D6E-409C-BE32-E72D297353CC}">
                <c16:uniqueId val="{0000000B-92DA-4A6D-9D05-AE26C5E94442}"/>
              </c:ext>
            </c:extLst>
          </c:dPt>
          <c:dPt>
            <c:idx val="12"/>
            <c:bubble3D val="0"/>
            <c:extLst>
              <c:ext xmlns:c16="http://schemas.microsoft.com/office/drawing/2014/chart" uri="{C3380CC4-5D6E-409C-BE32-E72D297353CC}">
                <c16:uniqueId val="{0000000C-92DA-4A6D-9D05-AE26C5E94442}"/>
              </c:ext>
            </c:extLst>
          </c:dPt>
          <c:dPt>
            <c:idx val="13"/>
            <c:bubble3D val="0"/>
            <c:extLst>
              <c:ext xmlns:c16="http://schemas.microsoft.com/office/drawing/2014/chart" uri="{C3380CC4-5D6E-409C-BE32-E72D297353CC}">
                <c16:uniqueId val="{0000000E-92DA-4A6D-9D05-AE26C5E94442}"/>
              </c:ext>
            </c:extLst>
          </c:dPt>
          <c:dPt>
            <c:idx val="14"/>
            <c:bubble3D val="0"/>
            <c:extLst>
              <c:ext xmlns:c16="http://schemas.microsoft.com/office/drawing/2014/chart" uri="{C3380CC4-5D6E-409C-BE32-E72D297353CC}">
                <c16:uniqueId val="{00000010-92DA-4A6D-9D05-AE26C5E94442}"/>
              </c:ext>
            </c:extLst>
          </c:dPt>
          <c:dPt>
            <c:idx val="15"/>
            <c:marker>
              <c:spPr>
                <a:solidFill>
                  <a:schemeClr val="accent3"/>
                </a:solidFill>
                <a:ln>
                  <a:noFill/>
                </a:ln>
                <a:effectLst>
                  <a:outerShdw blurRad="50800" dist="50800" dir="5400000" algn="ctr" rotWithShape="0">
                    <a:srgbClr val="000000">
                      <a:alpha val="0"/>
                    </a:srgbClr>
                  </a:outerShdw>
                </a:effectLst>
              </c:spPr>
            </c:marker>
            <c:bubble3D val="0"/>
            <c:spPr>
              <a:ln>
                <a:noFill/>
              </a:ln>
              <a:effectLst>
                <a:outerShdw blurRad="50800" dist="50800" dir="5400000" algn="ctr" rotWithShape="0">
                  <a:srgbClr val="000000">
                    <a:alpha val="0"/>
                  </a:srgbClr>
                </a:outerShdw>
              </a:effectLst>
            </c:spPr>
            <c:extLst>
              <c:ext xmlns:c16="http://schemas.microsoft.com/office/drawing/2014/chart" uri="{C3380CC4-5D6E-409C-BE32-E72D297353CC}">
                <c16:uniqueId val="{00000012-92DA-4A6D-9D05-AE26C5E94442}"/>
              </c:ext>
            </c:extLst>
          </c:dPt>
          <c:dLbls>
            <c:dLbl>
              <c:idx val="15"/>
              <c:layout>
                <c:manualLayout>
                  <c:x val="-2.1260146888287732E-2"/>
                  <c:y val="-2.66469282013324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2DA-4A6D-9D05-AE26C5E94442}"/>
                </c:ext>
              </c:extLst>
            </c:dLbl>
            <c:spPr>
              <a:noFill/>
              <a:ln>
                <a:noFill/>
              </a:ln>
              <a:effectLst/>
            </c:spPr>
            <c:txPr>
              <a:bodyPr wrap="square" lIns="38100" tIns="19050" rIns="38100" bIns="19050" anchor="ctr">
                <a:spAutoFit/>
              </a:bodyPr>
              <a:lstStyle/>
              <a:p>
                <a:pPr>
                  <a:defRPr sz="700" b="1"/>
                </a:pPr>
                <a:endParaRPr lang="it-IT"/>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[1]data!$A$226:$B$241</c:f>
              <c:multiLvlStrCache>
                <c:ptCount val="16"/>
                <c:lvl>
                  <c:pt idx="0">
                    <c:v>Defaults 2009</c:v>
                  </c:pt>
                  <c:pt idx="1">
                    <c:v>Defaults 2010</c:v>
                  </c:pt>
                  <c:pt idx="2">
                    <c:v>Defaults 2011</c:v>
                  </c:pt>
                  <c:pt idx="3">
                    <c:v>Defaults 2012</c:v>
                  </c:pt>
                  <c:pt idx="4">
                    <c:v>Defaults 2013</c:v>
                  </c:pt>
                  <c:pt idx="5">
                    <c:v>Defaults 2014</c:v>
                  </c:pt>
                  <c:pt idx="6">
                    <c:v>Defaults 2015</c:v>
                  </c:pt>
                  <c:pt idx="7">
                    <c:v>Defaults 2016</c:v>
                  </c:pt>
                  <c:pt idx="8">
                    <c:v>Defaults 2017</c:v>
                  </c:pt>
                  <c:pt idx="9">
                    <c:v>Defaults 2018</c:v>
                  </c:pt>
                  <c:pt idx="10">
                    <c:v>Defaults 2019</c:v>
                  </c:pt>
                  <c:pt idx="11">
                    <c:v>Defaults 2020</c:v>
                  </c:pt>
                  <c:pt idx="12">
                    <c:v>Defaults 2021</c:v>
                  </c:pt>
                  <c:pt idx="13">
                    <c:v>Defaults 2022</c:v>
                  </c:pt>
                  <c:pt idx="14">
                    <c:v>Defaults 2023</c:v>
                  </c:pt>
                  <c:pt idx="15">
                    <c:v>2009-2023</c:v>
                  </c:pt>
                </c:lvl>
                <c:lvl>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pt idx="15">
                    <c:v>Average</c:v>
                  </c:pt>
                </c:lvl>
              </c:multiLvlStrCache>
            </c:multiLvlStrRef>
          </c:cat>
          <c:val>
            <c:numRef>
              <c:f>[1]data!$D$226:$D$241</c:f>
              <c:numCache>
                <c:formatCode>0.00%</c:formatCode>
                <c:ptCount val="16"/>
                <c:pt idx="0">
                  <c:v>9.0794755151190801E-2</c:v>
                </c:pt>
                <c:pt idx="1">
                  <c:v>7.9318873251767383E-2</c:v>
                </c:pt>
                <c:pt idx="2">
                  <c:v>6.5253985543123075E-2</c:v>
                </c:pt>
                <c:pt idx="3">
                  <c:v>8.7985070530764584E-2</c:v>
                </c:pt>
                <c:pt idx="4">
                  <c:v>7.8101582014987514E-2</c:v>
                </c:pt>
                <c:pt idx="5">
                  <c:v>6.8676047329708986E-2</c:v>
                </c:pt>
                <c:pt idx="6">
                  <c:v>5.9045135115554592E-2</c:v>
                </c:pt>
                <c:pt idx="7">
                  <c:v>4.9773755656108594E-2</c:v>
                </c:pt>
                <c:pt idx="8">
                  <c:v>2.9597128041483844E-2</c:v>
                </c:pt>
                <c:pt idx="9">
                  <c:v>2.5961460936870111E-2</c:v>
                </c:pt>
                <c:pt idx="10">
                  <c:v>2.7597986335850415E-2</c:v>
                </c:pt>
                <c:pt idx="11">
                  <c:v>1.8614718614718615E-2</c:v>
                </c:pt>
                <c:pt idx="12">
                  <c:v>9.711573566995254E-3</c:v>
                </c:pt>
                <c:pt idx="13">
                  <c:v>7.5379798214078629E-3</c:v>
                </c:pt>
                <c:pt idx="14">
                  <c:v>1.128694437979986E-2</c:v>
                </c:pt>
                <c:pt idx="15">
                  <c:v>5.9171664083732006E-2</c:v>
                </c:pt>
              </c:numCache>
            </c:numRef>
          </c:val>
          <c:smooth val="0"/>
          <c:extLst>
            <c:ext xmlns:c16="http://schemas.microsoft.com/office/drawing/2014/chart" uri="{C3380CC4-5D6E-409C-BE32-E72D297353CC}">
              <c16:uniqueId val="{00000013-92DA-4A6D-9D05-AE26C5E94442}"/>
            </c:ext>
          </c:extLst>
        </c:ser>
        <c:ser>
          <c:idx val="0"/>
          <c:order val="2"/>
          <c:tx>
            <c:strRef>
              <c:f>'[20230322_DS 03 - DS2022 - Grafici rating ENG_v1.xlsx]data'!$E$224</c:f>
              <c:strCache>
                <c:ptCount val="1"/>
                <c:pt idx="0">
                  <c:v>Average</c:v>
                </c:pt>
              </c:strCache>
            </c:strRef>
          </c:tx>
          <c:dPt>
            <c:idx val="9"/>
            <c:bubble3D val="0"/>
            <c:extLst>
              <c:ext xmlns:c16="http://schemas.microsoft.com/office/drawing/2014/chart" uri="{C3380CC4-5D6E-409C-BE32-E72D297353CC}">
                <c16:uniqueId val="{00000014-92DA-4A6D-9D05-AE26C5E94442}"/>
              </c:ext>
            </c:extLst>
          </c:dPt>
          <c:dPt>
            <c:idx val="10"/>
            <c:bubble3D val="0"/>
            <c:extLst>
              <c:ext xmlns:c16="http://schemas.microsoft.com/office/drawing/2014/chart" uri="{C3380CC4-5D6E-409C-BE32-E72D297353CC}">
                <c16:uniqueId val="{00000015-92DA-4A6D-9D05-AE26C5E94442}"/>
              </c:ext>
            </c:extLst>
          </c:dPt>
          <c:dPt>
            <c:idx val="11"/>
            <c:bubble3D val="0"/>
            <c:extLst>
              <c:ext xmlns:c16="http://schemas.microsoft.com/office/drawing/2014/chart" uri="{C3380CC4-5D6E-409C-BE32-E72D297353CC}">
                <c16:uniqueId val="{00000016-92DA-4A6D-9D05-AE26C5E94442}"/>
              </c:ext>
            </c:extLst>
          </c:dPt>
          <c:dPt>
            <c:idx val="12"/>
            <c:bubble3D val="0"/>
            <c:extLst>
              <c:ext xmlns:c16="http://schemas.microsoft.com/office/drawing/2014/chart" uri="{C3380CC4-5D6E-409C-BE32-E72D297353CC}">
                <c16:uniqueId val="{00000017-92DA-4A6D-9D05-AE26C5E94442}"/>
              </c:ext>
            </c:extLst>
          </c:dPt>
          <c:dPt>
            <c:idx val="13"/>
            <c:bubble3D val="0"/>
            <c:spPr>
              <a:ln>
                <a:solidFill>
                  <a:srgbClr val="345B89"/>
                </a:solidFill>
              </a:ln>
            </c:spPr>
            <c:extLst>
              <c:ext xmlns:c16="http://schemas.microsoft.com/office/drawing/2014/chart" uri="{C3380CC4-5D6E-409C-BE32-E72D297353CC}">
                <c16:uniqueId val="{00000019-92DA-4A6D-9D05-AE26C5E94442}"/>
              </c:ext>
            </c:extLst>
          </c:dPt>
          <c:dPt>
            <c:idx val="14"/>
            <c:bubble3D val="0"/>
            <c:spPr>
              <a:ln>
                <a:solidFill>
                  <a:srgbClr val="345B89"/>
                </a:solidFill>
              </a:ln>
            </c:spPr>
            <c:extLst>
              <c:ext xmlns:c16="http://schemas.microsoft.com/office/drawing/2014/chart" uri="{C3380CC4-5D6E-409C-BE32-E72D297353CC}">
                <c16:uniqueId val="{0000001B-92DA-4A6D-9D05-AE26C5E94442}"/>
              </c:ext>
            </c:extLst>
          </c:dPt>
          <c:dPt>
            <c:idx val="15"/>
            <c:bubble3D val="0"/>
            <c:spPr>
              <a:ln>
                <a:noFill/>
              </a:ln>
            </c:spPr>
            <c:extLst>
              <c:ext xmlns:c16="http://schemas.microsoft.com/office/drawing/2014/chart" uri="{C3380CC4-5D6E-409C-BE32-E72D297353CC}">
                <c16:uniqueId val="{0000001D-92DA-4A6D-9D05-AE26C5E94442}"/>
              </c:ext>
            </c:extLst>
          </c:dPt>
          <c:dLbls>
            <c:dLbl>
              <c:idx val="15"/>
              <c:layout>
                <c:manualLayout>
                  <c:x val="-1.9327406262079627E-2"/>
                  <c:y val="-3.2568467801628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92DA-4A6D-9D05-AE26C5E94442}"/>
                </c:ext>
              </c:extLst>
            </c:dLbl>
            <c:spPr>
              <a:noFill/>
              <a:ln>
                <a:noFill/>
              </a:ln>
              <a:effectLst/>
            </c:spPr>
            <c:txPr>
              <a:bodyPr wrap="square" lIns="38100" tIns="19050" rIns="38100" bIns="19050" anchor="ctr">
                <a:spAutoFit/>
              </a:bodyPr>
              <a:lstStyle/>
              <a:p>
                <a:pPr>
                  <a:defRPr sz="700" b="1"/>
                </a:pPr>
                <a:endParaRPr lang="it-IT"/>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[1]data!$A$226:$B$241</c:f>
              <c:multiLvlStrCache>
                <c:ptCount val="16"/>
                <c:lvl>
                  <c:pt idx="0">
                    <c:v>Defaults 2009</c:v>
                  </c:pt>
                  <c:pt idx="1">
                    <c:v>Defaults 2010</c:v>
                  </c:pt>
                  <c:pt idx="2">
                    <c:v>Defaults 2011</c:v>
                  </c:pt>
                  <c:pt idx="3">
                    <c:v>Defaults 2012</c:v>
                  </c:pt>
                  <c:pt idx="4">
                    <c:v>Defaults 2013</c:v>
                  </c:pt>
                  <c:pt idx="5">
                    <c:v>Defaults 2014</c:v>
                  </c:pt>
                  <c:pt idx="6">
                    <c:v>Defaults 2015</c:v>
                  </c:pt>
                  <c:pt idx="7">
                    <c:v>Defaults 2016</c:v>
                  </c:pt>
                  <c:pt idx="8">
                    <c:v>Defaults 2017</c:v>
                  </c:pt>
                  <c:pt idx="9">
                    <c:v>Defaults 2018</c:v>
                  </c:pt>
                  <c:pt idx="10">
                    <c:v>Defaults 2019</c:v>
                  </c:pt>
                  <c:pt idx="11">
                    <c:v>Defaults 2020</c:v>
                  </c:pt>
                  <c:pt idx="12">
                    <c:v>Defaults 2021</c:v>
                  </c:pt>
                  <c:pt idx="13">
                    <c:v>Defaults 2022</c:v>
                  </c:pt>
                  <c:pt idx="14">
                    <c:v>Defaults 2023</c:v>
                  </c:pt>
                  <c:pt idx="15">
                    <c:v>2009-2023</c:v>
                  </c:pt>
                </c:lvl>
                <c:lvl>
                  <c:pt idx="0">
                    <c:v>31 December 2008</c:v>
                  </c:pt>
                  <c:pt idx="1">
                    <c:v>31 December 2009</c:v>
                  </c:pt>
                  <c:pt idx="2">
                    <c:v>31 December 2010</c:v>
                  </c:pt>
                  <c:pt idx="3">
                    <c:v>31 December 2011</c:v>
                  </c:pt>
                  <c:pt idx="4">
                    <c:v>31 December 2012</c:v>
                  </c:pt>
                  <c:pt idx="5">
                    <c:v>31 December 2013</c:v>
                  </c:pt>
                  <c:pt idx="6">
                    <c:v>31 December 2014</c:v>
                  </c:pt>
                  <c:pt idx="7">
                    <c:v>31 December 2015</c:v>
                  </c:pt>
                  <c:pt idx="8">
                    <c:v>31 December 2016</c:v>
                  </c:pt>
                  <c:pt idx="9">
                    <c:v>31 December 2017</c:v>
                  </c:pt>
                  <c:pt idx="10">
                    <c:v>31 December 2018</c:v>
                  </c:pt>
                  <c:pt idx="11">
                    <c:v>31 December 2019</c:v>
                  </c:pt>
                  <c:pt idx="12">
                    <c:v>31 December 2020</c:v>
                  </c:pt>
                  <c:pt idx="13">
                    <c:v>31 December 2021</c:v>
                  </c:pt>
                  <c:pt idx="14">
                    <c:v>31 December 2022</c:v>
                  </c:pt>
                  <c:pt idx="15">
                    <c:v>Average</c:v>
                  </c:pt>
                </c:lvl>
              </c:multiLvlStrCache>
            </c:multiLvlStrRef>
          </c:cat>
          <c:val>
            <c:numRef>
              <c:f>[1]data!$E$225:$E$240</c:f>
              <c:numCache>
                <c:formatCode>0.00%</c:formatCode>
                <c:ptCount val="16"/>
                <c:pt idx="0">
                  <c:v>5.3999999999999999E-2</c:v>
                </c:pt>
                <c:pt idx="1">
                  <c:v>4.4200000000000003E-2</c:v>
                </c:pt>
                <c:pt idx="2">
                  <c:v>3.6999999999999998E-2</c:v>
                </c:pt>
                <c:pt idx="3">
                  <c:v>4.2599999999999999E-2</c:v>
                </c:pt>
                <c:pt idx="4">
                  <c:v>3.7100000000000001E-2</c:v>
                </c:pt>
                <c:pt idx="5">
                  <c:v>3.2300000000000002E-2</c:v>
                </c:pt>
                <c:pt idx="6">
                  <c:v>3.0499999999999999E-2</c:v>
                </c:pt>
                <c:pt idx="7">
                  <c:v>2.3699999999999999E-2</c:v>
                </c:pt>
                <c:pt idx="8">
                  <c:v>1.5800000000000002E-2</c:v>
                </c:pt>
                <c:pt idx="9">
                  <c:v>1.38E-2</c:v>
                </c:pt>
                <c:pt idx="10">
                  <c:v>1.3554521545620068E-2</c:v>
                </c:pt>
                <c:pt idx="11">
                  <c:v>8.7538619979402685E-3</c:v>
                </c:pt>
                <c:pt idx="12">
                  <c:v>5.3755183535555218E-3</c:v>
                </c:pt>
                <c:pt idx="13">
                  <c:v>4.2375483633237121E-3</c:v>
                </c:pt>
                <c:pt idx="14">
                  <c:v>6.2108091967751564E-3</c:v>
                </c:pt>
                <c:pt idx="15">
                  <c:v>3.1366629559048287E-2</c:v>
                </c:pt>
              </c:numCache>
            </c:numRef>
          </c:val>
          <c:smooth val="0"/>
          <c:extLst>
            <c:ext xmlns:c16="http://schemas.microsoft.com/office/drawing/2014/chart" uri="{C3380CC4-5D6E-409C-BE32-E72D297353CC}">
              <c16:uniqueId val="{0000001E-92DA-4A6D-9D05-AE26C5E94442}"/>
            </c:ext>
          </c:extLst>
        </c:ser>
        <c:dLbls>
          <c:showLegendKey val="0"/>
          <c:showVal val="0"/>
          <c:showCatName val="0"/>
          <c:showSerName val="0"/>
          <c:showPercent val="0"/>
          <c:showBubbleSize val="0"/>
        </c:dLbls>
        <c:marker val="1"/>
        <c:smooth val="0"/>
        <c:axId val="255166872"/>
        <c:axId val="255176672"/>
      </c:lineChart>
      <c:catAx>
        <c:axId val="255166872"/>
        <c:scaling>
          <c:orientation val="minMax"/>
        </c:scaling>
        <c:delete val="0"/>
        <c:axPos val="b"/>
        <c:numFmt formatCode="General" sourceLinked="1"/>
        <c:majorTickMark val="out"/>
        <c:minorTickMark val="none"/>
        <c:tickLblPos val="nextTo"/>
        <c:txPr>
          <a:bodyPr/>
          <a:lstStyle/>
          <a:p>
            <a:pPr>
              <a:defRPr sz="700"/>
            </a:pPr>
            <a:endParaRPr lang="it-IT"/>
          </a:p>
        </c:txPr>
        <c:crossAx val="255176672"/>
        <c:crosses val="autoZero"/>
        <c:auto val="1"/>
        <c:lblAlgn val="ctr"/>
        <c:lblOffset val="100"/>
        <c:noMultiLvlLbl val="0"/>
      </c:catAx>
      <c:valAx>
        <c:axId val="255176672"/>
        <c:scaling>
          <c:orientation val="minMax"/>
        </c:scaling>
        <c:delete val="0"/>
        <c:axPos val="l"/>
        <c:numFmt formatCode="0%" sourceLinked="0"/>
        <c:majorTickMark val="out"/>
        <c:minorTickMark val="none"/>
        <c:tickLblPos val="nextTo"/>
        <c:crossAx val="255166872"/>
        <c:crosses val="autoZero"/>
        <c:crossBetween val="between"/>
      </c:valAx>
    </c:plotArea>
    <c:legend>
      <c:legendPos val="t"/>
      <c:overlay val="0"/>
    </c:legend>
    <c:plotVisOnly val="1"/>
    <c:dispBlanksAs val="gap"/>
    <c:showDLblsOverMax val="0"/>
  </c:chart>
  <c:spPr>
    <a:ln>
      <a:noFill/>
    </a:ln>
  </c:spPr>
  <c:txPr>
    <a:bodyPr/>
    <a:lstStyle/>
    <a:p>
      <a:pPr>
        <a:defRPr sz="700">
          <a:latin typeface="Source Sans Pro" panose="020B0503030403020204" pitchFamily="34" charset="0"/>
        </a:defRPr>
      </a:pPr>
      <a:endParaRPr lang="it-IT"/>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0.76991</cdr:x>
      <cdr:y>0.93124</cdr:y>
    </cdr:from>
    <cdr:to>
      <cdr:x>0.78825</cdr:x>
      <cdr:y>0.96267</cdr:y>
    </cdr:to>
    <cdr:sp macro="" textlink="">
      <cdr:nvSpPr>
        <cdr:cNvPr id="2" name="Rettangolo 1"/>
        <cdr:cNvSpPr/>
      </cdr:nvSpPr>
      <cdr:spPr>
        <a:xfrm xmlns:a="http://schemas.openxmlformats.org/drawingml/2006/main">
          <a:off x="4548671" y="3351683"/>
          <a:ext cx="108354" cy="113122"/>
        </a:xfrm>
        <a:prstGeom xmlns:a="http://schemas.openxmlformats.org/drawingml/2006/main" prst="rect">
          <a:avLst/>
        </a:prstGeom>
        <a:noFill xmlns:a="http://schemas.openxmlformats.org/drawingml/2006/main"/>
        <a:ln xmlns:a="http://schemas.openxmlformats.org/drawingml/2006/main" w="25400" cap="flat" cmpd="sng" algn="ctr">
          <a:solidFill>
            <a:srgbClr val="92D050"/>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endParaRPr lang="it-IT" sz="1100"/>
        </a:p>
      </cdr:txBody>
    </cdr:sp>
  </cdr:relSizeAnchor>
  <cdr:relSizeAnchor xmlns:cdr="http://schemas.openxmlformats.org/drawingml/2006/chartDrawing">
    <cdr:from>
      <cdr:x>0.78149</cdr:x>
      <cdr:y>0.92059</cdr:y>
    </cdr:from>
    <cdr:to>
      <cdr:x>0.91403</cdr:x>
      <cdr:y>0.97269</cdr:y>
    </cdr:to>
    <cdr:sp macro="" textlink="">
      <cdr:nvSpPr>
        <cdr:cNvPr id="3" name="CasellaDiTesto 2"/>
        <cdr:cNvSpPr txBox="1"/>
      </cdr:nvSpPr>
      <cdr:spPr>
        <a:xfrm xmlns:a="http://schemas.openxmlformats.org/drawingml/2006/main">
          <a:off x="4617086" y="3313387"/>
          <a:ext cx="783052" cy="18748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t-IT" sz="700">
              <a:solidFill>
                <a:schemeClr val="tx1"/>
              </a:solidFill>
              <a:latin typeface="Source Sans Pro" panose="020B0503030403020204" pitchFamily="34" charset="0"/>
            </a:rPr>
            <a:t>Investment Grade</a:t>
          </a:r>
        </a:p>
      </cdr:txBody>
    </cdr:sp>
  </cdr:relSizeAnchor>
  <cdr:relSizeAnchor xmlns:cdr="http://schemas.openxmlformats.org/drawingml/2006/chartDrawing">
    <cdr:from>
      <cdr:x>0.07323</cdr:x>
      <cdr:y>0.21614</cdr:y>
    </cdr:from>
    <cdr:to>
      <cdr:x>0.28991</cdr:x>
      <cdr:y>0.85496</cdr:y>
    </cdr:to>
    <cdr:sp macro="" textlink="">
      <cdr:nvSpPr>
        <cdr:cNvPr id="4" name="Rettangolo 3"/>
        <cdr:cNvSpPr/>
      </cdr:nvSpPr>
      <cdr:spPr>
        <a:xfrm xmlns:a="http://schemas.openxmlformats.org/drawingml/2006/main">
          <a:off x="432646" y="777928"/>
          <a:ext cx="1280154" cy="2299228"/>
        </a:xfrm>
        <a:prstGeom xmlns:a="http://schemas.openxmlformats.org/drawingml/2006/main" prst="rect">
          <a:avLst/>
        </a:prstGeom>
        <a:noFill xmlns:a="http://schemas.openxmlformats.org/drawingml/2006/main"/>
        <a:ln xmlns:a="http://schemas.openxmlformats.org/drawingml/2006/main" w="25400" cap="flat" cmpd="sng" algn="ctr">
          <a:solidFill>
            <a:srgbClr val="92D050"/>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endParaRPr lang="it-IT" sz="1100"/>
        </a:p>
      </cdr:txBody>
    </cdr:sp>
  </cdr:relSizeAnchor>
  <cdr:relSizeAnchor xmlns:cdr="http://schemas.openxmlformats.org/drawingml/2006/chartDrawing">
    <cdr:from>
      <cdr:x>0.39339</cdr:x>
      <cdr:y>0.41533</cdr:y>
    </cdr:from>
    <cdr:to>
      <cdr:x>0.60398</cdr:x>
      <cdr:y>0.85213</cdr:y>
    </cdr:to>
    <cdr:sp macro="" textlink="">
      <cdr:nvSpPr>
        <cdr:cNvPr id="5" name="Rettangolo 4"/>
        <cdr:cNvSpPr/>
      </cdr:nvSpPr>
      <cdr:spPr>
        <a:xfrm xmlns:a="http://schemas.openxmlformats.org/drawingml/2006/main">
          <a:off x="2324164" y="1494845"/>
          <a:ext cx="1244174" cy="1572132"/>
        </a:xfrm>
        <a:prstGeom xmlns:a="http://schemas.openxmlformats.org/drawingml/2006/main" prst="rect">
          <a:avLst/>
        </a:prstGeom>
        <a:noFill xmlns:a="http://schemas.openxmlformats.org/drawingml/2006/main"/>
        <a:ln xmlns:a="http://schemas.openxmlformats.org/drawingml/2006/main" w="25400" cap="flat" cmpd="sng" algn="ctr">
          <a:solidFill>
            <a:srgbClr val="92D050"/>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endParaRPr lang="it-IT" sz="1100"/>
        </a:p>
      </cdr:txBody>
    </cdr:sp>
  </cdr:relSizeAnchor>
  <cdr:relSizeAnchor xmlns:cdr="http://schemas.openxmlformats.org/drawingml/2006/chartDrawing">
    <cdr:from>
      <cdr:x>0.71076</cdr:x>
      <cdr:y>0.59304</cdr:y>
    </cdr:from>
    <cdr:to>
      <cdr:x>0.9233</cdr:x>
      <cdr:y>0.85507</cdr:y>
    </cdr:to>
    <cdr:sp macro="" textlink="">
      <cdr:nvSpPr>
        <cdr:cNvPr id="6" name="Rettangolo 5"/>
        <cdr:cNvSpPr/>
      </cdr:nvSpPr>
      <cdr:spPr>
        <a:xfrm xmlns:a="http://schemas.openxmlformats.org/drawingml/2006/main">
          <a:off x="4199178" y="2134459"/>
          <a:ext cx="1255695" cy="943093"/>
        </a:xfrm>
        <a:prstGeom xmlns:a="http://schemas.openxmlformats.org/drawingml/2006/main" prst="rect">
          <a:avLst/>
        </a:prstGeom>
        <a:noFill xmlns:a="http://schemas.openxmlformats.org/drawingml/2006/main"/>
        <a:ln xmlns:a="http://schemas.openxmlformats.org/drawingml/2006/main" w="25400" cap="flat" cmpd="sng" algn="ctr">
          <a:solidFill>
            <a:srgbClr val="92D050"/>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endParaRPr lang="it-IT" sz="1100"/>
        </a:p>
      </cdr:txBody>
    </cdr:sp>
  </cdr:relSizeAnchor>
</c:userShapes>
</file>

<file path=word/drawings/drawing2.xml><?xml version="1.0" encoding="utf-8"?>
<c:userShapes xmlns:c="http://schemas.openxmlformats.org/drawingml/2006/chart">
  <cdr:relSizeAnchor xmlns:cdr="http://schemas.openxmlformats.org/drawingml/2006/chartDrawing">
    <cdr:from>
      <cdr:x>0.16655</cdr:x>
      <cdr:y>0.40525</cdr:y>
    </cdr:from>
    <cdr:to>
      <cdr:x>0.23932</cdr:x>
      <cdr:y>0.48815</cdr:y>
    </cdr:to>
    <cdr:sp macro="" textlink="">
      <cdr:nvSpPr>
        <cdr:cNvPr id="2" name="CasellaDiTesto 13"/>
        <cdr:cNvSpPr txBox="1"/>
      </cdr:nvSpPr>
      <cdr:spPr>
        <a:xfrm xmlns:a="http://schemas.openxmlformats.org/drawingml/2006/main">
          <a:off x="1321481" y="1628915"/>
          <a:ext cx="577382" cy="333221"/>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it-IT" sz="700" b="1">
              <a:latin typeface="Source Sans Pro" panose="020B0503030403020204" pitchFamily="34" charset="0"/>
              <a:ea typeface="Source Sans Pro" panose="020B0503030403020204" pitchFamily="34" charset="0"/>
            </a:rPr>
            <a:t>C1.2</a:t>
          </a:r>
        </a:p>
      </cdr:txBody>
    </cdr:sp>
  </cdr:relSizeAnchor>
  <cdr:relSizeAnchor xmlns:cdr="http://schemas.openxmlformats.org/drawingml/2006/chartDrawing">
    <cdr:from>
      <cdr:x>0.22345</cdr:x>
      <cdr:y>0.28393</cdr:y>
    </cdr:from>
    <cdr:to>
      <cdr:x>0.29622</cdr:x>
      <cdr:y>0.36683</cdr:y>
    </cdr:to>
    <cdr:sp macro="" textlink="">
      <cdr:nvSpPr>
        <cdr:cNvPr id="3" name="CasellaDiTesto 13"/>
        <cdr:cNvSpPr txBox="1"/>
      </cdr:nvSpPr>
      <cdr:spPr>
        <a:xfrm xmlns:a="http://schemas.openxmlformats.org/drawingml/2006/main">
          <a:off x="1772937" y="1141262"/>
          <a:ext cx="577381" cy="333220"/>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it-IT" sz="700" b="1">
              <a:latin typeface="Source Sans Pro" panose="020B0503030403020204" pitchFamily="34" charset="0"/>
              <a:ea typeface="Source Sans Pro" panose="020B0503030403020204" pitchFamily="34" charset="0"/>
            </a:rPr>
            <a:t>C1.1</a:t>
          </a:r>
        </a:p>
      </cdr:txBody>
    </cdr:sp>
  </cdr:relSizeAnchor>
  <cdr:relSizeAnchor xmlns:cdr="http://schemas.openxmlformats.org/drawingml/2006/chartDrawing">
    <cdr:from>
      <cdr:x>0.30852</cdr:x>
      <cdr:y>0.21679</cdr:y>
    </cdr:from>
    <cdr:to>
      <cdr:x>0.3813</cdr:x>
      <cdr:y>0.29969</cdr:y>
    </cdr:to>
    <cdr:sp macro="" textlink="">
      <cdr:nvSpPr>
        <cdr:cNvPr id="4" name="CasellaDiTesto 13"/>
        <cdr:cNvSpPr txBox="1"/>
      </cdr:nvSpPr>
      <cdr:spPr>
        <a:xfrm xmlns:a="http://schemas.openxmlformats.org/drawingml/2006/main">
          <a:off x="2447917" y="871414"/>
          <a:ext cx="577461" cy="333221"/>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it-IT" sz="700" b="1">
              <a:latin typeface="Source Sans Pro" panose="020B0503030403020204" pitchFamily="34" charset="0"/>
              <a:ea typeface="Source Sans Pro" panose="020B0503030403020204" pitchFamily="34" charset="0"/>
            </a:rPr>
            <a:t>B2.2</a:t>
          </a:r>
        </a:p>
      </cdr:txBody>
    </cdr:sp>
  </cdr:relSizeAnchor>
  <cdr:relSizeAnchor xmlns:cdr="http://schemas.openxmlformats.org/drawingml/2006/chartDrawing">
    <cdr:from>
      <cdr:x>0.47208</cdr:x>
      <cdr:y>0.16453</cdr:y>
    </cdr:from>
    <cdr:to>
      <cdr:x>0.54486</cdr:x>
      <cdr:y>0.24744</cdr:y>
    </cdr:to>
    <cdr:sp macro="" textlink="">
      <cdr:nvSpPr>
        <cdr:cNvPr id="5" name="CasellaDiTesto 13"/>
        <cdr:cNvSpPr txBox="1"/>
      </cdr:nvSpPr>
      <cdr:spPr>
        <a:xfrm xmlns:a="http://schemas.openxmlformats.org/drawingml/2006/main">
          <a:off x="3745625" y="661335"/>
          <a:ext cx="577461" cy="333261"/>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it-IT" sz="700" b="1">
              <a:latin typeface="Source Sans Pro" panose="020B0503030403020204" pitchFamily="34" charset="0"/>
              <a:ea typeface="Source Sans Pro" panose="020B0503030403020204" pitchFamily="34" charset="0"/>
            </a:rPr>
            <a:t>B2.1</a:t>
          </a:r>
        </a:p>
      </cdr:txBody>
    </cdr:sp>
  </cdr:relSizeAnchor>
  <cdr:relSizeAnchor xmlns:cdr="http://schemas.openxmlformats.org/drawingml/2006/chartDrawing">
    <cdr:from>
      <cdr:x>0.62878</cdr:x>
      <cdr:y>0.1453</cdr:y>
    </cdr:from>
    <cdr:to>
      <cdr:x>0.70156</cdr:x>
      <cdr:y>0.2282</cdr:y>
    </cdr:to>
    <cdr:sp macro="" textlink="">
      <cdr:nvSpPr>
        <cdr:cNvPr id="6" name="CasellaDiTesto 13"/>
        <cdr:cNvSpPr txBox="1"/>
      </cdr:nvSpPr>
      <cdr:spPr>
        <a:xfrm xmlns:a="http://schemas.openxmlformats.org/drawingml/2006/main">
          <a:off x="4988958" y="584033"/>
          <a:ext cx="577460" cy="333220"/>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it-IT" sz="700" b="1">
              <a:latin typeface="Source Sans Pro" panose="020B0503030403020204" pitchFamily="34" charset="0"/>
              <a:ea typeface="Source Sans Pro" panose="020B0503030403020204" pitchFamily="34" charset="0"/>
            </a:rPr>
            <a:t>B1.2</a:t>
          </a:r>
        </a:p>
      </cdr:txBody>
    </cdr:sp>
  </cdr:relSizeAnchor>
  <cdr:relSizeAnchor xmlns:cdr="http://schemas.openxmlformats.org/drawingml/2006/chartDrawing">
    <cdr:from>
      <cdr:x>0.78642</cdr:x>
      <cdr:y>0.14455</cdr:y>
    </cdr:from>
    <cdr:to>
      <cdr:x>0.86554</cdr:x>
      <cdr:y>0.21613</cdr:y>
    </cdr:to>
    <cdr:sp macro="" textlink="">
      <cdr:nvSpPr>
        <cdr:cNvPr id="7" name="CasellaDiTesto 13"/>
        <cdr:cNvSpPr txBox="1"/>
      </cdr:nvSpPr>
      <cdr:spPr>
        <a:xfrm xmlns:a="http://schemas.openxmlformats.org/drawingml/2006/main">
          <a:off x="6239734" y="581023"/>
          <a:ext cx="627763" cy="287720"/>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it-IT" sz="700" b="1">
              <a:latin typeface="Source Sans Pro" panose="020B0503030403020204" pitchFamily="34" charset="0"/>
              <a:ea typeface="Source Sans Pro" panose="020B0503030403020204" pitchFamily="34" charset="0"/>
            </a:rPr>
            <a:t>B1.1</a:t>
          </a:r>
        </a:p>
      </cdr:txBody>
    </cdr:sp>
  </cdr:relSizeAnchor>
  <cdr:relSizeAnchor xmlns:cdr="http://schemas.openxmlformats.org/drawingml/2006/chartDrawing">
    <cdr:from>
      <cdr:x>0.88757</cdr:x>
      <cdr:y>0.06069</cdr:y>
    </cdr:from>
    <cdr:to>
      <cdr:x>0.96034</cdr:x>
      <cdr:y>0.14359</cdr:y>
    </cdr:to>
    <cdr:sp macro="" textlink="">
      <cdr:nvSpPr>
        <cdr:cNvPr id="8" name="CasellaDiTesto 13"/>
        <cdr:cNvSpPr txBox="1"/>
      </cdr:nvSpPr>
      <cdr:spPr>
        <a:xfrm xmlns:a="http://schemas.openxmlformats.org/drawingml/2006/main">
          <a:off x="7042296" y="243953"/>
          <a:ext cx="577381" cy="333221"/>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it-IT" sz="700" b="1">
              <a:latin typeface="Source Sans Pro" panose="020B0503030403020204" pitchFamily="34" charset="0"/>
              <a:ea typeface="Source Sans Pro" panose="020B0503030403020204" pitchFamily="34" charset="0"/>
            </a:rPr>
            <a:t>A3.1</a:t>
          </a:r>
        </a:p>
      </cdr:txBody>
    </cdr:sp>
  </cdr:relSizeAnchor>
  <cdr:relSizeAnchor xmlns:cdr="http://schemas.openxmlformats.org/drawingml/2006/chartDrawing">
    <cdr:from>
      <cdr:x>0.87602</cdr:x>
      <cdr:y>0.18325</cdr:y>
    </cdr:from>
    <cdr:to>
      <cdr:x>1</cdr:x>
      <cdr:y>0.26615</cdr:y>
    </cdr:to>
    <cdr:sp macro="" textlink="">
      <cdr:nvSpPr>
        <cdr:cNvPr id="9" name="CasellaDiTesto 13"/>
        <cdr:cNvSpPr txBox="1"/>
      </cdr:nvSpPr>
      <cdr:spPr>
        <a:xfrm xmlns:a="http://schemas.openxmlformats.org/drawingml/2006/main">
          <a:off x="6998252" y="736596"/>
          <a:ext cx="983698" cy="333221"/>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it-IT" sz="700" b="1">
              <a:latin typeface="Source Sans Pro" panose="020B0503030403020204" pitchFamily="34" charset="0"/>
              <a:ea typeface="Source Sans Pro" panose="020B0503030403020204" pitchFamily="34" charset="0"/>
            </a:rPr>
            <a:t>A2.2...A1.1</a:t>
          </a:r>
        </a:p>
      </cdr:txBody>
    </cdr:sp>
  </cdr:relSizeAnchor>
  <cdr:relSizeAnchor xmlns:cdr="http://schemas.openxmlformats.org/drawingml/2006/chartDrawing">
    <cdr:from>
      <cdr:x>0.11903</cdr:x>
      <cdr:y>0.50337</cdr:y>
    </cdr:from>
    <cdr:to>
      <cdr:x>0.1918</cdr:x>
      <cdr:y>0.58627</cdr:y>
    </cdr:to>
    <cdr:sp macro="" textlink="">
      <cdr:nvSpPr>
        <cdr:cNvPr id="12" name="CasellaDiTesto 13"/>
        <cdr:cNvSpPr txBox="1"/>
      </cdr:nvSpPr>
      <cdr:spPr>
        <a:xfrm xmlns:a="http://schemas.openxmlformats.org/drawingml/2006/main">
          <a:off x="978013" y="1942765"/>
          <a:ext cx="597897" cy="319955"/>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it-IT" sz="700" b="1">
              <a:latin typeface="Source Sans Pro" panose="020B0503030403020204" pitchFamily="34" charset="0"/>
              <a:ea typeface="Source Sans Pro" panose="020B0503030403020204" pitchFamily="34" charset="0"/>
            </a:rPr>
            <a:t>C2.1</a:t>
          </a:r>
        </a:p>
      </cdr:txBody>
    </cdr:sp>
  </cdr:relSizeAnchor>
</c:userShapes>
</file>

<file path=word/drawings/drawing3.xml><?xml version="1.0" encoding="utf-8"?>
<c:userShapes xmlns:c="http://schemas.openxmlformats.org/drawingml/2006/chart">
  <cdr:relSizeAnchor xmlns:cdr="http://schemas.openxmlformats.org/drawingml/2006/chartDrawing">
    <cdr:from>
      <cdr:x>0.16175</cdr:x>
      <cdr:y>0.54269</cdr:y>
    </cdr:from>
    <cdr:to>
      <cdr:x>0.23452</cdr:x>
      <cdr:y>0.62559</cdr:y>
    </cdr:to>
    <cdr:sp macro="" textlink="">
      <cdr:nvSpPr>
        <cdr:cNvPr id="2" name="CasellaDiTesto 13"/>
        <cdr:cNvSpPr txBox="1"/>
      </cdr:nvSpPr>
      <cdr:spPr>
        <a:xfrm xmlns:a="http://schemas.openxmlformats.org/drawingml/2006/main">
          <a:off x="1283362" y="2181373"/>
          <a:ext cx="577381" cy="333220"/>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it-IT" sz="700" b="1">
              <a:latin typeface="Source Sans Pro" panose="020B0503030403020204" pitchFamily="34" charset="0"/>
              <a:ea typeface="Source Sans Pro" panose="020B0503030403020204" pitchFamily="34" charset="0"/>
            </a:rPr>
            <a:t>C1.2</a:t>
          </a:r>
        </a:p>
      </cdr:txBody>
    </cdr:sp>
  </cdr:relSizeAnchor>
  <cdr:relSizeAnchor xmlns:cdr="http://schemas.openxmlformats.org/drawingml/2006/chartDrawing">
    <cdr:from>
      <cdr:x>0.26066</cdr:x>
      <cdr:y>0.40715</cdr:y>
    </cdr:from>
    <cdr:to>
      <cdr:x>0.33343</cdr:x>
      <cdr:y>0.49005</cdr:y>
    </cdr:to>
    <cdr:sp macro="" textlink="">
      <cdr:nvSpPr>
        <cdr:cNvPr id="3" name="CasellaDiTesto 13"/>
        <cdr:cNvSpPr txBox="1"/>
      </cdr:nvSpPr>
      <cdr:spPr>
        <a:xfrm xmlns:a="http://schemas.openxmlformats.org/drawingml/2006/main">
          <a:off x="2068200" y="1636571"/>
          <a:ext cx="577381" cy="333221"/>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it-IT" sz="700" b="1">
              <a:latin typeface="Source Sans Pro" panose="020B0503030403020204" pitchFamily="34" charset="0"/>
              <a:ea typeface="Source Sans Pro" panose="020B0503030403020204" pitchFamily="34" charset="0"/>
            </a:rPr>
            <a:t>C1.1</a:t>
          </a:r>
        </a:p>
      </cdr:txBody>
    </cdr:sp>
  </cdr:relSizeAnchor>
  <cdr:relSizeAnchor xmlns:cdr="http://schemas.openxmlformats.org/drawingml/2006/chartDrawing">
    <cdr:from>
      <cdr:x>0.35534</cdr:x>
      <cdr:y>0.32816</cdr:y>
    </cdr:from>
    <cdr:to>
      <cdr:x>0.42812</cdr:x>
      <cdr:y>0.41106</cdr:y>
    </cdr:to>
    <cdr:sp macro="" textlink="">
      <cdr:nvSpPr>
        <cdr:cNvPr id="4" name="CasellaDiTesto 13"/>
        <cdr:cNvSpPr txBox="1"/>
      </cdr:nvSpPr>
      <cdr:spPr>
        <a:xfrm xmlns:a="http://schemas.openxmlformats.org/drawingml/2006/main">
          <a:off x="2819373" y="1319073"/>
          <a:ext cx="577460" cy="333221"/>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it-IT" sz="700" b="1">
              <a:latin typeface="Source Sans Pro" panose="020B0503030403020204" pitchFamily="34" charset="0"/>
              <a:ea typeface="Source Sans Pro" panose="020B0503030403020204" pitchFamily="34" charset="0"/>
            </a:rPr>
            <a:t>B2.2</a:t>
          </a:r>
        </a:p>
      </cdr:txBody>
    </cdr:sp>
  </cdr:relSizeAnchor>
  <cdr:relSizeAnchor xmlns:cdr="http://schemas.openxmlformats.org/drawingml/2006/chartDrawing">
    <cdr:from>
      <cdr:x>0.54766</cdr:x>
      <cdr:y>0.24037</cdr:y>
    </cdr:from>
    <cdr:to>
      <cdr:x>0.62044</cdr:x>
      <cdr:y>0.32328</cdr:y>
    </cdr:to>
    <cdr:sp macro="" textlink="">
      <cdr:nvSpPr>
        <cdr:cNvPr id="5" name="CasellaDiTesto 13"/>
        <cdr:cNvSpPr txBox="1"/>
      </cdr:nvSpPr>
      <cdr:spPr>
        <a:xfrm xmlns:a="http://schemas.openxmlformats.org/drawingml/2006/main">
          <a:off x="3598660" y="732805"/>
          <a:ext cx="478236" cy="252762"/>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it-IT" sz="700" b="1">
              <a:latin typeface="Source Sans Pro" panose="020B0503030403020204" pitchFamily="34" charset="0"/>
              <a:ea typeface="Source Sans Pro" panose="020B0503030403020204" pitchFamily="34" charset="0"/>
            </a:rPr>
            <a:t>B2.1</a:t>
          </a:r>
        </a:p>
      </cdr:txBody>
    </cdr:sp>
  </cdr:relSizeAnchor>
  <cdr:relSizeAnchor xmlns:cdr="http://schemas.openxmlformats.org/drawingml/2006/chartDrawing">
    <cdr:from>
      <cdr:x>0.70314</cdr:x>
      <cdr:y>0.1946</cdr:y>
    </cdr:from>
    <cdr:to>
      <cdr:x>0.77592</cdr:x>
      <cdr:y>0.2775</cdr:y>
    </cdr:to>
    <cdr:sp macro="" textlink="">
      <cdr:nvSpPr>
        <cdr:cNvPr id="6" name="CasellaDiTesto 13"/>
        <cdr:cNvSpPr txBox="1"/>
      </cdr:nvSpPr>
      <cdr:spPr>
        <a:xfrm xmlns:a="http://schemas.openxmlformats.org/drawingml/2006/main">
          <a:off x="4620316" y="593250"/>
          <a:ext cx="478236" cy="252732"/>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it-IT" sz="700" b="1">
              <a:latin typeface="Source Sans Pro" panose="020B0503030403020204" pitchFamily="34" charset="0"/>
              <a:ea typeface="Source Sans Pro" panose="020B0503030403020204" pitchFamily="34" charset="0"/>
            </a:rPr>
            <a:t>B1.2</a:t>
          </a:r>
        </a:p>
      </cdr:txBody>
    </cdr:sp>
  </cdr:relSizeAnchor>
  <cdr:relSizeAnchor xmlns:cdr="http://schemas.openxmlformats.org/drawingml/2006/chartDrawing">
    <cdr:from>
      <cdr:x>0.11439</cdr:x>
      <cdr:y>0.66727</cdr:y>
    </cdr:from>
    <cdr:to>
      <cdr:x>0.18716</cdr:x>
      <cdr:y>0.75017</cdr:y>
    </cdr:to>
    <cdr:sp macro="" textlink="">
      <cdr:nvSpPr>
        <cdr:cNvPr id="12" name="CasellaDiTesto 13"/>
        <cdr:cNvSpPr txBox="1"/>
      </cdr:nvSpPr>
      <cdr:spPr>
        <a:xfrm xmlns:a="http://schemas.openxmlformats.org/drawingml/2006/main">
          <a:off x="907622" y="2682119"/>
          <a:ext cx="577381" cy="333221"/>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it-IT" sz="700" b="1">
              <a:solidFill>
                <a:sysClr val="windowText" lastClr="000000"/>
              </a:solidFill>
              <a:latin typeface="Source Sans Pro" panose="020B0503030403020204" pitchFamily="34" charset="0"/>
              <a:ea typeface="Source Sans Pro" panose="020B0503030403020204" pitchFamily="34" charset="0"/>
            </a:rPr>
            <a:t>C2.1</a:t>
          </a:r>
        </a:p>
      </cdr:txBody>
    </cdr:sp>
  </cdr:relSizeAnchor>
  <cdr:relSizeAnchor xmlns:cdr="http://schemas.openxmlformats.org/drawingml/2006/chartDrawing">
    <cdr:from>
      <cdr:x>0.80848</cdr:x>
      <cdr:y>0.1791</cdr:y>
    </cdr:from>
    <cdr:to>
      <cdr:x>0.88126</cdr:x>
      <cdr:y>0.262</cdr:y>
    </cdr:to>
    <cdr:sp macro="" textlink="">
      <cdr:nvSpPr>
        <cdr:cNvPr id="7" name="CasellaDiTesto 13">
          <a:extLst xmlns:a="http://schemas.openxmlformats.org/drawingml/2006/main">
            <a:ext uri="{FF2B5EF4-FFF2-40B4-BE49-F238E27FC236}">
              <a16:creationId xmlns:a16="http://schemas.microsoft.com/office/drawing/2014/main" id="{8E938AFC-1806-8985-E848-AA168BE6F77B}"/>
            </a:ext>
          </a:extLst>
        </cdr:cNvPr>
        <cdr:cNvSpPr txBox="1"/>
      </cdr:nvSpPr>
      <cdr:spPr>
        <a:xfrm xmlns:a="http://schemas.openxmlformats.org/drawingml/2006/main">
          <a:off x="6672943" y="685800"/>
          <a:ext cx="600700" cy="317428"/>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it-IT" sz="700" b="1">
              <a:latin typeface="Source Sans Pro" panose="020B0503030403020204" pitchFamily="34" charset="0"/>
              <a:ea typeface="Source Sans Pro" panose="020B0503030403020204" pitchFamily="34" charset="0"/>
            </a:rPr>
            <a:t>B1.1</a:t>
          </a:r>
        </a:p>
      </cdr:txBody>
    </cdr:sp>
  </cdr:relSizeAnchor>
  <cdr:relSizeAnchor xmlns:cdr="http://schemas.openxmlformats.org/drawingml/2006/chartDrawing">
    <cdr:from>
      <cdr:x>0.88212</cdr:x>
      <cdr:y>0.05591</cdr:y>
    </cdr:from>
    <cdr:to>
      <cdr:x>0.95579</cdr:x>
      <cdr:y>0.13881</cdr:y>
    </cdr:to>
    <cdr:sp macro="" textlink="">
      <cdr:nvSpPr>
        <cdr:cNvPr id="8" name="CasellaDiTesto 13">
          <a:extLst xmlns:a="http://schemas.openxmlformats.org/drawingml/2006/main">
            <a:ext uri="{FF2B5EF4-FFF2-40B4-BE49-F238E27FC236}">
              <a16:creationId xmlns:a16="http://schemas.microsoft.com/office/drawing/2014/main" id="{96261F4E-F90C-7066-B4B3-D35961264C7E}"/>
            </a:ext>
          </a:extLst>
        </cdr:cNvPr>
        <cdr:cNvSpPr txBox="1"/>
      </cdr:nvSpPr>
      <cdr:spPr>
        <a:xfrm xmlns:a="http://schemas.openxmlformats.org/drawingml/2006/main">
          <a:off x="7280729" y="214086"/>
          <a:ext cx="608011" cy="317428"/>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it-IT" sz="700" b="1">
              <a:latin typeface="Source Sans Pro" panose="020B0503030403020204" pitchFamily="34" charset="0"/>
              <a:ea typeface="Source Sans Pro" panose="020B0503030403020204" pitchFamily="34" charset="0"/>
            </a:rPr>
            <a:t>A3.1</a:t>
          </a:r>
        </a:p>
      </cdr:txBody>
    </cdr:sp>
  </cdr:relSizeAnchor>
  <cdr:relSizeAnchor xmlns:cdr="http://schemas.openxmlformats.org/drawingml/2006/chartDrawing">
    <cdr:from>
      <cdr:x>0.89641</cdr:x>
      <cdr:y>0.19806</cdr:y>
    </cdr:from>
    <cdr:to>
      <cdr:x>1</cdr:x>
      <cdr:y>0.28806</cdr:y>
    </cdr:to>
    <cdr:sp macro="" textlink="">
      <cdr:nvSpPr>
        <cdr:cNvPr id="9" name="CasellaDiTesto 13">
          <a:extLst xmlns:a="http://schemas.openxmlformats.org/drawingml/2006/main">
            <a:ext uri="{FF2B5EF4-FFF2-40B4-BE49-F238E27FC236}">
              <a16:creationId xmlns:a16="http://schemas.microsoft.com/office/drawing/2014/main" id="{7EE03E95-10F2-B3CD-55EB-F9A59181722F}"/>
            </a:ext>
          </a:extLst>
        </cdr:cNvPr>
        <cdr:cNvSpPr txBox="1"/>
      </cdr:nvSpPr>
      <cdr:spPr>
        <a:xfrm xmlns:a="http://schemas.openxmlformats.org/drawingml/2006/main">
          <a:off x="7398658" y="758372"/>
          <a:ext cx="854982" cy="344642"/>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it-IT" sz="700" b="1">
              <a:latin typeface="Source Sans Pro" panose="020B0503030403020204" pitchFamily="34" charset="0"/>
              <a:ea typeface="Source Sans Pro" panose="020B0503030403020204" pitchFamily="34" charset="0"/>
            </a:rPr>
            <a:t>A2.2...A1.1</a:t>
          </a:r>
        </a:p>
      </cdr:txBody>
    </cdr:sp>
  </cdr:relSizeAnchor>
</c:userShapes>
</file>

<file path=word/drawings/drawing4.xml><?xml version="1.0" encoding="utf-8"?>
<c:userShapes xmlns:c="http://schemas.openxmlformats.org/drawingml/2006/chart">
  <cdr:relSizeAnchor xmlns:cdr="http://schemas.openxmlformats.org/drawingml/2006/chartDrawing">
    <cdr:from>
      <cdr:x>0.75983</cdr:x>
      <cdr:y>0.94955</cdr:y>
    </cdr:from>
    <cdr:to>
      <cdr:x>0.77798</cdr:x>
      <cdr:y>0.97569</cdr:y>
    </cdr:to>
    <cdr:sp macro="" textlink="">
      <cdr:nvSpPr>
        <cdr:cNvPr id="2" name="Rettangolo 1"/>
        <cdr:cNvSpPr/>
      </cdr:nvSpPr>
      <cdr:spPr>
        <a:xfrm xmlns:a="http://schemas.openxmlformats.org/drawingml/2006/main">
          <a:off x="4772784" y="3763109"/>
          <a:ext cx="114014" cy="103583"/>
        </a:xfrm>
        <a:prstGeom xmlns:a="http://schemas.openxmlformats.org/drawingml/2006/main" prst="rect">
          <a:avLst/>
        </a:prstGeom>
        <a:noFill xmlns:a="http://schemas.openxmlformats.org/drawingml/2006/main"/>
        <a:ln xmlns:a="http://schemas.openxmlformats.org/drawingml/2006/main" w="25400" cap="flat" cmpd="sng" algn="ctr">
          <a:solidFill>
            <a:srgbClr val="92D050"/>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endParaRPr lang="it-IT" sz="1100"/>
        </a:p>
      </cdr:txBody>
    </cdr:sp>
  </cdr:relSizeAnchor>
  <cdr:relSizeAnchor xmlns:cdr="http://schemas.openxmlformats.org/drawingml/2006/chartDrawing">
    <cdr:from>
      <cdr:x>0.77246</cdr:x>
      <cdr:y>0.93839</cdr:y>
    </cdr:from>
    <cdr:to>
      <cdr:x>0.9152</cdr:x>
      <cdr:y>0.99716</cdr:y>
    </cdr:to>
    <cdr:sp macro="" textlink="">
      <cdr:nvSpPr>
        <cdr:cNvPr id="3" name="CasellaDiTesto 2"/>
        <cdr:cNvSpPr txBox="1"/>
      </cdr:nvSpPr>
      <cdr:spPr>
        <a:xfrm xmlns:a="http://schemas.openxmlformats.org/drawingml/2006/main">
          <a:off x="4852154" y="3718869"/>
          <a:ext cx="896610" cy="23293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t-IT" sz="700">
              <a:solidFill>
                <a:schemeClr val="tx1"/>
              </a:solidFill>
              <a:latin typeface="Source Sans Pro" panose="020B0503030403020204" pitchFamily="34" charset="0"/>
              <a:ea typeface="Source Sans Pro" panose="020B0503030403020204" pitchFamily="34" charset="0"/>
            </a:rPr>
            <a:t>Investment Grade</a:t>
          </a:r>
        </a:p>
      </cdr:txBody>
    </cdr:sp>
  </cdr:relSizeAnchor>
  <cdr:relSizeAnchor xmlns:cdr="http://schemas.openxmlformats.org/drawingml/2006/chartDrawing">
    <cdr:from>
      <cdr:x>0.10189</cdr:x>
      <cdr:y>0.4873</cdr:y>
    </cdr:from>
    <cdr:to>
      <cdr:x>0.41989</cdr:x>
      <cdr:y>0.8768</cdr:y>
    </cdr:to>
    <cdr:sp macro="" textlink="">
      <cdr:nvSpPr>
        <cdr:cNvPr id="4" name="Rettangolo 3"/>
        <cdr:cNvSpPr/>
      </cdr:nvSpPr>
      <cdr:spPr>
        <a:xfrm xmlns:a="http://schemas.openxmlformats.org/drawingml/2006/main">
          <a:off x="669514" y="2090234"/>
          <a:ext cx="2089588" cy="1670733"/>
        </a:xfrm>
        <a:prstGeom xmlns:a="http://schemas.openxmlformats.org/drawingml/2006/main" prst="rect">
          <a:avLst/>
        </a:prstGeom>
        <a:noFill xmlns:a="http://schemas.openxmlformats.org/drawingml/2006/main"/>
        <a:ln xmlns:a="http://schemas.openxmlformats.org/drawingml/2006/main" w="25400" cap="flat" cmpd="sng" algn="ctr">
          <a:solidFill>
            <a:srgbClr val="92D050"/>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endParaRPr lang="it-IT" sz="1100"/>
        </a:p>
      </cdr:txBody>
    </cdr:sp>
  </cdr:relSizeAnchor>
  <cdr:relSizeAnchor xmlns:cdr="http://schemas.openxmlformats.org/drawingml/2006/chartDrawing">
    <cdr:from>
      <cdr:x>0.58186</cdr:x>
      <cdr:y>0.39344</cdr:y>
    </cdr:from>
    <cdr:to>
      <cdr:x>0.89695</cdr:x>
      <cdr:y>0.8768</cdr:y>
    </cdr:to>
    <cdr:sp macro="" textlink="">
      <cdr:nvSpPr>
        <cdr:cNvPr id="5" name="Rettangolo 4"/>
        <cdr:cNvSpPr/>
      </cdr:nvSpPr>
      <cdr:spPr>
        <a:xfrm xmlns:a="http://schemas.openxmlformats.org/drawingml/2006/main">
          <a:off x="3654908" y="1559216"/>
          <a:ext cx="1979204" cy="1915573"/>
        </a:xfrm>
        <a:prstGeom xmlns:a="http://schemas.openxmlformats.org/drawingml/2006/main" prst="rect">
          <a:avLst/>
        </a:prstGeom>
        <a:noFill xmlns:a="http://schemas.openxmlformats.org/drawingml/2006/main"/>
        <a:ln xmlns:a="http://schemas.openxmlformats.org/drawingml/2006/main" w="25400" cap="flat" cmpd="sng" algn="ctr">
          <a:solidFill>
            <a:srgbClr val="92D050"/>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endParaRPr lang="it-IT" sz="1100"/>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99F1CB01774B78884C1CBEFD6D799F"/>
        <w:category>
          <w:name w:val="Generale"/>
          <w:gallery w:val="placeholder"/>
        </w:category>
        <w:types>
          <w:type w:val="bbPlcHdr"/>
        </w:types>
        <w:behaviors>
          <w:behavior w:val="content"/>
        </w:behaviors>
        <w:guid w:val="{D536A387-4739-41F4-B1F9-77286515A277}"/>
      </w:docPartPr>
      <w:docPartBody>
        <w:p w:rsidR="00152439" w:rsidRDefault="00410D03">
          <w:pPr>
            <w:pStyle w:val="B599F1CB01774B78884C1CBEFD6D799F"/>
          </w:pPr>
          <w:r w:rsidRPr="00D5751A">
            <w:rPr>
              <w:rStyle w:val="Testosegnaposto"/>
            </w:rPr>
            <w:t>Click or tap here to enter text.</w:t>
          </w:r>
        </w:p>
      </w:docPartBody>
    </w:docPart>
    <w:docPart>
      <w:docPartPr>
        <w:name w:val="0529C9911A094F58BE65F4D03088267E"/>
        <w:category>
          <w:name w:val="Generale"/>
          <w:gallery w:val="placeholder"/>
        </w:category>
        <w:types>
          <w:type w:val="bbPlcHdr"/>
        </w:types>
        <w:behaviors>
          <w:behavior w:val="content"/>
        </w:behaviors>
        <w:guid w:val="{FF258EED-43A1-4449-9B1E-16E4401D0623}"/>
      </w:docPartPr>
      <w:docPartBody>
        <w:p w:rsidR="00152439" w:rsidRDefault="00410D03">
          <w:pPr>
            <w:pStyle w:val="0529C9911A094F58BE65F4D03088267E"/>
          </w:pPr>
          <w:r w:rsidRPr="00D934D2">
            <w:rPr>
              <w:rStyle w:val="Testosegnaposto"/>
            </w:rPr>
            <w:t>Click or tap here to enter text.</w:t>
          </w:r>
        </w:p>
      </w:docPartBody>
    </w:docPart>
    <w:docPart>
      <w:docPartPr>
        <w:name w:val="18D983487B3B4E40971DDF7FEC2D4200"/>
        <w:category>
          <w:name w:val="Generale"/>
          <w:gallery w:val="placeholder"/>
        </w:category>
        <w:types>
          <w:type w:val="bbPlcHdr"/>
        </w:types>
        <w:behaviors>
          <w:behavior w:val="content"/>
        </w:behaviors>
        <w:guid w:val="{4CFA1589-1545-4860-ACD9-93DCAD338C87}"/>
      </w:docPartPr>
      <w:docPartBody>
        <w:p w:rsidR="00152439" w:rsidRDefault="00410D03">
          <w:pPr>
            <w:pStyle w:val="18D983487B3B4E40971DDF7FEC2D4200"/>
          </w:pPr>
          <w:r w:rsidRPr="00062692">
            <w:rPr>
              <w:rStyle w:val="Testosegnaposto"/>
            </w:rPr>
            <w:t>Click or tap here to enter text.</w:t>
          </w:r>
        </w:p>
      </w:docPartBody>
    </w:docPart>
    <w:docPart>
      <w:docPartPr>
        <w:name w:val="345F037ED8BB423C920C29C3713BD774"/>
        <w:category>
          <w:name w:val="Generale"/>
          <w:gallery w:val="placeholder"/>
        </w:category>
        <w:types>
          <w:type w:val="bbPlcHdr"/>
        </w:types>
        <w:behaviors>
          <w:behavior w:val="content"/>
        </w:behaviors>
        <w:guid w:val="{00C16F34-7C57-4297-A70D-323D8BDF3371}"/>
      </w:docPartPr>
      <w:docPartBody>
        <w:p w:rsidR="00152439" w:rsidRDefault="00410D03">
          <w:pPr>
            <w:pStyle w:val="345F037ED8BB423C920C29C3713BD774"/>
          </w:pPr>
          <w:r w:rsidRPr="00062692">
            <w:rPr>
              <w:rStyle w:val="Testosegnaposto"/>
            </w:rPr>
            <w:t>Click or tap here to enter text.</w:t>
          </w:r>
        </w:p>
      </w:docPartBody>
    </w:docPart>
    <w:docPart>
      <w:docPartPr>
        <w:name w:val="8B282658A2E140A4810090C48056733A"/>
        <w:category>
          <w:name w:val="Generale"/>
          <w:gallery w:val="placeholder"/>
        </w:category>
        <w:types>
          <w:type w:val="bbPlcHdr"/>
        </w:types>
        <w:behaviors>
          <w:behavior w:val="content"/>
        </w:behaviors>
        <w:guid w:val="{EDFDC2D1-4E42-453F-B19A-BF68A12A8608}"/>
      </w:docPartPr>
      <w:docPartBody>
        <w:p w:rsidR="00152439" w:rsidRDefault="00410D03">
          <w:pPr>
            <w:pStyle w:val="8B282658A2E140A4810090C48056733A"/>
          </w:pPr>
          <w:r w:rsidRPr="00D5751A">
            <w:rPr>
              <w:rStyle w:val="Testosegnaposto"/>
            </w:rPr>
            <w:t>Click or tap here to enter text.</w:t>
          </w:r>
        </w:p>
      </w:docPartBody>
    </w:docPart>
    <w:docPart>
      <w:docPartPr>
        <w:name w:val="C7AFAA6858A349B39CE74495FC136780"/>
        <w:category>
          <w:name w:val="Generale"/>
          <w:gallery w:val="placeholder"/>
        </w:category>
        <w:types>
          <w:type w:val="bbPlcHdr"/>
        </w:types>
        <w:behaviors>
          <w:behavior w:val="content"/>
        </w:behaviors>
        <w:guid w:val="{39F34579-2449-477D-B6A2-3D368754ED9D}"/>
      </w:docPartPr>
      <w:docPartBody>
        <w:p w:rsidR="00152439" w:rsidRDefault="00410D03">
          <w:pPr>
            <w:pStyle w:val="C7AFAA6858A349B39CE74495FC136780"/>
          </w:pPr>
          <w:r w:rsidRPr="00D5751A">
            <w:rPr>
              <w:rStyle w:val="Testosegnapos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n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ource Sans Pro SemiBold">
    <w:charset w:val="00"/>
    <w:family w:val="swiss"/>
    <w:pitch w:val="variable"/>
    <w:sig w:usb0="600002F7" w:usb1="02000001" w:usb2="00000000" w:usb3="00000000" w:csb0="0000019F" w:csb1="00000000"/>
  </w:font>
  <w:font w:name="Source Sans Pro">
    <w:charset w:val="00"/>
    <w:family w:val="swiss"/>
    <w:pitch w:val="variable"/>
    <w:sig w:usb0="600002F7" w:usb1="02000001"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8FC"/>
    <w:rsid w:val="00014F27"/>
    <w:rsid w:val="000A2410"/>
    <w:rsid w:val="00114246"/>
    <w:rsid w:val="00152439"/>
    <w:rsid w:val="00212ABC"/>
    <w:rsid w:val="003C7548"/>
    <w:rsid w:val="004073F0"/>
    <w:rsid w:val="00410D03"/>
    <w:rsid w:val="004B18AE"/>
    <w:rsid w:val="00510D98"/>
    <w:rsid w:val="005225B3"/>
    <w:rsid w:val="005E32E1"/>
    <w:rsid w:val="00612E50"/>
    <w:rsid w:val="006C2EB8"/>
    <w:rsid w:val="006E36E8"/>
    <w:rsid w:val="007340C3"/>
    <w:rsid w:val="00774C52"/>
    <w:rsid w:val="00786BB2"/>
    <w:rsid w:val="008D261E"/>
    <w:rsid w:val="009E3374"/>
    <w:rsid w:val="00A16493"/>
    <w:rsid w:val="00A47264"/>
    <w:rsid w:val="00A5720D"/>
    <w:rsid w:val="00B23A17"/>
    <w:rsid w:val="00C3396C"/>
    <w:rsid w:val="00C8520C"/>
    <w:rsid w:val="00C8660E"/>
    <w:rsid w:val="00D524FF"/>
    <w:rsid w:val="00D62680"/>
    <w:rsid w:val="00DD20CB"/>
    <w:rsid w:val="00F138FC"/>
    <w:rsid w:val="00FA380F"/>
    <w:rsid w:val="00FF418E"/>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D524FF"/>
    <w:rPr>
      <w:color w:val="808080"/>
      <w:lang w:val="en-US"/>
    </w:rPr>
  </w:style>
  <w:style w:type="paragraph" w:customStyle="1" w:styleId="7D264DA3041D41EBAA4A289EAF151FAD">
    <w:name w:val="7D264DA3041D41EBAA4A289EAF151FAD"/>
  </w:style>
  <w:style w:type="paragraph" w:customStyle="1" w:styleId="621D191F58A7404FB0F79949E036DB9B">
    <w:name w:val="621D191F58A7404FB0F79949E036DB9B"/>
  </w:style>
  <w:style w:type="paragraph" w:customStyle="1" w:styleId="7A6688A78BB645FB887524E0DEEA6C9D">
    <w:name w:val="7A6688A78BB645FB887524E0DEEA6C9D"/>
  </w:style>
  <w:style w:type="paragraph" w:customStyle="1" w:styleId="B599F1CB01774B78884C1CBEFD6D799F">
    <w:name w:val="B599F1CB01774B78884C1CBEFD6D799F"/>
  </w:style>
  <w:style w:type="paragraph" w:customStyle="1" w:styleId="0529C9911A094F58BE65F4D03088267E">
    <w:name w:val="0529C9911A094F58BE65F4D03088267E"/>
  </w:style>
  <w:style w:type="paragraph" w:customStyle="1" w:styleId="18D983487B3B4E40971DDF7FEC2D4200">
    <w:name w:val="18D983487B3B4E40971DDF7FEC2D4200"/>
  </w:style>
  <w:style w:type="paragraph" w:customStyle="1" w:styleId="345F037ED8BB423C920C29C3713BD774">
    <w:name w:val="345F037ED8BB423C920C29C3713BD774"/>
  </w:style>
  <w:style w:type="paragraph" w:customStyle="1" w:styleId="8B282658A2E140A4810090C48056733A">
    <w:name w:val="8B282658A2E140A4810090C48056733A"/>
  </w:style>
  <w:style w:type="paragraph" w:customStyle="1" w:styleId="C7AFAA6858A349B39CE74495FC136780">
    <w:name w:val="C7AFAA6858A349B39CE74495FC136780"/>
  </w:style>
  <w:style w:type="paragraph" w:customStyle="1" w:styleId="23DD5AF250644C36B8F8FB3A6DF9AF82">
    <w:name w:val="23DD5AF250644C36B8F8FB3A6DF9AF82"/>
    <w:rsid w:val="00D524FF"/>
    <w:pPr>
      <w:spacing w:line="278" w:lineRule="auto"/>
    </w:pPr>
    <w:rPr>
      <w:sz w:val="24"/>
      <w:szCs w:val="24"/>
    </w:rPr>
  </w:style>
  <w:style w:type="paragraph" w:customStyle="1" w:styleId="7F2088C880074A649654033FD0B62BB4">
    <w:name w:val="7F2088C880074A649654033FD0B62BB4"/>
    <w:rsid w:val="00D524F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ON Trading">
  <a:themeElements>
    <a:clrScheme name="CervedLightBG">
      <a:dk1>
        <a:srgbClr val="002E5A"/>
      </a:dk1>
      <a:lt1>
        <a:srgbClr val="FFFFFF"/>
      </a:lt1>
      <a:dk2>
        <a:srgbClr val="002E5A"/>
      </a:dk2>
      <a:lt2>
        <a:srgbClr val="FFFFFF"/>
      </a:lt2>
      <a:accent1>
        <a:srgbClr val="5080B8"/>
      </a:accent1>
      <a:accent2>
        <a:srgbClr val="33A1AB"/>
      </a:accent2>
      <a:accent3>
        <a:srgbClr val="9851E9"/>
      </a:accent3>
      <a:accent4>
        <a:srgbClr val="AFAFB4"/>
      </a:accent4>
      <a:accent5>
        <a:srgbClr val="32587B"/>
      </a:accent5>
      <a:accent6>
        <a:srgbClr val="B2B8C3"/>
      </a:accent6>
      <a:hlink>
        <a:srgbClr val="33A1AB"/>
      </a:hlink>
      <a:folHlink>
        <a:srgbClr val="33A1AB"/>
      </a:folHlink>
    </a:clrScheme>
    <a:fontScheme name="ION Trading Font Theme">
      <a:majorFont>
        <a:latin typeface="Arial"/>
        <a:ea typeface="Arial Unicode MS"/>
        <a:cs typeface="Arial Unicode MS"/>
      </a:majorFont>
      <a:minorFont>
        <a:latin typeface="Arial"/>
        <a:ea typeface="Arial Unicode MS"/>
        <a:cs typeface="Arial Unicode MS"/>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w="3175">
          <a:noFill/>
        </a:ln>
      </a:spPr>
      <a:bodyPr lIns="72000" tIns="72000" rIns="72000" bIns="72000" rtlCol="0" anchor="ctr"/>
      <a:lstStyle>
        <a:defPPr algn="ctr">
          <a:defRPr sz="12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000000"/>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defRPr sz="1400" dirty="0" err="1" smtClean="0"/>
        </a:defPPr>
      </a:lstStyle>
    </a:txDef>
  </a:objectDefaults>
  <a:extraClrSchemeLst/>
  <a:custClrLst>
    <a:custClr name="ION White">
      <a:srgbClr val="FFFFFF"/>
    </a:custClr>
    <a:custClr name="ION Black">
      <a:srgbClr val="000000"/>
    </a:custClr>
    <a:custClr name="ION Silver">
      <a:srgbClr val="D2D3D4"/>
    </a:custClr>
    <a:custClr name="ION Blue">
      <a:srgbClr val="0A4274"/>
    </a:custClr>
    <a:custClr name="ION Orange">
      <a:srgbClr val="FE860C"/>
    </a:custClr>
    <a:custClr name="ION Red">
      <a:srgbClr val="C63C3C"/>
    </a:custClr>
    <a:custClr name="ION Green">
      <a:srgbClr val="0A780A"/>
    </a:custClr>
    <a:custClr name="ION Violet">
      <a:srgbClr val="1B53CB"/>
    </a:custClr>
    <a:custClr name="ION Charcoal">
      <a:srgbClr val="4D4F53"/>
    </a:custClr>
    <a:custClr name="ION Turquoise">
      <a:srgbClr val="00ADEF"/>
    </a:custClr>
    <a:custClr name="Medium White">
      <a:srgbClr val="F2F2F2"/>
    </a:custClr>
    <a:custClr name="Medium Black">
      <a:srgbClr val="404040"/>
    </a:custClr>
    <a:custClr name="Medium Silver">
      <a:srgbClr val="DDDEDF"/>
    </a:custClr>
    <a:custClr name="Medium Blue">
      <a:srgbClr val="477197"/>
    </a:custClr>
    <a:custClr name="Medium Orange">
      <a:srgbClr val="FEA449"/>
    </a:custClr>
    <a:custClr name="Medium Red">
      <a:srgbClr val="D46D6D"/>
    </a:custClr>
    <a:custClr name="Medium Green">
      <a:srgbClr val="479A47"/>
    </a:custClr>
    <a:custClr name="Medium Violet">
      <a:srgbClr val="547ED8"/>
    </a:custClr>
    <a:custClr name="Medium Charcoal">
      <a:srgbClr val="7A7B7E"/>
    </a:custClr>
    <a:custClr name="Medium Turquoise">
      <a:srgbClr val="40BEF3"/>
    </a:custClr>
    <a:custClr name="Light White">
      <a:srgbClr val="E6E6E6"/>
    </a:custClr>
    <a:custClr name="Light Black">
      <a:srgbClr val="808080"/>
    </a:custClr>
    <a:custClr name="Light Silver">
      <a:srgbClr val="E8E9EA"/>
    </a:custClr>
    <a:custClr name="Light Blue">
      <a:srgbClr val="84A0BA"/>
    </a:custClr>
    <a:custClr name="Light Orange">
      <a:srgbClr val="FEC285"/>
    </a:custClr>
    <a:custClr name="Light Red">
      <a:srgbClr val="E29E9E"/>
    </a:custClr>
    <a:custClr name="Light Green">
      <a:srgbClr val="84BC84"/>
    </a:custClr>
    <a:custClr name="Light Violet">
      <a:srgbClr val="8DA9E5"/>
    </a:custClr>
    <a:custClr name="Light Charcoal">
      <a:srgbClr val="A6A7A9"/>
    </a:custClr>
    <a:custClr name="Light Turquoise">
      <a:srgbClr val="80D6F7"/>
    </a:custClr>
    <a:custClr name="Soft White">
      <a:srgbClr val="D2D2D2"/>
    </a:custClr>
    <a:custClr name="Soft Black">
      <a:srgbClr val="BFBFBF"/>
    </a:custClr>
    <a:custClr name="Soft Silver">
      <a:srgbClr val="F4F5F6"/>
    </a:custClr>
    <a:custClr name="Soft Blue">
      <a:srgbClr val="C2D0DC"/>
    </a:custClr>
    <a:custClr name="Soft Orange">
      <a:srgbClr val="FFE1C2"/>
    </a:custClr>
    <a:custClr name="Soft Red">
      <a:srgbClr val="F1CECE"/>
    </a:custClr>
    <a:custClr name="Soft Green">
      <a:srgbClr val="C2DDC2"/>
    </a:custClr>
    <a:custClr name="Soft Violet">
      <a:srgbClr val="C6D4F2"/>
    </a:custClr>
    <a:custClr name="Soft Charcoal">
      <a:srgbClr val="D2D3D4"/>
    </a:custClr>
    <a:custClr name="Soft Turquoise">
      <a:srgbClr val="BFEBFB"/>
    </a:custClr>
    <a:custClr name="ION Blue 100%">
      <a:srgbClr val="0A4274"/>
    </a:custClr>
    <a:custClr name="ION Blue 90%">
      <a:srgbClr val="235582"/>
    </a:custClr>
    <a:custClr name="ION Blue 80%">
      <a:srgbClr val="3B6890"/>
    </a:custClr>
    <a:custClr name="ION Blue 70%">
      <a:srgbClr val="547B9E"/>
    </a:custClr>
    <a:custClr name="ION Blue 60%">
      <a:srgbClr val="6C8EAC"/>
    </a:custClr>
    <a:custClr name="ION Blue 50%">
      <a:srgbClr val="84A0BA"/>
    </a:custClr>
    <a:custClr name="ION Blue 40%">
      <a:srgbClr val="9DB3C7"/>
    </a:custClr>
    <a:custClr name="ION Blue 30%">
      <a:srgbClr val="B6C6D5"/>
    </a:custClr>
    <a:custClr name="ION Blue 20%">
      <a:srgbClr val="CED9E3"/>
    </a:custClr>
    <a:custClr name="ION Blue 10%">
      <a:srgbClr val="E6ECF1"/>
    </a:custClr>
  </a:custClrLst>
  <a:extLst>
    <a:ext uri="{05A4C25C-085E-4340-85A3-A5531E510DB2}">
      <thm15:themeFamily xmlns:thm15="http://schemas.microsoft.com/office/thememl/2012/main" name="ION Trading" id="{E9A410F5-2020-4E83-9CDE-DC76727E39BC}" vid="{23A24171-F2C6-4E4B-B070-971DDDF1F6F7}"/>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7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EEB511F-0E28-4318-9EBB-7B39E6D052BC}">
  <we:reference id="wa104380278" version="1.0.0.6" store="en-US" storeType="OMEX"/>
  <we:alternateReferences>
    <we:reference id="WA104380278" version="1.0.0.6"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emplafyTemplateConfiguration><![CDATA[{"elementsMetadata":[{"type":"pictureContentControl","id":"ece92d50-e26d-4afa-bd66-d61b8b4b8d09","elementConfiguration":{"inheritDimensions":"inheritNone","width":"3 cm","height":"3 cm","binding":"Form.PrimaryProduct.ProductLogo","visibility":{"action":"hide","binding":"Form.PrimaryProduct.ProductLogo","operator":"equals","compareValue":"No logo"},"removeAndKeepContent":false,"disableUpdates":false,"type":"image"}},{"type":"pictureContentControl","id":"3154bd17-1467-4462-8868-043c2d2c5146","elementConfiguration":{"inheritDimensions":"inheritNone","width":"3 cm","height":"3 cm","binding":"Form.SecondaryProduct.ProductLogo","visibility":{"action":"hide","binding":"Form.SecondaryProduct.ProductLogo","operator":"equals","compareValue":"No logo"},"removeAndKeepContent":false,"disableUpdates":false,"type":"image"}},{"type":"pictureContentControl","id":"88e8a3fa-a3f1-44fa-8297-f87f9e843c0f","elementConfiguration":{"inheritDimensions":"inheritNone","width":"3 cm","height":"3 cm","binding":"Form.TertiaryProduct.ProductLogo","visibility":{"action":"hide","binding":"Form.TertiaryProduct.ProductLogo","operator":"equals","compareValue":"No logo"},"removeAndKeepContent":false,"disableUpdates":false,"type":"image"}},{"type":"pictureContentControl","id":"742a95c0-cf12-42cf-ba88-491cef921921","elementConfiguration":{"inheritDimensions":"inheritNone","width":"21.1 cm","height":"29.8 cm","binding":"Form.ChooseBrand.WordCover","removeAndKeepContent":false,"disableUpdates":false,"type":"image"}},{"type":"pictureContentControl","id":"f6426ce1-644c-4381-ba97-5093dc800e2c","elementConfiguration":{"inheritDimensions":"inheritNone","width":"21.1 cm","height":"29.8 cm","binding":"Form.ChooseBrand.WordCover","removeAndKeepContent":false,"disableUpdates":false,"type":"image"}},{"type":"richTextContentControl","id":"556381b9-91d6-49a4-8f17-3da6796aff56","elementConfiguration":{"binding":"Form.DocumentTitle","removeAndKeepContent":false,"disableUpdates":false,"type":"text"}},{"type":"richTextContentControl","id":"11ebe092-b4af-4420-ad5d-55f91f6c9cf5","elementConfiguration":{"binding":"Form.DocumentTitle","removeAndKeepContent":false,"disableUpdates":false,"type":"text"}},{"type":"richTextContentControl","id":"0c11fc4e-babc-4d9b-a5bb-ad5b2f842952","elementConfiguration":{"binding":"Form.ClientName","removeAndKeepContent":false,"disableUpdates":false,"type":"text"}},{"type":"richTextContentControl","id":"02221d34-90c2-4447-a691-28eae371d9c8","elementConfiguration":{"format":"dd MMMM yyyy","binding":"Form.DocumentDate","removeAndKeepContent":false,"disableUpdates":false,"type":"date"}},{"type":"richTextContentControl","id":"fa3a95cd-5ea0-4e4f-becc-219ccdbd741c","elementConfiguration":{"templateBinding":"{{Form.Confidentiality.Insert}} {{Form.ClientName}} {{Form.Confidentiality.InsertSuffix}}","visibility":{"action":"hide","binding":"Form.Confidentiality.Confidentiality","operator":"notEquals","compareValue":"Client Confidential"},"removeAndKeepContent":false,"disableUpdates":false,"type":"text"}},{"type":"richTextContentControl","id":"90925c22-c147-484c-8db7-df3a8db2c6e0","elementConfiguration":{"templateBinding":"{{Form.Confidentiality.Insert}} {{Form.ClientName}} {{Form.Confidentiality.InsertSuffix}}","visibility":{"action":"hide","binding":"Form.Confidentiality.Confidentiality","operator":"notEquals","compareValue":"Client Confidential"},"removeAndKeepContent":false,"disableUpdates":false,"type":"text"}},{"type":"richTextContentControl","id":"05573195-8300-407b-86e5-0d1b3a3a943e","elementConfiguration":{"removeAndKeepContent":false,"disableUpdates":false,"type":"text"}},{"type":"richTextContentControl","id":"b6f05a79-bd46-4727-9ce5-102c3f715beb","elementConfiguration":{"binding":"Form.Confidentiality.Insert","visibility":{"action":"hide","binding":"Form.Confidentiality.Confidentiality","operator":"equals","compareValue":"Client Confidential"},"removeAndKeepContent":false,"disableUpdates":false,"type":"text"}},{"type":"richTextContentControl","id":"c2121ec2-6dec-40e1-bf39-91beff53ee96","elementConfiguration":{"binding":"Form.Watermark.Insert","removeAndKeepContent":false,"disableUpdates":false,"type":"text"}},{"type":"richTextContentControl","id":"02f70eca-9e81-4672-878f-0057985bcfff","elementConfiguration":{"binding":"Form.DocumentSubtitle","removeAndKeepContent":false,"disableUpdates":false,"type":"text"}},{"type":"richTextContentControl","id":"660c8c83-ab2f-401a-b606-25ae5a4083ae","elementConfiguration":{"binding":"Form.DocumentSubtitle","removeAndKeepContent":false,"disableUpdates":false,"type":"text"}},{"type":"richTextContentControl","id":"813a12b1-2046-4012-817b-a5c6114648f3","elementConfiguration":{"binding":"Form.IncidentNumber","visibility":{"action":"hide","operator":"equals","compareValue":""},"removeAndKeepContent":false,"disableUpdates":false,"type":"text"}},{"type":"richTextContentControl","id":"a625ca74-16de-4999-b4f5-d57c4bc758d2","elementConfiguration":{"binding":"Form.IncidentNumber","visibility":{"action":"hide","operator":"equals","compareValue":""},"removeAndKeepContent":false,"disableUpdates":false,"type":"text"}},{"type":"richTextContentControl","id":"fc2dd324-876b-493c-a90b-18a220677b71","elementConfiguration":{"binding":"Form.DocumentVersion","visibility":{"action":"hide","operator":"equals","compareValue":"","compareValues":[""]},"removeAndKeepContent":false,"disableUpdates":false,"type":"text"}},{"type":"richTextContentControl","id":"596bc483-17f0-4a70-8b84-c9c33b0f6f4f","elementConfiguration":{"binding":"Form.DocumentVersion","visibility":{"action":"hide","operator":"equals","compareValue":"","compareValues":[""]},"removeAndKeepContent":false,"disableUpdates":false,"type":"text"}},{"type":"richTextContentControl","id":"e08c41bb-4509-4602-b80f-f301c2e02cdd","elementConfiguration":{"format":"dd MMMM yyyy","binding":"Form.IncidentDate","visibility":{"action":"hide","operator":"equals","compareValue":""},"removeAndKeepContent":false,"disableUpdates":false,"type":"date"}},{"type":"richTextContentControl","id":"d1530c23-6edf-4ebb-9498-559db42b66ff","elementConfiguration":{"format":"dd MMMM yyyy","binding":"Form.IncidentDate","visibility":{"action":"hide","operator":"equals","compareValue":""},"removeAndKeepContent":false,"disableUpdates":false,"type":"date"}},{"type":"richTextContentControl","id":"c4de2898-773a-4e48-9a2c-5fb7f7cf97a0","elementConfiguration":{"binding":"Form.DocumentType","visibility":{"action":"hide","operator":"equals","compareValue":""},"removeAndKeepContent":false,"disableUpdates":false,"type":"text"}},{"type":"richTextContentControl","id":"c1381b39-abbc-45a3-b37e-fafd02336a84","elementConfiguration":{"binding":"Form.DocumentType","visibility":{"action":"hide","operator":"equals","compareValue":""},"removeAndKeepContent":false,"disableUpdates":false,"type":"text"}},{"type":"richTextContentControl","id":"2405505f-8a00-41dc-b464-be8ee4f421ed","elementConfiguration":{"binding":"Form.Entity.Entity","removeAndKeepContent":false,"disableUpdates":false,"type":"text"}},{"type":"richTextContentControl","id":"4a2246c9-5a0d-495e-9801-35899b2bcf5d","elementConfiguration":{"binding":"Form.Entity.EntityAbbreviation","removeAndKeepContent":false,"disableUpdates":false,"type":"text"}},{"type":"richTextContentControl","id":"f679913b-388d-4ec3-b13c-3446c607fe78","elementConfiguration":{"binding":"Form.Entity.EntityAbbreviation","removeAndKeepContent":false,"disableUpdates":false,"type":"text"}},{"type":"pictureContentControl","id":"859a700c-f70b-46d0-a2b1-0194b9eb2e66","elementConfiguration":{"inheritDimensions":"inheritNone","width":"21.1 cm","height":"29.8 cm","binding":"Form.ChooseBrand.WordBackPage","removeAndKeepContent":false,"disableUpdates":false,"type":"image"}},{"type":"pictureContentControl","id":"fbd74fda-342c-44dd-925c-d4730bb0ecf0","elementConfiguration":{"inheritDimensions":"inheritNone","width":"21.1 cm","height":"29.8 cm","binding":"Form.ChooseBrand.WordBackPage","removeAndKeepContent":false,"disableUpdates":false,"type":"image"}},{"type":"pictureContentControl","id":"214405af-abde-4a1b-b9cc-3bf9ac6855dc","elementConfiguration":{"inheritDimensions":"inheritNone","width":"21 cm","height":"4 cm","binding":"Form.ChooseBrand.WordInternalLogo","removeAndKeepContent":false,"disableUpdates":false,"type":"image"}},{"type":"pictureContentControl","id":"3d28ef55-cddd-48d9-87cb-acf102c07714","elementConfiguration":{"inheritDimensions":"inheritNone","width":"21 cm","height":"4 cm","binding":"Form.ChooseBrand.WordInternalLogo","removeAndKeepContent":false,"disableUpdates":false,"type":"image"}},{"type":"richTextContentControl","id":"030a8f0d-9998-400a-ae0f-292295351064","elementConfiguration":{"removeAndKeepContent":false,"disableUpdates":false,"type":"text"}},{"type":"richTextContentControl","id":"c8072775-7977-4b7b-bcfc-6238c5191744","elementConfiguration":{"binding":"Form.Confidentiality.Confidentiality","removeAndKeepContent":false,"disableUpdates":false,"type":"text"}},{"type":"richTextContentControl","id":"dcc62f7c-edc5-4dd3-8fd6-3e7d33e3db6b","elementConfiguration":{"templateBinding":"{{Form.Confidentiality.Insert}} {{Form.ClientName}} {{Form.Confidentiality.InsertSuffix}}","visibility":{"action":"hide","binding":"Form.Confidentiality.Confidentiality","operator":"notEquals","compareValue":"Client Confidential"},"removeAndKeepContent":false,"disableUpdates":false,"type":"text"}},{"type":"richTextContentControl","id":"36a0b560-b90d-432a-a10f-aec14786c50e","elementConfiguration":{"templateBinding":"{{Form.Confidentiality.Insert}} {{Form.ClientName}} {{Form.Confidentiality.InsertSuffix}}","visibility":{"action":"hide","binding":"Form.Confidentiality.Confidentiality","operator":"notEquals","compareValue":"Client Confidential"},"removeAndKeepContent":false,"disableUpdates":false,"type":"text"}},{"type":"richTextContentControl","id":"376ed169-aaf0-465b-b07f-97fe4fd6cd2c","elementConfiguration":{"binding":"Form.Confidentiality.Insert","visibility":{"action":"hide","binding":"Form.Confidentiality.Confidentiality","operator":"equals","compareValue":"Client Confidential"},"removeAndKeepContent":false,"disableUpdates":false,"type":"text"}},{"type":"richTextContentControl","id":"f26305af-7677-4f88-9cf1-bf60c86a47b2","elementConfiguration":{"binding":"Form.DocumentType","removeAndKeepContent":false,"disableUpdates":false,"type":"text"}},{"type":"richTextContentControl","id":"b4003ea8-c4af-4029-9a5b-4ccdbf898b67","elementConfiguration":{"binding":"Form.DocumentTitle","removeAndKeepContent":false,"disableUpdates":false,"type":"text"}},{"type":"richTextContentControl","id":"ce5ade19-5690-4989-8d1c-b0a71217e8c1","elementConfiguration":{"binding":"Form.DocumentSubtitle","removeAndKeepContent":false,"disableUpdates":false,"type":"text"}}],"transformationConfigurations":[{"binding":"Form.Brand.P-Illustration-Negative","shapeName":"Logo","namedSections":"all","namedPages":"default","horizontalRelativePosition":"page","horizontalAlignment":"left","verticalRelativePosition":"page","verticalAlignment":"top","imageTextWrapping":"behindText","disableUpdates":false,"type":"imageHeader"},{"colorTheme":"{{Form.ChooseBrand.WordColorTheme}}","originalColorThemeXml":"<a:clrScheme name=\"ION-Group-LightBG\" xmlns:a=\"http://schemas.openxmlformats.org/drawingml/2006/main\"><a:dk1><a:srgbClr val=\"001437\" /></a:dk1><a:lt1><a:srgbClr val=\"FFFFFF\" /></a:lt1><a:dk2><a:srgbClr val=\"001437\" /></a:dk2><a:lt2><a:srgbClr val=\"FFFFFF\" /></a:lt2><a:accent1><a:srgbClr val=\"007AC5\" /></a:accent1><a:accent2><a:srgbClr val=\"00A5E6\" /></a:accent2><a:accent3><a:srgbClr val=\"D75641\" /></a:accent3><a:accent4><a:srgbClr val=\"AFAFB4\" /></a:accent4><a:accent5><a:srgbClr val=\"4D5B73\" /></a:accent5><a:accent6><a:srgbClr val=\"B2B8C3\" /></a:accent6><a:hlink><a:srgbClr val=\"00A5E6\" /></a:hlink><a:folHlink><a:srgbClr val=\"00A5E6\" /></a:folHlink></a:clrScheme>","disableUpdates":false,"type":"colorTheme"}],"isBaseTemplate":false,"templateName":"ION full document template","templateDescription":"ION full document template working version April 2021","enableDocumentContentUpdater":true,"version":"1.12"}]]></TemplafyTemplateConfigur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4ED0985CDB8FBB4286EC4F6934DD3696" ma:contentTypeVersion="6" ma:contentTypeDescription="Creare un nuovo documento." ma:contentTypeScope="" ma:versionID="325420922f662dd7bb523b4377aa99ca">
  <xsd:schema xmlns:xsd="http://www.w3.org/2001/XMLSchema" xmlns:xs="http://www.w3.org/2001/XMLSchema" xmlns:p="http://schemas.microsoft.com/office/2006/metadata/properties" xmlns:ns2="dd67bc31-091f-4679-b817-6fd9766a0a82" xmlns:ns3="9b1e17dc-5860-477c-80ee-6180a7475f07" targetNamespace="http://schemas.microsoft.com/office/2006/metadata/properties" ma:root="true" ma:fieldsID="b207e3dcdff08d27b967082afe7d4865" ns2:_="" ns3:_="">
    <xsd:import namespace="dd67bc31-091f-4679-b817-6fd9766a0a82"/>
    <xsd:import namespace="9b1e17dc-5860-477c-80ee-6180a7475f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7bc31-091f-4679-b817-6fd9766a0a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1e17dc-5860-477c-80ee-6180a7475f07"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mplafyFormConfiguration><![CDATA[{"formFields":[{"dataSource":"ION Word Branding","displayColumn":"wordBrand","hideIfNoUserInteractionRequired":false,"distinct":true,"required":true,"autoSelectFirstOption":false,"helpTexts":{"prefix":"","postfix":""},"spacing":{},"type":"dropDown","name":"ChooseBrand","label":"Choose Brand","fullyQualifiedName":"ChooseBrand"},{"dataSource":"IONEntities","displayColumn":"entity","hideIfNoUserInteractionRequired":false,"distinct":true,"required":true,"autoSelectFirstOption":false,"helpTexts":{"prefix":"","postfix":""},"spacing":{},"type":"dropDown","name":"Entity","label":"ION Group legal entity","fullyQualifiedName":"Entity"},{"required":false,"placeholder":"","lines":0,"helpTexts":{"prefix":"","postfix":""},"spacing":{},"type":"textBox","name":"ClientName","label":"Client name","fullyQualifiedName":"ClientName"},{"dataSource":"IONConfidentiality","displayColumn":"showName","hideIfNoUserInteractionRequired":false,"distinct":true,"required":true,"autoSelectFirstOption":false,"helpTexts":{"prefix":"","postfix":"For guidance on which notice to use, see https://on.iongroup.com/3Ie92TB"},"spacing":{},"type":"dropDown","name":"Confidentiality","label":"Information classification","fullyQualifiedName":"Confidentiality"},{"required":true,"placeholder":"","lines":0,"helpTexts":{"prefix":"","postfix":""},"spacing":{},"type":"textBox","name":"DocumentTitle","label":"Document title","fullyQualifiedName":"DocumentTitle"},{"required":true,"placeholder":"","lines":0,"helpTexts":{"prefix":"","postfix":""},"spacing":{},"type":"textBox","name":"DocumentSubtitle","label":"Document subtitle","fullyQualifiedName":"DocumentSubtitle"},{"required":false,"placeholder":"","lines":0,"helpTexts":{"prefix":"","postfix":""},"spacing":{},"type":"textBox","name":"DocumentVersion","label":"Document version number","fullyQualifiedName":"DocumentVersion"},{"dataSource":"IONWatermarks","displayColumn":"showName","defaultValue":"No watermark required","hideIfNoUserInteractionRequired":false,"distinct":true,"required":true,"autoSelectFirstOption":false,"helpTexts":{"prefix":"","postfix":""},"spacing":{},"type":"dropDown","name":"Watermark","label":"Add a DRAFT or REDACTED watermark","fullyQualifiedName":"Watermark"},{"required":false,"helpTexts":{"prefix":"","postfix":""},"spacing":{},"type":"datePicker","name":"DocumentDate","label":"Document date","fullyQualifiedName":"DocumentDate"},{"dataSource":"Product Brands Word","displayColumn":"productName","hideIfNoUserInteractionRequired":false,"distinct":true,"required":true,"autoSelectFirstOption":true,"helpTexts":{"prefix":"","postfix":""},"spacing":{},"type":"dropDown","name":"PrimaryProduct","label":"Choose Primary Product","fullyQualifiedName":"PrimaryProduct"},{"dataSource":"Product Brands Word","displayColumn":"productName","hideIfNoUserInteractionRequired":false,"distinct":true,"required":true,"autoSelectFirstOption":true,"helpTexts":{"prefix":"","postfix":""},"spacing":{},"type":"dropDown","name":"SecondaryProduct","label":"Choose Secondary Product","fullyQualifiedName":"SecondaryProduct"},{"dataSource":"Product Brands Word","displayColumn":"productName","hideIfNoUserInteractionRequired":false,"distinct":true,"required":true,"autoSelectFirstOption":true,"helpTexts":{"prefix":"","postfix":""},"spacing":{},"type":"dropDown","name":"TertiaryProduct","label":"Choose Tertiary Product","fullyQualifiedName":"TertiaryProduct"},{"required":false,"placeholder":"","lines":0,"helpTexts":{"prefix":"","postfix":""},"spacing":{},"type":"textBox","name":"DocumentType","label":"Document type","fullyQualifiedName":"DocumentType"}],"formDataEntries":[{"name":"ChooseBrand","value":"0I6t/vJWYoRj+epQYj2p5A=="},{"name":"Entity","value":"lkQvIQtZKCPbTDiBBU6g/Q=="},{"name":"Confidentiality","value":"VRq9ak7uZCA8XSw0jkTEeA=="},{"name":"DocumentTitle","value":"lkQvIQtZKCPbTDiBBU6g/Q=="},{"name":"DocumentSubtitle","value":"lkQvIQtZKCPbTDiBBU6g/Q=="},{"name":"Watermark","value":"WdEUi1zMcVM7Stn6Woarwg=="},{"name":"DocumentDate","value":"o/HwoSkefI/6J7JSMtT/mA=="},{"name":"PrimaryProduct","value":"lkQvIQtZKCPbTDiBBU6g/Q=="},{"name":"SecondaryProduct","value":"lkQvIQtZKCPbTDiBBU6g/Q=="},{"name":"TertiaryProduct","value":"lkQvIQtZKCPbTDiBBU6g/Q=="}]}]]></TemplafyFormConfiguration>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24527A-252B-4F87-B149-1CED08FB02A0}">
  <ds:schemaRefs>
    <ds:schemaRef ds:uri="http://schemas.microsoft.com/sharepoint/v3/contenttype/forms"/>
  </ds:schemaRefs>
</ds:datastoreItem>
</file>

<file path=customXml/itemProps2.xml><?xml version="1.0" encoding="utf-8"?>
<ds:datastoreItem xmlns:ds="http://schemas.openxmlformats.org/officeDocument/2006/customXml" ds:itemID="{6213B81A-5BBD-4EFC-A0D3-D610A83BED54}">
  <ds:schemaRefs/>
</ds:datastoreItem>
</file>

<file path=customXml/itemProps3.xml><?xml version="1.0" encoding="utf-8"?>
<ds:datastoreItem xmlns:ds="http://schemas.openxmlformats.org/officeDocument/2006/customXml" ds:itemID="{C6E51445-330F-40DE-899D-1DE74FA52B72}">
  <ds:schemaRefs>
    <ds:schemaRef ds:uri="http://schemas.openxmlformats.org/officeDocument/2006/bibliography"/>
  </ds:schemaRefs>
</ds:datastoreItem>
</file>

<file path=customXml/itemProps4.xml><?xml version="1.0" encoding="utf-8"?>
<ds:datastoreItem xmlns:ds="http://schemas.openxmlformats.org/officeDocument/2006/customXml" ds:itemID="{406B2518-EA69-4F10-A78C-C8F2FBD8D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7bc31-091f-4679-b817-6fd9766a0a82"/>
    <ds:schemaRef ds:uri="9b1e17dc-5860-477c-80ee-6180a7475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53E5C1-5C36-41B8-902F-48E94AEECD53}">
  <ds:schemaRefs/>
</ds:datastoreItem>
</file>

<file path=customXml/itemProps6.xml><?xml version="1.0" encoding="utf-8"?>
<ds:datastoreItem xmlns:ds="http://schemas.openxmlformats.org/officeDocument/2006/customXml" ds:itemID="{79B5E497-BDBB-47DD-8923-FE2939223E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Cerved%20Rating%20Agency%20template_full%20document.dotx</Template>
  <TotalTime>1</TotalTime>
  <Pages>56</Pages>
  <Words>11681</Words>
  <Characters>66587</Characters>
  <Application>Microsoft Office Word</Application>
  <DocSecurity>0</DocSecurity>
  <Lines>554</Lines>
  <Paragraphs>156</Paragraphs>
  <ScaleCrop>false</ScaleCrop>
  <Manager>[Client name]</Manager>
  <Company>ION Trading UK Limited</Company>
  <LinksUpToDate>false</LinksUpToDate>
  <CharactersWithSpaces>78112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Credit Outlook 2024</dc:title>
  <dc:subject>Credit Outlook 2024</dc:subject>
  <dc:creator>Cerved Rating Agency</dc:creator>
  <cp:keywords/>
  <dc:description/>
  <cp:lastModifiedBy>Zotti Federico</cp:lastModifiedBy>
  <cp:revision>2</cp:revision>
  <cp:lastPrinted>2024-03-15T06:57:00Z</cp:lastPrinted>
  <dcterms:created xsi:type="dcterms:W3CDTF">2025-06-04T09:58:00Z</dcterms:created>
  <dcterms:modified xsi:type="dcterms:W3CDTF">2025-06-04T09:58:00Z</dcterms:modified>
  <cp:category/>
  <cp:contentStatus>Implementation analysis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1.12</vt:lpwstr>
  </property>
  <property fmtid="{D5CDD505-2E9C-101B-9397-08002B2CF9AE}" pid="3" name="Date">
    <vt:lpwstr>27 August 2015</vt:lpwstr>
  </property>
  <property fmtid="{D5CDD505-2E9C-101B-9397-08002B2CF9AE}" pid="4" name="PluginDependencies_0">
    <vt:lpwstr>{"636004586306042634:636004586306042629":[],"636004586306042634:636004586306042633":[{"dependencyType":"DataSource","dependencyId":":","dependencyVersion":null},{"dependencyType":"DataSource","dependencyId":":","dependencyVersion":null},{"dependencyType":</vt:lpwstr>
  </property>
  <property fmtid="{D5CDD505-2E9C-101B-9397-08002B2CF9AE}" pid="5" name="PluginDependencies_1">
    <vt:lpwstr>"DataSource","dependencyId":":","dependencyVersion":null},{"dependencyType":"DataSource","dependencyId":":","dependencyVersion":null},{"dependencyType":"DataSource","dependencyId":":","dependencyVersion":null},{"dependencyType":"DataSource","dependencyId"</vt:lpwstr>
  </property>
  <property fmtid="{D5CDD505-2E9C-101B-9397-08002B2CF9AE}" pid="6" name="PluginDependencies_2">
    <vt:lpwstr>:":","dependencyVersion":null},{"dependencyType":"DataSource","dependencyId":":","dependencyVersion":null},{"dependencyType":"DataSource","dependencyId":":","dependencyVersion":null},{"dependencyType":"DataSource","dependencyId":":","dependencyVersion":nu</vt:lpwstr>
  </property>
  <property fmtid="{D5CDD505-2E9C-101B-9397-08002B2CF9AE}" pid="7" name="PluginDependencies_3">
    <vt:lpwstr>ll},{"dependencyType":"DataSource","dependencyId":":","dependencyVersion":null},{"dependencyType":"DataSource","dependencyId":":","dependencyVersion":null},{"dependencyType":"DataSource","dependencyId":":","dependencyVersion":null},{"dependencyType":"Data</vt:lpwstr>
  </property>
  <property fmtid="{D5CDD505-2E9C-101B-9397-08002B2CF9AE}" pid="8" name="PluginDependencies_4">
    <vt:lpwstr>Source","dependencyId":":","dependencyVersion":null},{"dependencyType":"DataSource","dependencyId":":","dependencyVersion":null},{"dependencyType":"DataSource","dependencyId":":","dependencyVersion":null},{"dependencyType":"DataSource","dependencyId":":",</vt:lpwstr>
  </property>
  <property fmtid="{D5CDD505-2E9C-101B-9397-08002B2CF9AE}" pid="9" name="PluginDependencies_5">
    <vt:lpwstr>"dependencyVersion":null},{"dependencyType":"DataSource","dependencyId":":","dependencyVersion":null},{"dependencyType":"DataSource","dependencyId":":","dependencyVersion":null},{"dependencyType":"DataSource","dependencyId":":","dependencyVersion":null},{</vt:lpwstr>
  </property>
  <property fmtid="{D5CDD505-2E9C-101B-9397-08002B2CF9AE}" pid="10" name="PluginDependencies_6">
    <vt:lpwstr>"dependencyType":"DataSource","dependencyId":":","dependencyVersion":null},{"dependencyType":"DataSource","dependencyId":":","dependencyVersion":null},{"dependencyType":"DataSource","dependencyId":":","dependencyVersion":null},{"dependencyType":"DataSourc</vt:lpwstr>
  </property>
  <property fmtid="{D5CDD505-2E9C-101B-9397-08002B2CF9AE}" pid="11" name="PluginDependencies_7">
    <vt:lpwstr>e","dependencyId":":","dependencyVersion":null},{"dependencyType":"DataSource","dependencyId":":","dependencyVersion":null},{"dependencyType":"DataSource","dependencyId":":","dependencyVersion":null},{"dependencyType":"DataSource","dependencyId":":","depe</vt:lpwstr>
  </property>
  <property fmtid="{D5CDD505-2E9C-101B-9397-08002B2CF9AE}" pid="12" name="PluginDependencies_8">
    <vt:lpwstr>ndencyVersion":null},{"dependencyType":"DataSource","dependencyId":":","dependencyVersion":null},{"dependencyType":"DataSource","dependencyId":":","dependencyVersion":null},{"dependencyType":"DataSource","dependencyId":":","dependencyVersion":null},{"depe</vt:lpwstr>
  </property>
  <property fmtid="{D5CDD505-2E9C-101B-9397-08002B2CF9AE}" pid="13" name="PluginDependencies_9">
    <vt:lpwstr>ndencyType":"DataSource","dependencyId":":","dependencyVersion":null},{"dependencyType":"DataSource","dependencyId":":","dependencyVersion":null},{"dependencyType":"DataSource","dependencyId":":","dependencyVersion":null},{"dependencyType":"DataSource","d</vt:lpwstr>
  </property>
  <property fmtid="{D5CDD505-2E9C-101B-9397-08002B2CF9AE}" pid="14" name="PluginDependencies_10">
    <vt:lpwstr>ependencyId":":","dependencyVersion":null},{"dependencyType":"DataSource","dependencyId":":","dependencyVersion":null},{"dependencyType":"DataSource","dependencyId":":","dependencyVersion":null},{"dependencyType":"DataSource","dependencyId":":","dependenc</vt:lpwstr>
  </property>
  <property fmtid="{D5CDD505-2E9C-101B-9397-08002B2CF9AE}" pid="15" name="PluginDependencies_11">
    <vt:lpwstr>yVersion":null},{"dependencyType":"DataSource","dependencyId":":","dependencyVersion":null},{"dependencyType":"DataSource","dependencyId":":","dependencyVersion":null},{"dependencyType":"DataSource","dependencyId":":","dependencyVersion":null},{"dependenc</vt:lpwstr>
  </property>
  <property fmtid="{D5CDD505-2E9C-101B-9397-08002B2CF9AE}" pid="16" name="PluginDependencies_12">
    <vt:lpwstr>yType":"DataSource","dependencyId":":","dependencyVersion":null},{"dependencyType":"DataSource","dependencyId":":","dependencyVersion":null},{"dependencyType":"DataSource","dependencyId":":","dependencyVersion":null},{"dependencyType":"DataSource","depend</vt:lpwstr>
  </property>
  <property fmtid="{D5CDD505-2E9C-101B-9397-08002B2CF9AE}" pid="17" name="PluginDependencies_13">
    <vt:lpwstr>encyId":":","dependencyVersion":null},{"dependencyType":"DataSource","dependencyId":":","dependencyVersion":null},{"dependencyType":"DataSource","dependencyId":":","dependencyVersion":null},{"dependencyType":"DataSource","dependencyId":":","dependencyVers</vt:lpwstr>
  </property>
  <property fmtid="{D5CDD505-2E9C-101B-9397-08002B2CF9AE}" pid="18" name="PluginDependencies_14">
    <vt:lpwstr>ion":null},{"dependencyType":"DataSource","dependencyId":":","dependencyVersion":null},{"dependencyType":"DataSource","dependencyId":":","dependencyVersion":null},{"dependencyType":"DataSource","dependencyId":":","dependencyVersion":null},{"dependencyType</vt:lpwstr>
  </property>
  <property fmtid="{D5CDD505-2E9C-101B-9397-08002B2CF9AE}" pid="19" name="PluginDependencies_15">
    <vt:lpwstr>":"DataSource","dependencyId":":","dependencyVersion":null},{"dependencyType":"DataSource","dependencyId":":","dependencyVersion":null},{"dependencyType":"DataSource","dependencyId":":","dependencyVersion":null},{"dependencyType":"DataSource","dependencyI</vt:lpwstr>
  </property>
  <property fmtid="{D5CDD505-2E9C-101B-9397-08002B2CF9AE}" pid="20" name="PluginDependencies_16">
    <vt:lpwstr>d":":","dependencyVersion":null},{"dependencyType":"DataSource","dependencyId":":","dependencyVersion":null},{"dependencyType":"DataSource","dependencyId":":","dependencyVersion":null},{"dependencyType":"DataSource","dependencyId":":","dependencyVersion":</vt:lpwstr>
  </property>
  <property fmtid="{D5CDD505-2E9C-101B-9397-08002B2CF9AE}" pid="21" name="PluginDependencies_17">
    <vt:lpwstr>null},{"dependencyType":"DataSource","dependencyId":":","dependencyVersion":null},{"dependencyType":"DataSource","dependencyId":":","dependencyVersion":null},{"dependencyType":"DataSource","dependencyId":":","dependencyVersion":null},{"dependencyType":"Da</vt:lpwstr>
  </property>
  <property fmtid="{D5CDD505-2E9C-101B-9397-08002B2CF9AE}" pid="22" name="PluginDependencies_18">
    <vt:lpwstr>taSource","dependencyId":":","dependencyVersion":null},{"dependencyType":"DataSource","dependencyId":":","dependencyVersion":null},{"dependencyType":"DataSource","dependencyId":":","dependencyVersion":null},{"dependencyType":"DataSource","dependencyId":":</vt:lpwstr>
  </property>
  <property fmtid="{D5CDD505-2E9C-101B-9397-08002B2CF9AE}" pid="23" name="PluginDependencies_19">
    <vt:lpwstr>","dependencyVersion":null},{"dependencyType":"DataSource","dependencyId":":","dependencyVersion":null},{"dependencyType":"DataSource","dependencyId":":","dependencyVersion":null},{"dependencyType":"DataSource","dependencyId":":","dependencyVersion":null}</vt:lpwstr>
  </property>
  <property fmtid="{D5CDD505-2E9C-101B-9397-08002B2CF9AE}" pid="24" name="PluginDependencies_20">
    <vt:lpwstr>,{"dependencyType":"DataSource","dependencyId":":","dependencyVersion":null},{"dependencyType":"DataSource","dependencyId":":","dependencyVersion":null},{"dependencyType":"DataSource","dependencyId":":","dependencyVersion":null},{"dependencyType":"DataSou</vt:lpwstr>
  </property>
  <property fmtid="{D5CDD505-2E9C-101B-9397-08002B2CF9AE}" pid="25" name="PluginDependencies_21">
    <vt:lpwstr>rce","dependencyId":":","dependencyVersion":null},{"dependencyType":"DataSource","dependencyId":":","dependencyVersion":null},{"dependencyType":"DataSource","dependencyId":":","dependencyVersion":null},{"dependencyType":"DataSource","dependencyId":":","de</vt:lpwstr>
  </property>
  <property fmtid="{D5CDD505-2E9C-101B-9397-08002B2CF9AE}" pid="26" name="PluginDependencies_22">
    <vt:lpwstr>pendencyVersion":null},{"dependencyType":"DataSource","dependencyId":":","dependencyVersion":null},{"dependencyType":"DataSource","dependencyId":":","dependencyVersion":null},{"dependencyType":"DataSource","dependencyId":":","dependencyVersion":null},{"de</vt:lpwstr>
  </property>
  <property fmtid="{D5CDD505-2E9C-101B-9397-08002B2CF9AE}" pid="27" name="PluginDependencies_23">
    <vt:lpwstr>pendencyType":"DataSource","dependencyId":":","dependencyVersion":null},{"dependencyType":"DataSource","dependencyId":":","dependencyVersion":null},{"dependencyType":"DataSource","dependencyId":":","dependencyVersion":null},{"dependencyType":"DataSource",</vt:lpwstr>
  </property>
  <property fmtid="{D5CDD505-2E9C-101B-9397-08002B2CF9AE}" pid="28" name="PluginDependencies_24">
    <vt:lpwstr>"dependencyId":":","dependencyVersion":null},{"dependencyType":"DataSource","dependencyId":":","dependencyVersion":null},{"dependencyType":"DataSource","dependencyId":":","dependencyVersion":null},{"dependencyType":"DataSource","dependencyId":":","depende</vt:lpwstr>
  </property>
  <property fmtid="{D5CDD505-2E9C-101B-9397-08002B2CF9AE}" pid="29" name="PluginDependencies_25">
    <vt:lpwstr>ncyVersion":null},{"dependencyType":"DataSource","dependencyId":":","dependencyVersion":null},{"dependencyType":"DataSource","dependencyId":":","dependencyVersion":null},{"dependencyType":"DataSource","dependencyId":":","dependencyVersion":null},{"depende</vt:lpwstr>
  </property>
  <property fmtid="{D5CDD505-2E9C-101B-9397-08002B2CF9AE}" pid="30" name="PluginDependencies_26">
    <vt:lpwstr>ncyType":"DataSource","dependencyId":":","dependencyVersion":null},{"dependencyType":"DataSource","dependencyId":":","dependencyVersion":null},{"dependencyType":"DataSource","dependencyId":":","dependencyVersion":null},{"dependencyType":"DataSource","depe</vt:lpwstr>
  </property>
  <property fmtid="{D5CDD505-2E9C-101B-9397-08002B2CF9AE}" pid="31" name="PluginDependencies_27">
    <vt:lpwstr>ndencyId":":","dependencyVersion":null},{"dependencyType":"DataSource","dependencyId":":","dependencyVersion":null},{"dependencyType":"DataSource","dependencyId":":","dependencyVersion":null},{"dependencyType":"DataSource","dependencyId":":","dependencyVe</vt:lpwstr>
  </property>
  <property fmtid="{D5CDD505-2E9C-101B-9397-08002B2CF9AE}" pid="32" name="PluginDependencies_28">
    <vt:lpwstr>rsion":null},{"dependencyType":"DataSource","dependencyId":":","dependencyVersion":null},{"dependencyType":"DataSource","dependencyId":":","dependencyVersion":null},{"dependencyType":"DataSource","dependencyId":":","dependencyVersion":null},{"dependencyTy</vt:lpwstr>
  </property>
  <property fmtid="{D5CDD505-2E9C-101B-9397-08002B2CF9AE}" pid="33" name="PluginDependencies_29">
    <vt:lpwstr>pe":"DataSource","dependencyId":":","dependencyVersion":null},{"dependencyType":"DataSource","dependencyId":":","dependencyVersion":null},{"dependencyType":"DataSource","dependencyId":":","dependencyVersion":null},{"dependencyType":"DataSource","dependenc</vt:lpwstr>
  </property>
  <property fmtid="{D5CDD505-2E9C-101B-9397-08002B2CF9AE}" pid="34" name="PluginDependencies_30">
    <vt:lpwstr>yId":":","dependencyVersion":null},{"dependencyType":"DataSource","dependencyId":":","dependencyVersion":null},{"dependencyType":"DataSource","dependencyId":":","dependencyVersion":null},{"dependencyType":"DataSource","dependencyId":":","dependencyVersion</vt:lpwstr>
  </property>
  <property fmtid="{D5CDD505-2E9C-101B-9397-08002B2CF9AE}" pid="35" name="PluginDependencies_31">
    <vt:lpwstr>":null},{"dependencyType":"DataSource","dependencyId":":","dependencyVersion":null},{"dependencyType":"DataSource","dependencyId":":","dependencyVersion":null},{"dependencyType":"DataSource","dependencyId":":","dependencyVersion":null},{"dependencyType":"</vt:lpwstr>
  </property>
  <property fmtid="{D5CDD505-2E9C-101B-9397-08002B2CF9AE}" pid="36" name="PluginDependencies_32">
    <vt:lpwstr>DataSource","dependencyId":":","dependencyVersion":null},{"dependencyType":"DataSource","dependencyId":":","dependencyVersion":null},{"dependencyType":"DataSource","dependencyId":":","dependencyVersion":null},{"dependencyType":"DataSource","dependencyId":</vt:lpwstr>
  </property>
  <property fmtid="{D5CDD505-2E9C-101B-9397-08002B2CF9AE}" pid="37" name="PluginDependencies_33">
    <vt:lpwstr>":","dependencyVersion":null},{"dependencyType":"DataSource","dependencyId":":","dependencyVersion":null},{"dependencyType":"DataSource","dependencyId":":","dependencyVersion":null},{"dependencyType":"DataSource","dependencyId":":","dependencyVersion":nul</vt:lpwstr>
  </property>
  <property fmtid="{D5CDD505-2E9C-101B-9397-08002B2CF9AE}" pid="38" name="PluginDependencies_34">
    <vt:lpwstr>l},{"dependencyType":"DataSource","dependencyId":":","dependencyVersion":null},{"dependencyType":"DataSource","dependencyId":":","dependencyVersion":null},{"dependencyType":"DataSource","dependencyId":":","dependencyVersion":null},{"dependencyType":"DataS</vt:lpwstr>
  </property>
  <property fmtid="{D5CDD505-2E9C-101B-9397-08002B2CF9AE}" pid="39" name="PluginDependencies_35">
    <vt:lpwstr>ource","dependencyId":":","dependencyVersion":null},{"dependencyType":"DataSource","dependencyId":":","dependencyVersion":null},{"dependencyType":"DataSource","dependencyId":":","dependencyVersion":null},{"dependencyType":"DataSource","dependencyId":":","</vt:lpwstr>
  </property>
  <property fmtid="{D5CDD505-2E9C-101B-9397-08002B2CF9AE}" pid="40" name="PluginDependencies_36">
    <vt:lpwstr>dependencyVersion":null},{"dependencyType":"DataSource","dependencyId":":","dependencyVersion":null},{"dependencyType":"DataSource","dependencyId":":","dependencyVersion":null},{"dependencyType":"DataSource","dependencyId":":","dependencyVersion":null},{"</vt:lpwstr>
  </property>
  <property fmtid="{D5CDD505-2E9C-101B-9397-08002B2CF9AE}" pid="41" name="PluginDependencies_37">
    <vt:lpwstr>dependencyType":"DataSource","dependencyId":":","dependencyVersion":null},{"dependencyType":"DataSource","dependencyId":":","dependencyVersion":null},{"dependencyType":"DataSource","dependencyId":":","dependencyVersion":null},{"dependencyType":"DataSource</vt:lpwstr>
  </property>
  <property fmtid="{D5CDD505-2E9C-101B-9397-08002B2CF9AE}" pid="42" name="PluginDependencies_38">
    <vt:lpwstr>","dependencyId":":","dependencyVersion":null},{"dependencyType":"DataSource","dependencyId":":","dependencyVersion":null}],"636004586306042634:636004586306042630":[],"636004586306042634:636004586306042631":[],"636004586306042634:636004586306042632":[],"6</vt:lpwstr>
  </property>
  <property fmtid="{D5CDD505-2E9C-101B-9397-08002B2CF9AE}" pid="43" name="PluginDependencies_39">
    <vt:lpwstr>36004586306042634:636004593458322006":[]}</vt:lpwstr>
  </property>
  <property fmtid="{D5CDD505-2E9C-101B-9397-08002B2CF9AE}" pid="44" name="CustomerId">
    <vt:lpwstr>ion</vt:lpwstr>
  </property>
  <property fmtid="{D5CDD505-2E9C-101B-9397-08002B2CF9AE}" pid="45" name="TemplateId">
    <vt:lpwstr>636337195121019016</vt:lpwstr>
  </property>
  <property fmtid="{D5CDD505-2E9C-101B-9397-08002B2CF9AE}" pid="46" name="UserProfileId">
    <vt:lpwstr>636353556537864963</vt:lpwstr>
  </property>
  <property fmtid="{D5CDD505-2E9C-101B-9397-08002B2CF9AE}" pid="47" name="TemplafyTimeStamp">
    <vt:lpwstr>2021-07-29T07:44:03.8111602Z</vt:lpwstr>
  </property>
  <property fmtid="{D5CDD505-2E9C-101B-9397-08002B2CF9AE}" pid="48" name="ContentTypeId">
    <vt:lpwstr>0x0101004ED0985CDB8FBB4286EC4F6934DD3696</vt:lpwstr>
  </property>
  <property fmtid="{D5CDD505-2E9C-101B-9397-08002B2CF9AE}" pid="49" name="TemplafyVersion">
    <vt:lpwstr>Q42021</vt:lpwstr>
  </property>
  <property fmtid="{D5CDD505-2E9C-101B-9397-08002B2CF9AE}" pid="50" name="TemplafyTenantId">
    <vt:lpwstr>ion</vt:lpwstr>
  </property>
  <property fmtid="{D5CDD505-2E9C-101B-9397-08002B2CF9AE}" pid="51" name="TemplafyTemplateId">
    <vt:lpwstr>637471829379733144</vt:lpwstr>
  </property>
  <property fmtid="{D5CDD505-2E9C-101B-9397-08002B2CF9AE}" pid="52" name="TemplafyUserProfileId">
    <vt:lpwstr>637781241884967613</vt:lpwstr>
  </property>
</Properties>
</file>